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smallCaps/>
        </w:rPr>
      </w:pPr>
      <w:r>
        <w:rPr>
          <w:b/>
          <w:smallCaps/>
        </w:rPr>
        <w:t>McDermott, Will &amp; Emery</w:t>
      </w:r>
    </w:p>
    <w:p>
      <w:pPr>
        <w:pStyle w:val="Normal"/>
        <w:spacing w:before="0" w:after="360"/>
        <w:jc w:val="center"/>
        <w:rPr/>
      </w:pPr>
      <w:r>
        <w:rPr/>
        <w:t>Washington, D.C.</w:t>
      </w:r>
    </w:p>
    <w:p>
      <w:pPr>
        <w:pStyle w:val="Normal"/>
        <w:spacing w:before="480" w:after="480"/>
        <w:jc w:val="center"/>
        <w:rPr/>
      </w:pPr>
      <w:r>
        <w:rPr/>
        <w:t>Memorandum</w:t>
      </w:r>
    </w:p>
    <w:tbl>
      <w:tblPr>
        <w:tblW w:w="9576" w:type="dxa"/>
        <w:jc w:val="start"/>
        <w:tblInd w:w="9" w:type="dxa"/>
        <w:tblLayout w:type="fixed"/>
        <w:tblCellMar>
          <w:top w:w="0" w:type="dxa"/>
          <w:start w:w="144" w:type="dxa"/>
          <w:bottom w:w="0" w:type="dxa"/>
          <w:end w:w="144" w:type="dxa"/>
        </w:tblCellMar>
      </w:tblPr>
      <w:tblGrid>
        <w:gridCol w:w="1440"/>
        <w:gridCol w:w="4365"/>
        <w:gridCol w:w="1080"/>
        <w:gridCol w:w="2691"/>
      </w:tblGrid>
      <w:tr>
        <w:trPr>
          <w:trHeight w:val="480" w:hRule="atLeast"/>
        </w:trPr>
        <w:tc>
          <w:tcPr>
            <w:tcW w:w="9576" w:type="dxa"/>
            <w:gridSpan w:val="4"/>
            <w:tcBorders/>
          </w:tcPr>
          <w:p>
            <w:pPr>
              <w:pStyle w:val="Memo-Date"/>
              <w:jc w:val="end"/>
              <w:rPr>
                <w:b/>
                <w:lang w:val="en-CA"/>
              </w:rPr>
            </w:pPr>
            <w:r>
              <w:rPr>
                <w:b/>
                <w:lang w:val="en-CA"/>
              </w:rPr>
              <w:t>PRIVILEGED AND CONFIDENTIAL</w:t>
            </w:r>
          </w:p>
          <w:p>
            <w:pPr>
              <w:pStyle w:val="Memo-Date"/>
              <w:jc w:val="end"/>
              <w:rPr>
                <w:b/>
                <w:lang w:val="en-CA"/>
              </w:rPr>
            </w:pPr>
            <w:r>
              <w:rPr>
                <w:b/>
                <w:lang w:val="en-CA"/>
              </w:rPr>
              <w:t>ATTORNEY/CLIENT COMMUNICATION</w:t>
            </w:r>
          </w:p>
          <w:p>
            <w:pPr>
              <w:pStyle w:val="Memo-Date"/>
              <w:jc w:val="end"/>
              <w:rPr>
                <w:b/>
                <w:lang w:val="en-CA"/>
              </w:rPr>
            </w:pPr>
            <w:r>
              <w:rPr>
                <w:b/>
                <w:lang w:val="en-CA"/>
              </w:rPr>
              <w:t>ATTORNEY WORK PRODUCT</w:t>
            </w:r>
          </w:p>
          <w:p>
            <w:pPr>
              <w:pStyle w:val="Memo-Date"/>
              <w:jc w:val="end"/>
              <w:rPr>
                <w:b/>
                <w:lang w:val="en-CA"/>
              </w:rPr>
            </w:pPr>
            <w:r>
              <w:rPr>
                <w:b/>
                <w:lang w:val="en-CA"/>
              </w:rPr>
            </w:r>
          </w:p>
          <w:p>
            <w:pPr>
              <w:pStyle w:val="Memo-Date"/>
              <w:jc w:val="end"/>
              <w:rPr>
                <w:b/>
                <w:lang w:val="en-CA"/>
              </w:rPr>
            </w:pPr>
            <w:r>
              <w:rPr>
                <w:b/>
                <w:lang w:val="en-CA"/>
              </w:rPr>
            </w:r>
          </w:p>
        </w:tc>
      </w:tr>
      <w:tr>
        <w:trPr>
          <w:trHeight w:val="480" w:hRule="atLeast"/>
        </w:trPr>
        <w:tc>
          <w:tcPr>
            <w:tcW w:w="1440" w:type="dxa"/>
            <w:tcBorders/>
          </w:tcPr>
          <w:p>
            <w:pPr>
              <w:pStyle w:val="Memo-ToFrom"/>
              <w:spacing w:before="0" w:after="240"/>
              <w:rPr>
                <w:b/>
              </w:rPr>
            </w:pPr>
            <w:r>
              <w:rPr>
                <w:b/>
              </w:rPr>
              <w:t>TO:</w:t>
            </w:r>
          </w:p>
        </w:tc>
        <w:tc>
          <w:tcPr>
            <w:tcW w:w="4365" w:type="dxa"/>
            <w:tcBorders/>
          </w:tcPr>
          <w:p>
            <w:pPr>
              <w:pStyle w:val="Memo-ToFrom"/>
              <w:spacing w:before="0" w:after="0"/>
              <w:rPr/>
            </w:pPr>
            <w:r>
              <w:rPr/>
              <w:t xml:space="preserve">Alfred Pennisi </w:t>
            </w:r>
          </w:p>
          <w:p>
            <w:pPr>
              <w:pStyle w:val="Memo-ToFrom"/>
              <w:spacing w:before="0" w:after="240"/>
              <w:rPr/>
            </w:pPr>
            <w:r>
              <w:rPr/>
              <w:t>Vice President/Operations</w:t>
            </w:r>
          </w:p>
        </w:tc>
        <w:tc>
          <w:tcPr>
            <w:tcW w:w="1080" w:type="dxa"/>
            <w:tcBorders/>
          </w:tcPr>
          <w:p>
            <w:pPr>
              <w:pStyle w:val="Memo-ToFrom"/>
              <w:spacing w:before="0" w:after="240"/>
              <w:rPr>
                <w:b/>
              </w:rPr>
            </w:pPr>
            <w:r>
              <w:rPr>
                <w:b/>
              </w:rPr>
              <w:t>DATE:</w:t>
            </w:r>
          </w:p>
        </w:tc>
        <w:tc>
          <w:tcPr>
            <w:tcW w:w="2691" w:type="dxa"/>
            <w:tcBorders/>
          </w:tcPr>
          <w:p>
            <w:pPr>
              <w:pStyle w:val="Memo-Date"/>
              <w:rPr>
                <w:lang w:val="en-CA"/>
              </w:rPr>
            </w:pPr>
            <w:r>
              <w:rPr>
                <w:lang w:val="en-CA"/>
              </w:rPr>
              <w:t xml:space="preserve">November 3, 2000 </w:t>
            </w:r>
          </w:p>
        </w:tc>
      </w:tr>
      <w:tr>
        <w:trPr>
          <w:trHeight w:val="480" w:hRule="atLeast"/>
        </w:trPr>
        <w:tc>
          <w:tcPr>
            <w:tcW w:w="1440" w:type="dxa"/>
            <w:tcBorders/>
          </w:tcPr>
          <w:p>
            <w:pPr>
              <w:pStyle w:val="Memo-ToFrom"/>
              <w:spacing w:before="0" w:after="240"/>
              <w:rPr>
                <w:b/>
              </w:rPr>
            </w:pPr>
            <w:r>
              <w:rPr>
                <w:b/>
              </w:rPr>
              <w:t>CC:</w:t>
            </w:r>
          </w:p>
        </w:tc>
        <w:tc>
          <w:tcPr>
            <w:tcW w:w="4365" w:type="dxa"/>
            <w:tcBorders/>
          </w:tcPr>
          <w:p>
            <w:pPr>
              <w:pStyle w:val="Memo-ToFrom"/>
              <w:spacing w:before="0" w:after="0"/>
              <w:rPr/>
            </w:pPr>
            <w:r>
              <w:rPr/>
              <w:t xml:space="preserve">Alan Aronowitz, Esquire </w:t>
            </w:r>
          </w:p>
          <w:p>
            <w:pPr>
              <w:pStyle w:val="Memo-ToFrom"/>
              <w:spacing w:before="0" w:after="0"/>
              <w:rPr/>
            </w:pPr>
            <w:r>
              <w:rPr/>
            </w:r>
          </w:p>
        </w:tc>
        <w:tc>
          <w:tcPr>
            <w:tcW w:w="1080" w:type="dxa"/>
            <w:tcBorders/>
          </w:tcPr>
          <w:p>
            <w:pPr>
              <w:pStyle w:val="Memo-ToFrom"/>
              <w:snapToGrid w:val="false"/>
              <w:spacing w:before="0" w:after="240"/>
              <w:rPr>
                <w:b/>
              </w:rPr>
            </w:pPr>
            <w:r>
              <w:rPr>
                <w:b/>
              </w:rPr>
            </w:r>
          </w:p>
        </w:tc>
        <w:tc>
          <w:tcPr>
            <w:tcW w:w="2691" w:type="dxa"/>
            <w:tcBorders/>
          </w:tcPr>
          <w:p>
            <w:pPr>
              <w:pStyle w:val="Memo-Date"/>
              <w:snapToGrid w:val="false"/>
              <w:rPr>
                <w:b/>
                <w:lang w:val="en-CA"/>
              </w:rPr>
            </w:pPr>
            <w:r>
              <w:rPr>
                <w:b/>
                <w:lang w:val="en-CA"/>
              </w:rPr>
            </w:r>
          </w:p>
        </w:tc>
      </w:tr>
      <w:tr>
        <w:trPr>
          <w:trHeight w:val="480" w:hRule="atLeast"/>
        </w:trPr>
        <w:tc>
          <w:tcPr>
            <w:tcW w:w="1440" w:type="dxa"/>
            <w:tcBorders/>
          </w:tcPr>
          <w:p>
            <w:pPr>
              <w:pStyle w:val="Memo-ToFrom"/>
              <w:spacing w:before="0" w:after="240"/>
              <w:rPr>
                <w:b/>
              </w:rPr>
            </w:pPr>
            <w:r>
              <w:rPr>
                <w:b/>
              </w:rPr>
              <w:t>FROM:</w:t>
            </w:r>
          </w:p>
        </w:tc>
        <w:tc>
          <w:tcPr>
            <w:tcW w:w="4365" w:type="dxa"/>
            <w:tcBorders/>
          </w:tcPr>
          <w:p>
            <w:pPr>
              <w:pStyle w:val="Memo-ToFrom"/>
              <w:spacing w:before="0" w:after="0"/>
              <w:rPr/>
            </w:pPr>
            <w:r>
              <w:rPr/>
              <w:t xml:space="preserve">Paul J. Pantano, Jr. </w:t>
            </w:r>
          </w:p>
          <w:p>
            <w:pPr>
              <w:pStyle w:val="Memo-ToFrom"/>
              <w:spacing w:before="0" w:after="0"/>
              <w:rPr/>
            </w:pPr>
            <w:r>
              <w:rPr/>
              <w:t xml:space="preserve">David E. Aron </w:t>
            </w:r>
          </w:p>
          <w:p>
            <w:pPr>
              <w:pStyle w:val="Memo-ToFrom"/>
              <w:spacing w:before="0" w:after="240"/>
              <w:rPr/>
            </w:pPr>
            <w:r>
              <w:rPr/>
              <w:t xml:space="preserve">Kari S. Larsen </w:t>
            </w:r>
          </w:p>
        </w:tc>
        <w:tc>
          <w:tcPr>
            <w:tcW w:w="3771" w:type="dxa"/>
            <w:gridSpan w:val="2"/>
            <w:tcBorders/>
          </w:tcPr>
          <w:p>
            <w:pPr>
              <w:pStyle w:val="Memo-ToFrom"/>
              <w:snapToGrid w:val="false"/>
              <w:spacing w:before="0" w:after="240"/>
              <w:rPr/>
            </w:pPr>
            <w:r>
              <w:rPr/>
            </w:r>
          </w:p>
        </w:tc>
      </w:tr>
    </w:tbl>
    <w:p>
      <w:pPr>
        <w:pStyle w:val="Memo-ReLine"/>
        <w:spacing w:before="0" w:after="120"/>
        <w:rPr/>
      </w:pPr>
      <w:r>
        <w:rPr>
          <w:b/>
        </w:rPr>
        <w:t>RE:</w:t>
      </w:r>
      <w:r>
        <w:rPr/>
        <w:tab/>
      </w:r>
      <w:r>
        <w:rPr>
          <w:u w:val="single"/>
        </w:rPr>
        <w:t>Risk Assessment Reporting Requirements for FCMs</w:t>
      </w:r>
    </w:p>
    <w:p>
      <w:pPr>
        <w:pStyle w:val="Normal"/>
        <w:rPr>
          <w:u w:val="single"/>
        </w:rPr>
      </w:pPr>
      <w:r>
        <w:rPr>
          <w:u w:val="single"/>
        </w:rPr>
      </w:r>
    </w:p>
    <w:p>
      <w:pPr>
        <w:pStyle w:val="Normal"/>
        <w:rPr/>
      </w:pPr>
      <w:r>
        <w:rPr/>
        <w:tab/>
        <w:t>Set forth below is a summary of the Commodity Futures Trading Commission (“CFTC”) risk assessment reporting requirements applicable to Enron Trading Services Inc. (“ETS”) and a list of the information we need from ETS.</w:t>
      </w:r>
    </w:p>
    <w:p>
      <w:pPr>
        <w:pStyle w:val="Normal"/>
        <w:rPr/>
      </w:pPr>
      <w:r>
        <w:rPr/>
        <w:t xml:space="preserve"> </w:t>
      </w:r>
    </w:p>
    <w:p>
      <w:pPr>
        <w:pStyle w:val="Normal"/>
        <w:tabs>
          <w:tab w:val="left" w:pos="720" w:leader="none"/>
        </w:tabs>
        <w:rPr/>
      </w:pPr>
      <w:r>
        <w:rPr/>
        <w:t>I.</w:t>
        <w:tab/>
      </w:r>
      <w:r>
        <w:rPr>
          <w:u w:val="single"/>
        </w:rPr>
        <w:t>Updated Risk Assessment Report</w:t>
      </w:r>
    </w:p>
    <w:p>
      <w:pPr>
        <w:pStyle w:val="Normal"/>
        <w:rPr/>
      </w:pPr>
      <w:r>
        <w:rPr/>
      </w:r>
    </w:p>
    <w:p>
      <w:pPr>
        <w:pStyle w:val="Outline1bL1"/>
        <w:tabs>
          <w:tab w:val="left" w:pos="0" w:leader="none"/>
          <w:tab w:val="left" w:pos="720" w:leader="none"/>
        </w:tabs>
        <w:rPr/>
      </w:pPr>
      <w:r>
        <w:rPr/>
        <w:tab/>
        <w:t>Within 60 calendar days after the end of the fiscal quarter in which a material change in an FCM’s information or status has occurred, the FCM must file with the proper regional office of the CFTC:</w:t>
      </w:r>
    </w:p>
    <w:p>
      <w:pPr>
        <w:pStyle w:val="Outline1bL2"/>
        <w:numPr>
          <w:ilvl w:val="1"/>
          <w:numId w:val="8"/>
        </w:numPr>
        <w:rPr/>
      </w:pPr>
      <w:r>
        <w:rPr/>
        <w:t>An organizational chart for the FCM.  In accordance with CFTC Rule 1.14(a)(1)(i), this chart must include for both the FCM and each of its affiliated persons, a designation of which:</w:t>
      </w:r>
    </w:p>
    <w:p>
      <w:pPr>
        <w:pStyle w:val="Outline1bL3"/>
        <w:numPr>
          <w:ilvl w:val="2"/>
          <w:numId w:val="6"/>
        </w:numPr>
        <w:rPr/>
      </w:pPr>
      <w:r>
        <w:rPr/>
        <w:t>affiliated persons are Material Affiliated Persons (“MAPs”) (defined below);</w:t>
      </w:r>
    </w:p>
    <w:p>
      <w:pPr>
        <w:pStyle w:val="Outline1bL3"/>
        <w:numPr>
          <w:ilvl w:val="2"/>
          <w:numId w:val="6"/>
        </w:numPr>
        <w:rPr/>
      </w:pPr>
      <w:r>
        <w:rPr/>
        <w:t xml:space="preserve">MAPs file routine financial or risk exposure reports with the Securities and Exchange Commission, a federal banking agency, an insurance commissioner or other similar official or agency of a state, or a foreign regulatory authority; and </w:t>
      </w:r>
    </w:p>
    <w:p>
      <w:pPr>
        <w:pStyle w:val="Outline1bL3"/>
        <w:numPr>
          <w:ilvl w:val="2"/>
          <w:numId w:val="6"/>
        </w:numPr>
        <w:rPr/>
      </w:pPr>
      <w:r>
        <w:rPr/>
        <w:t>MAPs are dealers in financial instruments with off-balance sheet risk and, if a MAP is such a dealer, whether it is also an end-user of such instruments; and</w:t>
      </w:r>
    </w:p>
    <w:p>
      <w:pPr>
        <w:pStyle w:val="Outline1bL3"/>
        <w:numPr>
          <w:ilvl w:val="1"/>
          <w:numId w:val="6"/>
        </w:numPr>
        <w:rPr/>
      </w:pPr>
      <w:r>
        <w:rPr/>
        <w:t>Written policies, procedures, and systems concerning the FCM’s:</w:t>
      </w:r>
    </w:p>
    <w:p>
      <w:pPr>
        <w:pStyle w:val="Outline1bL3"/>
        <w:numPr>
          <w:ilvl w:val="2"/>
          <w:numId w:val="6"/>
        </w:numPr>
        <w:rPr/>
      </w:pPr>
      <w:r>
        <w:rPr/>
        <w:t>method(s) for monitoring and controlling financial and operational risks to it resulting from the activities of any of its affiliated persons;</w:t>
      </w:r>
    </w:p>
    <w:p>
      <w:pPr>
        <w:pStyle w:val="Outline1bL3"/>
        <w:numPr>
          <w:ilvl w:val="2"/>
          <w:numId w:val="6"/>
        </w:numPr>
        <w:rPr/>
      </w:pPr>
      <w:r>
        <w:rPr/>
        <w:t>financing and capital adequacy, including information regarding sources of funding, together with a narrative discussion by management of the liquidity of the material assets of the futures commission merchant, the structure of debt capital, and sources of alternative funding; and</w:t>
      </w:r>
    </w:p>
    <w:p>
      <w:pPr>
        <w:pStyle w:val="Outline1bL3"/>
        <w:numPr>
          <w:ilvl w:val="2"/>
          <w:numId w:val="6"/>
        </w:numPr>
        <w:rPr/>
      </w:pPr>
      <w:r>
        <w:rPr/>
        <w:t xml:space="preserve">establishing and maintaining internal controls with respect to market risk, credit risk, and other risks created by the FCM’s proprietary and noncustomer clearing activities, including systems and policies for supervising, monitoring, reporting and reviewing trading activities in securities, futures contracts, commodity options, forward contracts and financial instruments; policies for hedging or managing risks created by trading activities or supervising accounts carried for noncustomer affiliates, including a description of the types of reviews conducted to monitor positions; and policies relating to restrictions or limitations on trading activities. </w:t>
      </w:r>
    </w:p>
    <w:p>
      <w:pPr>
        <w:pStyle w:val="Normal"/>
        <w:numPr>
          <w:ilvl w:val="0"/>
          <w:numId w:val="12"/>
        </w:numPr>
        <w:tabs>
          <w:tab w:val="clear" w:pos="720"/>
          <w:tab w:val="left" w:pos="1080" w:leader="none"/>
        </w:tabs>
        <w:ind w:hanging="360" w:start="1080" w:end="0"/>
        <w:rPr/>
      </w:pPr>
      <w:r>
        <w:rPr/>
        <w:t>Assuming that Enron’s purchase of MG Plc occurred on July 17, 2000, ETS must file its amended risk assessment report on or before Wednesday, November 29, 2000.</w:t>
      </w:r>
    </w:p>
    <w:p>
      <w:pPr>
        <w:pStyle w:val="Normal"/>
        <w:rPr/>
      </w:pPr>
      <w:r>
        <w:rPr/>
      </w:r>
    </w:p>
    <w:p>
      <w:pPr>
        <w:pStyle w:val="Normal"/>
        <w:tabs>
          <w:tab w:val="left" w:pos="720" w:leader="none"/>
        </w:tabs>
        <w:rPr/>
      </w:pPr>
      <w:r>
        <w:rPr/>
        <w:t>II.</w:t>
        <w:tab/>
      </w:r>
      <w:r>
        <w:rPr>
          <w:u w:val="single"/>
        </w:rPr>
        <w:t xml:space="preserve">Financial Information </w:t>
      </w:r>
    </w:p>
    <w:p>
      <w:pPr>
        <w:pStyle w:val="Normal"/>
        <w:tabs>
          <w:tab w:val="clear" w:pos="720"/>
          <w:tab w:val="left" w:pos="360" w:leader="none"/>
        </w:tabs>
        <w:rPr>
          <w:u w:val="single"/>
        </w:rPr>
      </w:pPr>
      <w:r>
        <w:rPr>
          <w:u w:val="single"/>
        </w:rPr>
      </w:r>
    </w:p>
    <w:p>
      <w:pPr>
        <w:pStyle w:val="Outline1bL1"/>
        <w:tabs>
          <w:tab w:val="left" w:pos="720" w:leader="none"/>
        </w:tabs>
        <w:rPr/>
      </w:pPr>
      <w:r>
        <w:rPr/>
        <w:tab/>
        <w:t xml:space="preserve">Within 105 calendar days after the end of each fiscal year, an FCM must file the following financial statements with the proper regional office of the CFTC: </w:t>
      </w:r>
    </w:p>
    <w:p>
      <w:pPr>
        <w:pStyle w:val="Outline1bL2"/>
        <w:numPr>
          <w:ilvl w:val="1"/>
          <w:numId w:val="7"/>
        </w:numPr>
        <w:rPr/>
      </w:pPr>
      <w:r>
        <w:rPr/>
        <w:t xml:space="preserve">Fiscal year-end consolidated and consolidating balance sheets for the highest level MAP within the FCM’s organizational structure, which shall include the FCM and its other MAPs, prepared in accordance with generally accepted accounting principles, which consolidated balance sheets shall be audited by an independent certified public accountant if an annual audit is performed in the ordinary course of business, but which otherwise may be unaudited, and which consolidated balance sheets shall include appropriate explanatory notes.  The consolidating balance sheets may be those prepared by the FCM’s highest level MAP as part of its internal financial reporting process; </w:t>
      </w:r>
    </w:p>
    <w:p>
      <w:pPr>
        <w:pStyle w:val="Outline1bL2"/>
        <w:numPr>
          <w:ilvl w:val="1"/>
          <w:numId w:val="7"/>
        </w:numPr>
        <w:rPr/>
      </w:pPr>
      <w:r>
        <w:rPr/>
        <w:t>Fiscal year-end annual consolidated and consolidating income statements and consolidated cash flow statements for the highest level MAP within the FCM’s organizational structure, which shall include the FCM and its other MAPs, prepared in accordance with generally accepted accounting principles, which consolidated statements shall be audited by an independent certified public accountant if an annual audit is performed in the ordinary course of business, but which otherwise may be unaudited, and which consolidated statements shall include appropriate explanatory notes. The consolidating statements may be those prepared by the FCM's highest level MAP as part of its internal financial reporting process; and</w:t>
      </w:r>
    </w:p>
    <w:p>
      <w:pPr>
        <w:pStyle w:val="Outline1bL2"/>
        <w:numPr>
          <w:ilvl w:val="1"/>
          <w:numId w:val="7"/>
        </w:numPr>
        <w:rPr/>
      </w:pPr>
      <w:r>
        <w:rPr/>
        <w:t xml:space="preserve">Upon request, any additional information that the CFTC determines is necessary for a complete understanding of a particular affiliate's financial impact on the FCM’s organizational structure. </w:t>
      </w:r>
    </w:p>
    <w:p>
      <w:pPr>
        <w:pStyle w:val="Normal"/>
        <w:numPr>
          <w:ilvl w:val="0"/>
          <w:numId w:val="10"/>
        </w:numPr>
        <w:tabs>
          <w:tab w:val="clear" w:pos="720"/>
          <w:tab w:val="left" w:pos="990" w:leader="none"/>
          <w:tab w:val="left" w:pos="1080" w:leader="none"/>
        </w:tabs>
        <w:ind w:hanging="360" w:start="1080" w:end="0"/>
        <w:rPr/>
      </w:pPr>
      <w:r>
        <w:rPr/>
        <w:tab/>
        <w:t xml:space="preserve">ETS should file these materials on or before April 15, 2001.     </w:t>
      </w:r>
    </w:p>
    <w:p>
      <w:pPr>
        <w:pStyle w:val="Normal"/>
        <w:rPr/>
      </w:pPr>
      <w:r>
        <w:rPr/>
      </w:r>
    </w:p>
    <w:p>
      <w:pPr>
        <w:pStyle w:val="Normal"/>
        <w:tabs>
          <w:tab w:val="left" w:pos="720" w:leader="none"/>
        </w:tabs>
        <w:rPr/>
      </w:pPr>
      <w:r>
        <w:rPr/>
        <w:t>III.</w:t>
        <w:tab/>
      </w:r>
      <w:r>
        <w:rPr>
          <w:u w:val="single"/>
        </w:rPr>
        <w:t>FCM and/or MAPs Under the Supervision of Other Regulatory Authorities</w:t>
      </w:r>
    </w:p>
    <w:p>
      <w:pPr>
        <w:pStyle w:val="Normal"/>
        <w:tabs>
          <w:tab w:val="left" w:pos="720" w:leader="none"/>
        </w:tabs>
        <w:rPr>
          <w:u w:val="single"/>
        </w:rPr>
      </w:pPr>
      <w:r>
        <w:rPr>
          <w:u w:val="single"/>
        </w:rPr>
      </w:r>
    </w:p>
    <w:p>
      <w:pPr>
        <w:pStyle w:val="Normal"/>
        <w:tabs>
          <w:tab w:val="left" w:pos="720" w:leader="none"/>
        </w:tabs>
        <w:rPr/>
      </w:pPr>
      <w:r>
        <w:rPr/>
        <w:tab/>
        <w:t xml:space="preserve">If the FCM or any of its MAPs are subject to supervision by the Securities and Exchange Commission, a Federal Banking agency, or an insurance commissioner or other similar official or agency of a state, they may be able to meet at least the financial statement filing requirements using the filings they must make to such agencies.  </w:t>
      </w:r>
    </w:p>
    <w:p>
      <w:pPr>
        <w:pStyle w:val="Normal"/>
        <w:tabs>
          <w:tab w:val="clear" w:pos="720"/>
          <w:tab w:val="left" w:pos="360" w:leader="none"/>
        </w:tabs>
        <w:rPr/>
      </w:pPr>
      <w:r>
        <w:rPr/>
      </w:r>
    </w:p>
    <w:p>
      <w:pPr>
        <w:pStyle w:val="Normal"/>
        <w:numPr>
          <w:ilvl w:val="0"/>
          <w:numId w:val="5"/>
        </w:numPr>
        <w:tabs>
          <w:tab w:val="clear" w:pos="720"/>
          <w:tab w:val="left" w:pos="990" w:leader="none"/>
          <w:tab w:val="left" w:pos="1080" w:leader="none"/>
        </w:tabs>
        <w:ind w:hanging="360" w:start="1080" w:end="0"/>
        <w:rPr/>
      </w:pPr>
      <w:r>
        <w:rPr/>
        <w:tab/>
        <w:t>Please advise whether any of ETS’s MAPs are subject to such supervision.</w:t>
      </w:r>
    </w:p>
    <w:p>
      <w:pPr>
        <w:pStyle w:val="Normal"/>
        <w:ind w:firstLine="720" w:end="0"/>
        <w:rPr/>
      </w:pPr>
      <w:r>
        <w:rPr/>
      </w:r>
    </w:p>
    <w:p>
      <w:pPr>
        <w:pStyle w:val="Outline1bL1"/>
        <w:tabs>
          <w:tab w:val="left" w:pos="720" w:leader="none"/>
        </w:tabs>
        <w:rPr/>
      </w:pPr>
      <w:r>
        <w:rPr/>
        <w:t>IV.</w:t>
        <w:tab/>
      </w:r>
      <w:r>
        <w:rPr>
          <w:u w:val="single"/>
        </w:rPr>
        <w:t>MAPs Under the Supervision of a Foreign Regulatory Authority</w:t>
      </w:r>
    </w:p>
    <w:p>
      <w:pPr>
        <w:pStyle w:val="Outline1bL1"/>
        <w:tabs>
          <w:tab w:val="left" w:pos="720" w:leader="none"/>
        </w:tabs>
        <w:rPr/>
      </w:pPr>
      <w:r>
        <w:rPr/>
        <w:tab/>
        <w:t>If the FCM’s MAPs are subject to the supervision of a foreign regulatory authority, the FCM is deemed in compliance with the CFTC reporting requirements if the FCM furnishes, or causes the MAP to make available, copies of any financial or risk exposure reports filed by the MAP with the foreign authority, provided that:</w:t>
      </w:r>
    </w:p>
    <w:p>
      <w:pPr>
        <w:pStyle w:val="Outline1bL2"/>
        <w:numPr>
          <w:ilvl w:val="1"/>
          <w:numId w:val="2"/>
        </w:numPr>
        <w:rPr/>
      </w:pPr>
      <w:r>
        <w:rPr/>
        <w:t xml:space="preserve">The FCM agrees to use its best efforts to obtain from the MAP and to cause the MAP to provide, directly or through its foreign futures authority or other foreign regulatory authority, any supplemental information the CFTC may request and there is no statute or other bar in the foreign jurisdiction that would preclude the FCM, the MAP, the foreign futures authority or other foreign regulatory authority from providing such information to the CFTC; or </w:t>
      </w:r>
    </w:p>
    <w:p>
      <w:pPr>
        <w:pStyle w:val="Outline1bL2"/>
        <w:numPr>
          <w:ilvl w:val="1"/>
          <w:numId w:val="2"/>
        </w:numPr>
        <w:rPr/>
      </w:pPr>
      <w:r>
        <w:rPr/>
        <w:t xml:space="preserve">The foreign futures authority or other foreign regulatory authority with whom the MAP files such reports has entered into an information sharing agreement with the CFTC which is in effect as of the FCM’s fiscal year-end and which will allow the CFTC to obtain the type of information required herein.  The FCM shall file a copy of the original report and an English translation. </w:t>
      </w:r>
    </w:p>
    <w:p>
      <w:pPr>
        <w:pStyle w:val="Normal"/>
        <w:numPr>
          <w:ilvl w:val="0"/>
          <w:numId w:val="3"/>
        </w:numPr>
        <w:tabs>
          <w:tab w:val="clear" w:pos="720"/>
          <w:tab w:val="left" w:pos="990" w:leader="none"/>
          <w:tab w:val="left" w:pos="1080" w:leader="none"/>
        </w:tabs>
        <w:ind w:hanging="360" w:start="1080" w:end="0"/>
        <w:rPr/>
      </w:pPr>
      <w:r>
        <w:rPr/>
        <w:tab/>
        <w:t>Please advise whether Enron, Ltd. files any such reports.</w:t>
      </w:r>
    </w:p>
    <w:p>
      <w:pPr>
        <w:pStyle w:val="Normal"/>
        <w:ind w:firstLine="720" w:end="0"/>
        <w:rPr/>
      </w:pPr>
      <w:r>
        <w:rPr/>
      </w:r>
    </w:p>
    <w:p>
      <w:pPr>
        <w:pStyle w:val="Outline1bL1"/>
        <w:tabs>
          <w:tab w:val="left" w:pos="720" w:leader="none"/>
        </w:tabs>
        <w:rPr/>
      </w:pPr>
      <w:r>
        <w:rPr/>
        <w:t>V.</w:t>
        <w:tab/>
      </w:r>
      <w:r>
        <w:rPr>
          <w:u w:val="single"/>
        </w:rPr>
        <w:t>Determination of Which Affiliates are MAPs</w:t>
      </w:r>
      <w:r>
        <w:rPr/>
        <w:t xml:space="preserve"> </w:t>
      </w:r>
    </w:p>
    <w:p>
      <w:pPr>
        <w:pStyle w:val="Outline1bL1"/>
        <w:numPr>
          <w:ilvl w:val="1"/>
          <w:numId w:val="4"/>
        </w:numPr>
        <w:rPr/>
      </w:pPr>
      <w:r>
        <w:rPr/>
        <w:t xml:space="preserve">The determination of whether an affiliated person of an FCM is a MAP involves a consideration of all aspects of the activities of, and the relationship between, both entities, including without limitation, the following factors: </w:t>
      </w:r>
    </w:p>
    <w:p>
      <w:pPr>
        <w:pStyle w:val="Outline1bL2"/>
        <w:numPr>
          <w:ilvl w:val="2"/>
          <w:numId w:val="4"/>
        </w:numPr>
        <w:rPr/>
      </w:pPr>
      <w:r>
        <w:rPr/>
        <w:t xml:space="preserve">The legal relationship between the FCM and the affiliated person; </w:t>
      </w:r>
    </w:p>
    <w:p>
      <w:pPr>
        <w:pStyle w:val="Outline1bL2"/>
        <w:numPr>
          <w:ilvl w:val="2"/>
          <w:numId w:val="4"/>
        </w:numPr>
        <w:rPr/>
      </w:pPr>
      <w:r>
        <w:rPr/>
        <w:t xml:space="preserve">The overall financing requirements of the FCM and the affiliated person, and the degree, if any, to which the FCM and the affiliated person are financially dependent on each other; </w:t>
      </w:r>
    </w:p>
    <w:p>
      <w:pPr>
        <w:pStyle w:val="Outline1bL2"/>
        <w:numPr>
          <w:ilvl w:val="2"/>
          <w:numId w:val="4"/>
        </w:numPr>
        <w:rPr/>
      </w:pPr>
      <w:r>
        <w:rPr/>
        <w:t xml:space="preserve">The degree, if any, to which the FCM or its customers rely on the affiliated person for operational support or services in connection with the FCM’s business; </w:t>
      </w:r>
    </w:p>
    <w:p>
      <w:pPr>
        <w:pStyle w:val="Outline1bL2"/>
        <w:numPr>
          <w:ilvl w:val="2"/>
          <w:numId w:val="4"/>
        </w:numPr>
        <w:rPr/>
      </w:pPr>
      <w:r>
        <w:rPr/>
        <w:t xml:space="preserve">The level of market, credit or other risk present in the activities of the affiliated person; and </w:t>
      </w:r>
    </w:p>
    <w:p>
      <w:pPr>
        <w:pStyle w:val="Outline1bL2"/>
        <w:numPr>
          <w:ilvl w:val="2"/>
          <w:numId w:val="4"/>
        </w:numPr>
        <w:rPr/>
      </w:pPr>
      <w:r>
        <w:rPr/>
        <w:t xml:space="preserve">The extent to which the affiliated person has the authority or the ability to cause a withdrawal of capital from the FCM. </w:t>
      </w:r>
    </w:p>
    <w:p>
      <w:pPr>
        <w:pStyle w:val="Normal"/>
        <w:numPr>
          <w:ilvl w:val="0"/>
          <w:numId w:val="13"/>
        </w:numPr>
        <w:tabs>
          <w:tab w:val="clear" w:pos="720"/>
          <w:tab w:val="left" w:pos="540" w:leader="none"/>
          <w:tab w:val="left" w:pos="900" w:leader="none"/>
          <w:tab w:val="left" w:pos="1080" w:leader="none"/>
        </w:tabs>
        <w:ind w:hanging="360" w:start="900" w:end="0"/>
        <w:rPr/>
      </w:pPr>
      <w:r>
        <w:rPr/>
        <w:t>We will need to discuss these issues with you in preparing ETS’s risk assessment report.</w:t>
      </w:r>
    </w:p>
    <w:p>
      <w:pPr>
        <w:pStyle w:val="Normal"/>
        <w:ind w:firstLine="720" w:end="0"/>
        <w:rPr/>
      </w:pPr>
      <w:r>
        <w:rPr/>
      </w:r>
    </w:p>
    <w:p>
      <w:pPr>
        <w:pStyle w:val="Outline1bL1"/>
        <w:tabs>
          <w:tab w:val="left" w:pos="720" w:leader="none"/>
        </w:tabs>
        <w:rPr/>
      </w:pPr>
      <w:r>
        <w:rPr/>
        <w:t>VI.</w:t>
        <w:tab/>
      </w:r>
      <w:r>
        <w:rPr>
          <w:u w:val="single"/>
        </w:rPr>
        <w:t>Information we need from ETS</w:t>
      </w:r>
    </w:p>
    <w:p>
      <w:pPr>
        <w:pStyle w:val="Outline1bL1"/>
        <w:tabs>
          <w:tab w:val="left" w:pos="720" w:leader="none"/>
        </w:tabs>
        <w:rPr/>
      </w:pPr>
      <w:r>
        <w:rPr/>
        <w:tab/>
        <w:t xml:space="preserve">Please provide us with the following information as soon as possible: </w:t>
      </w:r>
    </w:p>
    <w:p>
      <w:pPr>
        <w:pStyle w:val="Outline1bL2"/>
        <w:numPr>
          <w:ilvl w:val="1"/>
          <w:numId w:val="9"/>
        </w:numPr>
        <w:rPr/>
      </w:pPr>
      <w:r>
        <w:rPr/>
        <w:t xml:space="preserve">Current Organizational Chart of Enron Corp.;   </w:t>
      </w:r>
    </w:p>
    <w:p>
      <w:pPr>
        <w:pStyle w:val="Outline1bL2"/>
        <w:numPr>
          <w:ilvl w:val="1"/>
          <w:numId w:val="9"/>
        </w:numPr>
        <w:rPr/>
      </w:pPr>
      <w:r>
        <w:rPr/>
        <w:t xml:space="preserve">A list of affiliates filing routine financial or risk exposure reports with the regulators referred to in Section I.A.2. above; </w:t>
      </w:r>
    </w:p>
    <w:p>
      <w:pPr>
        <w:pStyle w:val="Outline1bL2"/>
        <w:numPr>
          <w:ilvl w:val="1"/>
          <w:numId w:val="9"/>
        </w:numPr>
        <w:rPr/>
      </w:pPr>
      <w:r>
        <w:rPr/>
        <w:t>A list of those affiliates that are OTC derivatives dealers and/or those that are end-users;</w:t>
      </w:r>
    </w:p>
    <w:p>
      <w:pPr>
        <w:pStyle w:val="Outline1bL2"/>
        <w:numPr>
          <w:ilvl w:val="1"/>
          <w:numId w:val="9"/>
        </w:numPr>
        <w:rPr/>
      </w:pPr>
      <w:r>
        <w:rPr/>
        <w:t xml:space="preserve">A list of affiliates maintaining accounts with ETS; </w:t>
      </w:r>
    </w:p>
    <w:p>
      <w:pPr>
        <w:pStyle w:val="Outline1bL2"/>
        <w:numPr>
          <w:ilvl w:val="1"/>
          <w:numId w:val="9"/>
        </w:numPr>
        <w:rPr/>
      </w:pPr>
      <w:r>
        <w:rPr/>
        <w:t xml:space="preserve">Copies of any written financial, operational, and risk management policies, procedures, and systems of ETS (see Sections I.B.1-3 above)  </w:t>
      </w:r>
      <w:r>
        <w:rPr>
          <w:b/>
        </w:rPr>
        <w:t>[Please confirm that we have the latest version]</w:t>
      </w:r>
      <w:r>
        <w:rPr/>
        <w:t>;</w:t>
      </w:r>
    </w:p>
    <w:p>
      <w:pPr>
        <w:pStyle w:val="Outline1bL2"/>
        <w:numPr>
          <w:ilvl w:val="1"/>
          <w:numId w:val="9"/>
        </w:numPr>
        <w:rPr/>
      </w:pPr>
      <w:r>
        <w:rPr/>
        <w:t xml:space="preserve">Most recent audited and/or unaudited Financial Statements and/or Statements of Financial Condition </w:t>
      </w:r>
      <w:r>
        <w:rPr>
          <w:b/>
        </w:rPr>
        <w:t>[Not needed until April 15, 2001, for financial statement filing but may assist us in determining which ETS affiliates are MAPs]</w:t>
      </w:r>
      <w:r>
        <w:rPr/>
        <w:t>;</w:t>
      </w:r>
    </w:p>
    <w:p>
      <w:pPr>
        <w:pStyle w:val="Outline1bL2"/>
        <w:numPr>
          <w:ilvl w:val="1"/>
          <w:numId w:val="9"/>
        </w:numPr>
        <w:rPr/>
      </w:pPr>
      <w:r>
        <w:rPr/>
        <w:t xml:space="preserve">A description of the financing arrangements for each affiliate, including whether any will provide credit, financing or capital to ETS; </w:t>
      </w:r>
    </w:p>
    <w:p>
      <w:pPr>
        <w:pStyle w:val="Outline1bL2"/>
        <w:numPr>
          <w:ilvl w:val="1"/>
          <w:numId w:val="9"/>
        </w:numPr>
        <w:rPr/>
      </w:pPr>
      <w:r>
        <w:rPr/>
        <w:t>A description of the relationship to each affiliate and whether any will be providing operational support or services to ETS; and</w:t>
      </w:r>
    </w:p>
    <w:p>
      <w:pPr>
        <w:pStyle w:val="Outline1bL2"/>
        <w:numPr>
          <w:ilvl w:val="1"/>
          <w:numId w:val="9"/>
        </w:numPr>
        <w:spacing w:before="0" w:after="240"/>
        <w:rPr/>
      </w:pPr>
      <w:r>
        <w:rPr/>
        <w:t>Any other documents demonstrating the presence or absence of the relationships or authority discussed in this Section VI. (e.g., an internal memorandum analyzing the market risk assumed by a MAP).</w:t>
      </w:r>
    </w:p>
    <w:sectPr>
      <w:headerReference w:type="default" r:id="rId2"/>
      <w:headerReference w:type="first" r:id="rId3"/>
      <w:footerReference w:type="default" r:id="rId4"/>
      <w:footerReference w:type="first" r:id="rId5"/>
      <w:type w:val="nextPage"/>
      <w:pgSz w:w="12240" w:h="15840"/>
      <w:pgMar w:left="1728" w:right="1728"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sz w:val="15"/>
      </w:rPr>
    </w:pPr>
    <w:r>
      <w:rPr>
        <w:sz w:val="15"/>
      </w:rPr>
    </w:r>
  </w:p>
  <w:p>
    <w:pPr>
      <w:pStyle w:val="Footer"/>
      <w:rPr>
        <w:sz w:val="15"/>
      </w:rPr>
    </w:pPr>
    <w:r>
      <w:rPr>
        <w:sz w:val="15"/>
      </w:rPr>
    </w:r>
  </w:p>
  <w:p>
    <w:pPr>
      <w:pStyle w:val="Footer"/>
      <w:rPr>
        <w:sz w:val="15"/>
      </w:rPr>
    </w:pPr>
    <w:r>
      <w:rPr>
        <w:sz w:val="15"/>
      </w:rPr>
      <w:t>WDC99 341539-3.038915.0015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Footer"/>
      <w:rPr>
        <w:sz w:val="15"/>
      </w:rPr>
    </w:pPr>
    <w:r>
      <w:rPr>
        <w:sz w:val="15"/>
      </w:rPr>
    </w:r>
  </w:p>
  <w:p>
    <w:pPr>
      <w:pStyle w:val="Footer"/>
      <w:rPr>
        <w:sz w:val="15"/>
      </w:rPr>
    </w:pPr>
    <w:r>
      <w:rPr>
        <w:sz w:val="15"/>
      </w:rPr>
      <w:t>WDC99 341539-3.038915.0015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t>PRIVILEGED AND CONFIDENTIAL</w:t>
    </w:r>
  </w:p>
  <w:p>
    <w:pPr>
      <w:pStyle w:val="Header"/>
      <w:jc w:val="end"/>
      <w:rPr>
        <w:b/>
      </w:rPr>
    </w:pPr>
    <w:r>
      <w:rPr>
        <w:b/>
      </w:rPr>
      <w:t>ATTORNEY/CLIENT COMMUNICATION</w:t>
    </w:r>
  </w:p>
  <w:p>
    <w:pPr>
      <w:pStyle w:val="Header"/>
      <w:jc w:val="end"/>
      <w:rPr>
        <w:b/>
      </w:rPr>
    </w:pPr>
    <w:r>
      <w:rPr>
        <w:b/>
      </w:rPr>
      <w:t>ATTORNEY WORK PRODUCT</w:t>
    </w:r>
  </w:p>
  <w:p>
    <w:pPr>
      <w:pStyle w:val="Header"/>
      <w:jc w:val="end"/>
      <w:rPr>
        <w:b/>
      </w:rPr>
    </w:pPr>
    <w:r>
      <w:rPr>
        <w:b/>
      </w:rPr>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3"/>
      <w:numFmt w:val="decimal"/>
      <w:lvlText w:val="%1."/>
      <w:lvlJc w:val="start"/>
      <w:pPr>
        <w:tabs>
          <w:tab w:val="num" w:pos="360"/>
        </w:tabs>
        <w:ind w:start="360" w:hanging="360"/>
      </w:pPr>
      <w:rPr>
        <w:dstrike w:val="false"/>
        <w:strike w:val="false"/>
        <w:vertAlign w:val="baseline"/>
        <w:position w:val="0"/>
        <w:sz w:val="24"/>
      </w:rPr>
    </w:lvl>
    <w:lvl w:ilvl="1">
      <w:start w:val="1"/>
      <w:numFmt w:val="upperLetter"/>
      <w:lvlText w:val="%2."/>
      <w:lvlJc w:val="start"/>
      <w:pPr>
        <w:tabs>
          <w:tab w:val="num" w:pos="1440"/>
        </w:tabs>
        <w:ind w:start="1440" w:hanging="720"/>
      </w:pPr>
      <w:rPr/>
    </w:lvl>
    <w:lvl w:ilvl="2">
      <w:start w:val="1"/>
      <w:numFmt w:val="decimal"/>
      <w:lvlText w:val="(%3)"/>
      <w:lvlJc w:val="start"/>
      <w:pPr>
        <w:tabs>
          <w:tab w:val="num" w:pos="1800"/>
        </w:tabs>
        <w:ind w:start="1800" w:hanging="720"/>
      </w:pPr>
      <w:rPr/>
    </w:lvl>
    <w:lvl w:ilvl="3">
      <w:start w:val="1"/>
      <w:numFmt w:val="lowerLetter"/>
      <w:lvlText w:val="%4."/>
      <w:lvlJc w:val="start"/>
      <w:pPr>
        <w:tabs>
          <w:tab w:val="num" w:pos="2160"/>
        </w:tabs>
        <w:ind w:start="2160" w:hanging="720"/>
      </w:pPr>
      <w:rPr/>
    </w:lvl>
    <w:lvl w:ilvl="4">
      <w:start w:val="1"/>
      <w:numFmt w:val="lowerRoman"/>
      <w:lvlText w:val="%5."/>
      <w:lvlJc w:val="start"/>
      <w:pPr>
        <w:tabs>
          <w:tab w:val="num" w:pos="2880"/>
        </w:tabs>
        <w:ind w:start="2880"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00"/>
        </w:tabs>
        <w:ind w:start="3600" w:hanging="1080"/>
      </w:pPr>
      <w:rPr/>
    </w:lvl>
    <w:lvl w:ilvl="7">
      <w:start w:val="1"/>
      <w:numFmt w:val="decimal"/>
      <w:lvlText w:val="%1.%2.%3.%4.%5.%6.%7.%8."/>
      <w:lvlJc w:val="start"/>
      <w:pPr>
        <w:tabs>
          <w:tab w:val="num" w:pos="4320"/>
        </w:tabs>
        <w:ind w:start="4320" w:hanging="1440"/>
      </w:pPr>
      <w:rPr/>
    </w:lvl>
    <w:lvl w:ilvl="8">
      <w:start w:val="1"/>
      <w:numFmt w:val="decimal"/>
      <w:lvlText w:val="%1.%2.%3.%4.%5.%6.%7.%8.%9."/>
      <w:lvlJc w:val="start"/>
      <w:pPr>
        <w:tabs>
          <w:tab w:val="num" w:pos="4680"/>
        </w:tabs>
        <w:ind w:start="4680" w:hanging="1440"/>
      </w:pPr>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5"/>
      <w:numFmt w:val="decimal"/>
      <w:lvlText w:val="%1."/>
      <w:lvlJc w:val="start"/>
      <w:pPr>
        <w:tabs>
          <w:tab w:val="num" w:pos="360"/>
        </w:tabs>
        <w:ind w:start="360" w:hanging="360"/>
      </w:pPr>
      <w:rPr>
        <w:dstrike w:val="false"/>
        <w:strike w:val="false"/>
        <w:vertAlign w:val="baseline"/>
        <w:position w:val="0"/>
        <w:sz w:val="24"/>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160"/>
        </w:tabs>
        <w:ind w:start="2160" w:hanging="720"/>
      </w:pPr>
      <w:rPr/>
    </w:lvl>
    <w:lvl w:ilvl="4">
      <w:start w:val="1"/>
      <w:numFmt w:val="lowerRoman"/>
      <w:lvlText w:val="%5."/>
      <w:lvlJc w:val="start"/>
      <w:pPr>
        <w:tabs>
          <w:tab w:val="num" w:pos="2880"/>
        </w:tabs>
        <w:ind w:start="2880"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00"/>
        </w:tabs>
        <w:ind w:start="3600" w:hanging="1080"/>
      </w:pPr>
      <w:rPr/>
    </w:lvl>
    <w:lvl w:ilvl="7">
      <w:start w:val="1"/>
      <w:numFmt w:val="decimal"/>
      <w:lvlText w:val="%1.%2.%3.%4.%5.%6.%7.%8."/>
      <w:lvlJc w:val="start"/>
      <w:pPr>
        <w:tabs>
          <w:tab w:val="num" w:pos="4320"/>
        </w:tabs>
        <w:ind w:start="4320" w:hanging="1440"/>
      </w:pPr>
      <w:rPr/>
    </w:lvl>
    <w:lvl w:ilvl="8">
      <w:start w:val="1"/>
      <w:numFmt w:val="decimal"/>
      <w:lvlText w:val="%1.%2.%3.%4.%5.%6.%7.%8.%9."/>
      <w:lvlJc w:val="start"/>
      <w:pPr>
        <w:tabs>
          <w:tab w:val="num" w:pos="4680"/>
        </w:tabs>
        <w:ind w:start="4680" w:hanging="1440"/>
      </w:pPr>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lowerLetter"/>
      <w:lvlText w:val="%4."/>
      <w:lvlJc w:val="start"/>
      <w:pPr>
        <w:tabs>
          <w:tab w:val="num" w:pos="2160"/>
        </w:tabs>
        <w:ind w:start="2160" w:hanging="720"/>
      </w:pPr>
      <w:rPr/>
    </w:lvl>
    <w:lvl w:ilvl="4">
      <w:start w:val="1"/>
      <w:numFmt w:val="lowerRoman"/>
      <w:lvlText w:val="%5."/>
      <w:lvlJc w:val="start"/>
      <w:pPr>
        <w:tabs>
          <w:tab w:val="num" w:pos="2880"/>
        </w:tabs>
        <w:ind w:start="2880"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00"/>
        </w:tabs>
        <w:ind w:start="3600" w:hanging="1080"/>
      </w:pPr>
      <w:rPr/>
    </w:lvl>
    <w:lvl w:ilvl="7">
      <w:start w:val="1"/>
      <w:numFmt w:val="decimal"/>
      <w:lvlText w:val="%1.%2.%3.%4.%5.%6.%7.%8."/>
      <w:lvlJc w:val="start"/>
      <w:pPr>
        <w:tabs>
          <w:tab w:val="num" w:pos="4320"/>
        </w:tabs>
        <w:ind w:start="4320" w:hanging="1440"/>
      </w:pPr>
      <w:rPr/>
    </w:lvl>
    <w:lvl w:ilvl="8">
      <w:start w:val="1"/>
      <w:numFmt w:val="decimal"/>
      <w:lvlText w:val="%1.%2.%3.%4.%5.%6.%7.%8.%9."/>
      <w:lvlJc w:val="start"/>
      <w:pPr>
        <w:tabs>
          <w:tab w:val="num" w:pos="4680"/>
        </w:tabs>
        <w:ind w:start="4680" w:hanging="1440"/>
      </w:pPr>
      <w:rPr/>
    </w:lvl>
  </w:abstractNum>
  <w:abstractNum w:abstractNumId="7">
    <w:lvl w:ilvl="0">
      <w:start w:val="1"/>
      <w:numFmt w:val="decimal"/>
      <w:lvlText w:val="%1."/>
      <w:lvlJc w:val="start"/>
      <w:pPr>
        <w:tabs>
          <w:tab w:val="num" w:pos="360"/>
        </w:tabs>
        <w:ind w:start="360" w:hanging="360"/>
      </w:pPr>
      <w:rPr>
        <w:dstrike w:val="false"/>
        <w:strike w:val="false"/>
        <w:vertAlign w:val="baseline"/>
        <w:position w:val="0"/>
        <w:sz w:val="24"/>
      </w:rPr>
    </w:lvl>
    <w:lvl w:ilvl="1">
      <w:start w:val="1"/>
      <w:numFmt w:val="upperLetter"/>
      <w:lvlText w:val="%2."/>
      <w:lvlJc w:val="start"/>
      <w:pPr>
        <w:tabs>
          <w:tab w:val="num" w:pos="1440"/>
        </w:tabs>
        <w:ind w:start="1440" w:hanging="720"/>
      </w:pPr>
      <w:rPr/>
    </w:lvl>
    <w:lvl w:ilvl="2">
      <w:start w:val="1"/>
      <w:numFmt w:val="decimal"/>
      <w:lvlText w:val="(%3)"/>
      <w:lvlJc w:val="start"/>
      <w:pPr>
        <w:tabs>
          <w:tab w:val="num" w:pos="1800"/>
        </w:tabs>
        <w:ind w:start="1800" w:hanging="720"/>
      </w:pPr>
      <w:rPr/>
    </w:lvl>
    <w:lvl w:ilvl="3">
      <w:start w:val="1"/>
      <w:numFmt w:val="lowerLetter"/>
      <w:lvlText w:val="%4."/>
      <w:lvlJc w:val="start"/>
      <w:pPr>
        <w:tabs>
          <w:tab w:val="num" w:pos="2160"/>
        </w:tabs>
        <w:ind w:start="2160" w:hanging="720"/>
      </w:pPr>
      <w:rPr/>
    </w:lvl>
    <w:lvl w:ilvl="4">
      <w:start w:val="1"/>
      <w:numFmt w:val="lowerRoman"/>
      <w:lvlText w:val="%5."/>
      <w:lvlJc w:val="start"/>
      <w:pPr>
        <w:tabs>
          <w:tab w:val="num" w:pos="2880"/>
        </w:tabs>
        <w:ind w:start="2880"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00"/>
        </w:tabs>
        <w:ind w:start="3600" w:hanging="1080"/>
      </w:pPr>
      <w:rPr/>
    </w:lvl>
    <w:lvl w:ilvl="7">
      <w:start w:val="1"/>
      <w:numFmt w:val="decimal"/>
      <w:lvlText w:val="%1.%2.%3.%4.%5.%6.%7.%8."/>
      <w:lvlJc w:val="start"/>
      <w:pPr>
        <w:tabs>
          <w:tab w:val="num" w:pos="4320"/>
        </w:tabs>
        <w:ind w:start="4320" w:hanging="1440"/>
      </w:pPr>
      <w:rPr/>
    </w:lvl>
    <w:lvl w:ilvl="8">
      <w:start w:val="1"/>
      <w:numFmt w:val="decimal"/>
      <w:lvlText w:val="%1.%2.%3.%4.%5.%6.%7.%8.%9."/>
      <w:lvlJc w:val="start"/>
      <w:pPr>
        <w:tabs>
          <w:tab w:val="num" w:pos="4680"/>
        </w:tabs>
        <w:ind w:start="4680" w:hanging="1440"/>
      </w:pPr>
      <w:rPr/>
    </w:lvl>
  </w:abstractNum>
  <w:abstractNum w:abstractNumId="8">
    <w:lvl w:ilvl="0">
      <w:start w:val="1"/>
      <w:numFmt w:val="decimal"/>
      <w:lvlText w:val="%1."/>
      <w:lvlJc w:val="start"/>
      <w:pPr>
        <w:tabs>
          <w:tab w:val="num" w:pos="360"/>
        </w:tabs>
        <w:ind w:start="360" w:hanging="360"/>
      </w:pPr>
      <w:rPr>
        <w:dstrike w:val="false"/>
        <w:strike w:val="false"/>
        <w:vertAlign w:val="baseline"/>
        <w:position w:val="0"/>
        <w:sz w:val="24"/>
      </w:rPr>
    </w:lvl>
    <w:lvl w:ilvl="1">
      <w:start w:val="1"/>
      <w:numFmt w:val="upperLetter"/>
      <w:lvlText w:val="%2."/>
      <w:lvlJc w:val="start"/>
      <w:pPr>
        <w:tabs>
          <w:tab w:val="num" w:pos="1440"/>
        </w:tabs>
        <w:ind w:start="1440" w:hanging="720"/>
      </w:pPr>
      <w:rPr/>
    </w:lvl>
    <w:lvl w:ilvl="2">
      <w:start w:val="1"/>
      <w:numFmt w:val="decimal"/>
      <w:lvlText w:val="(%3)"/>
      <w:lvlJc w:val="start"/>
      <w:pPr>
        <w:tabs>
          <w:tab w:val="num" w:pos="1800"/>
        </w:tabs>
        <w:ind w:start="1800" w:hanging="720"/>
      </w:pPr>
      <w:rPr/>
    </w:lvl>
    <w:lvl w:ilvl="3">
      <w:start w:val="1"/>
      <w:numFmt w:val="lowerLetter"/>
      <w:lvlText w:val="%4."/>
      <w:lvlJc w:val="start"/>
      <w:pPr>
        <w:tabs>
          <w:tab w:val="num" w:pos="2160"/>
        </w:tabs>
        <w:ind w:start="2160" w:hanging="720"/>
      </w:pPr>
      <w:rPr/>
    </w:lvl>
    <w:lvl w:ilvl="4">
      <w:start w:val="1"/>
      <w:numFmt w:val="lowerRoman"/>
      <w:lvlText w:val="%5."/>
      <w:lvlJc w:val="start"/>
      <w:pPr>
        <w:tabs>
          <w:tab w:val="num" w:pos="2880"/>
        </w:tabs>
        <w:ind w:start="2880"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00"/>
        </w:tabs>
        <w:ind w:start="3600" w:hanging="1080"/>
      </w:pPr>
      <w:rPr/>
    </w:lvl>
    <w:lvl w:ilvl="7">
      <w:start w:val="1"/>
      <w:numFmt w:val="decimal"/>
      <w:lvlText w:val="%1.%2.%3.%4.%5.%6.%7.%8."/>
      <w:lvlJc w:val="start"/>
      <w:pPr>
        <w:tabs>
          <w:tab w:val="num" w:pos="4320"/>
        </w:tabs>
        <w:ind w:start="4320" w:hanging="1440"/>
      </w:pPr>
      <w:rPr/>
    </w:lvl>
    <w:lvl w:ilvl="8">
      <w:start w:val="1"/>
      <w:numFmt w:val="decimal"/>
      <w:lvlText w:val="%1.%2.%3.%4.%5.%6.%7.%8.%9."/>
      <w:lvlJc w:val="start"/>
      <w:pPr>
        <w:tabs>
          <w:tab w:val="num" w:pos="4680"/>
        </w:tabs>
        <w:ind w:start="4680" w:hanging="1440"/>
      </w:pPr>
      <w:rPr/>
    </w:lvl>
  </w:abstractNum>
  <w:abstractNum w:abstractNumId="9">
    <w:lvl w:ilvl="0">
      <w:start w:val="6"/>
      <w:numFmt w:val="decimal"/>
      <w:lvlText w:val="%1."/>
      <w:lvlJc w:val="start"/>
      <w:pPr>
        <w:tabs>
          <w:tab w:val="num" w:pos="360"/>
        </w:tabs>
        <w:ind w:start="360" w:hanging="360"/>
      </w:pPr>
      <w:rPr>
        <w:dstrike w:val="false"/>
        <w:strike w:val="false"/>
        <w:vertAlign w:val="baseline"/>
        <w:position w:val="0"/>
        <w:sz w:val="24"/>
      </w:rPr>
    </w:lvl>
    <w:lvl w:ilvl="1">
      <w:start w:val="1"/>
      <w:numFmt w:val="upperLetter"/>
      <w:lvlText w:val="%2."/>
      <w:lvlJc w:val="start"/>
      <w:pPr>
        <w:tabs>
          <w:tab w:val="num" w:pos="1440"/>
        </w:tabs>
        <w:ind w:start="1440" w:hanging="720"/>
      </w:pPr>
      <w:rPr/>
    </w:lvl>
    <w:lvl w:ilvl="2">
      <w:start w:val="1"/>
      <w:numFmt w:val="decimal"/>
      <w:lvlText w:val="(%3)"/>
      <w:lvlJc w:val="start"/>
      <w:pPr>
        <w:tabs>
          <w:tab w:val="num" w:pos="1800"/>
        </w:tabs>
        <w:ind w:start="1800" w:hanging="720"/>
      </w:pPr>
      <w:rPr/>
    </w:lvl>
    <w:lvl w:ilvl="3">
      <w:start w:val="1"/>
      <w:numFmt w:val="lowerLetter"/>
      <w:lvlText w:val="%4."/>
      <w:lvlJc w:val="start"/>
      <w:pPr>
        <w:tabs>
          <w:tab w:val="num" w:pos="2160"/>
        </w:tabs>
        <w:ind w:start="2160" w:hanging="720"/>
      </w:pPr>
      <w:rPr/>
    </w:lvl>
    <w:lvl w:ilvl="4">
      <w:start w:val="1"/>
      <w:numFmt w:val="lowerRoman"/>
      <w:lvlText w:val="%5."/>
      <w:lvlJc w:val="start"/>
      <w:pPr>
        <w:tabs>
          <w:tab w:val="num" w:pos="2880"/>
        </w:tabs>
        <w:ind w:start="2880" w:hanging="1080"/>
      </w:pPr>
      <w:rPr/>
    </w:lvl>
    <w:lvl w:ilvl="5">
      <w:start w:val="1"/>
      <w:numFmt w:val="decimal"/>
      <w:lvlText w:val="%1.%2.%3.%4.%5.%6."/>
      <w:lvlJc w:val="start"/>
      <w:pPr>
        <w:tabs>
          <w:tab w:val="num" w:pos="3240"/>
        </w:tabs>
        <w:ind w:start="3240" w:hanging="1080"/>
      </w:pPr>
      <w:rPr/>
    </w:lvl>
    <w:lvl w:ilvl="6">
      <w:start w:val="1"/>
      <w:numFmt w:val="decimal"/>
      <w:lvlText w:val="%1.%2.%3.%4.%5.%6.%7."/>
      <w:lvlJc w:val="start"/>
      <w:pPr>
        <w:tabs>
          <w:tab w:val="num" w:pos="3600"/>
        </w:tabs>
        <w:ind w:start="3600" w:hanging="1080"/>
      </w:pPr>
      <w:rPr/>
    </w:lvl>
    <w:lvl w:ilvl="7">
      <w:start w:val="1"/>
      <w:numFmt w:val="decimal"/>
      <w:lvlText w:val="%1.%2.%3.%4.%5.%6.%7.%8."/>
      <w:lvlJc w:val="start"/>
      <w:pPr>
        <w:tabs>
          <w:tab w:val="num" w:pos="4320"/>
        </w:tabs>
        <w:ind w:start="4320" w:hanging="1440"/>
      </w:pPr>
      <w:rPr/>
    </w:lvl>
    <w:lvl w:ilvl="8">
      <w:start w:val="1"/>
      <w:numFmt w:val="decimal"/>
      <w:lvlText w:val="%1.%2.%3.%4.%5.%6.%7.%8.%9."/>
      <w:lvlJc w:val="start"/>
      <w:pPr>
        <w:tabs>
          <w:tab w:val="num" w:pos="4680"/>
        </w:tabs>
        <w:ind w:start="4680" w:hanging="1440"/>
      </w:pPr>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1.%2.%3"/>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Roman"/>
      <w:lvlText w:val="(%8)"/>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decimal"/>
      <w:lvlText w:val="(%9)"/>
      <w:lvlJc w:val="start"/>
      <w:pPr>
        <w:tabs>
          <w:tab w:val="num" w:pos="288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CurrentTOCScheme" w:val="Article1b"/>
    <w:docVar w:name="zzmpFixedCurScheme" w:val="Outline1b"/>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strike w:val="false"/>
      <w:dstrike w:val="false"/>
      <w:position w:val="0"/>
      <w:sz w:val="24"/>
      <w:vertAlign w:val="baseline"/>
    </w:rPr>
  </w:style>
  <w:style w:type="character" w:styleId="WW8Num2z1">
    <w:name w:val="WW8Num2z1"/>
    <w:qFormat/>
    <w:rPr/>
  </w:style>
  <w:style w:type="character" w:styleId="WW8Num3z0">
    <w:name w:val="WW8Num3z0"/>
    <w:qFormat/>
    <w:rPr>
      <w:strike w:val="false"/>
      <w:dstrike w:val="false"/>
      <w:position w:val="0"/>
      <w:sz w:val="24"/>
      <w:vertAlign w:val="baseline"/>
    </w:rPr>
  </w:style>
  <w:style w:type="character" w:styleId="WW8Num3z1">
    <w:name w:val="WW8Num3z1"/>
    <w:qFormat/>
    <w:rPr/>
  </w:style>
  <w:style w:type="character" w:styleId="WW8Num4z0">
    <w:name w:val="WW8Num4z0"/>
    <w:qFormat/>
    <w:rPr>
      <w:strike w:val="false"/>
      <w:dstrike w:val="false"/>
      <w:position w:val="0"/>
      <w:sz w:val="24"/>
      <w:vertAlign w:val="baseline"/>
    </w:rPr>
  </w:style>
  <w:style w:type="character" w:styleId="WW8Num4z1">
    <w:name w:val="WW8Num4z1"/>
    <w:qFormat/>
    <w:rPr/>
  </w:style>
  <w:style w:type="character" w:styleId="WW8Num5z0">
    <w:name w:val="WW8Num5z0"/>
    <w:qFormat/>
    <w:rPr/>
  </w:style>
  <w:style w:type="character" w:styleId="WW8Num6z0">
    <w:name w:val="WW8Num6z0"/>
    <w:qFormat/>
    <w:rPr>
      <w:strike w:val="false"/>
      <w:dstrike w:val="false"/>
      <w:position w:val="0"/>
      <w:sz w:val="24"/>
      <w:vertAlign w:val="baseline"/>
    </w:rPr>
  </w:style>
  <w:style w:type="character" w:styleId="WW8Num6z1">
    <w:name w:val="WW8Num6z1"/>
    <w:qFormat/>
    <w:rPr/>
  </w:style>
  <w:style w:type="character" w:styleId="WW8Num7z0">
    <w:name w:val="WW8Num7z0"/>
    <w:qFormat/>
    <w:rPr>
      <w:strike w:val="false"/>
      <w:dstrike w:val="false"/>
      <w:position w:val="0"/>
      <w:sz w:val="24"/>
      <w:vertAlign w:val="baseline"/>
    </w:rPr>
  </w:style>
  <w:style w:type="character" w:styleId="WW8Num7z1">
    <w:name w:val="WW8Num7z1"/>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rike w:val="false"/>
      <w:dstrike w:val="false"/>
      <w:position w:val="0"/>
      <w:sz w:val="24"/>
      <w:vertAlign w:val="baseline"/>
    </w:rPr>
  </w:style>
  <w:style w:type="character" w:styleId="WW8Num10z1">
    <w:name w:val="WW8Num10z1"/>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rike w:val="false"/>
      <w:dstrike w:val="false"/>
      <w:position w:val="0"/>
      <w:sz w:val="24"/>
      <w:vertAlign w:val="baseline"/>
    </w:rPr>
  </w:style>
  <w:style w:type="character" w:styleId="WW8Num14z1">
    <w:name w:val="WW8Num14z1"/>
    <w:qFormat/>
    <w:rPr/>
  </w:style>
  <w:style w:type="character" w:styleId="WW8Num15z0">
    <w:name w:val="WW8Num15z0"/>
    <w:qFormat/>
    <w:rPr>
      <w:strike w:val="false"/>
      <w:dstrike w:val="false"/>
      <w:position w:val="0"/>
      <w:sz w:val="24"/>
      <w:vertAlign w:val="baseline"/>
    </w:rPr>
  </w:style>
  <w:style w:type="character" w:styleId="WW8Num15z1">
    <w:name w:val="WW8Num15z1"/>
    <w:qFormat/>
    <w:rPr/>
  </w:style>
  <w:style w:type="character" w:styleId="WW8Num16z0">
    <w:name w:val="WW8Num16z0"/>
    <w:qFormat/>
    <w:rPr>
      <w:strike w:val="false"/>
      <w:dstrike w:val="false"/>
      <w:position w:val="0"/>
      <w:sz w:val="24"/>
      <w:vertAlign w:val="baseline"/>
    </w:rPr>
  </w:style>
  <w:style w:type="character" w:styleId="WW8Num16z1">
    <w:name w:val="WW8Num16z1"/>
    <w:qFormat/>
    <w:rPr/>
  </w:style>
  <w:style w:type="character" w:styleId="WW8Num17z0">
    <w:name w:val="WW8Num17z0"/>
    <w:qFormat/>
    <w:rPr>
      <w:strike w:val="false"/>
      <w:dstrike w:val="false"/>
      <w:position w:val="0"/>
      <w:sz w:val="24"/>
      <w:vertAlign w:val="baseline"/>
    </w:rPr>
  </w:style>
  <w:style w:type="character" w:styleId="WW8Num17z1">
    <w:name w:val="WW8Num17z1"/>
    <w:qFormat/>
    <w:rPr/>
  </w:style>
  <w:style w:type="character" w:styleId="WW8Num18z0">
    <w:name w:val="WW8Num18z0"/>
    <w:qFormat/>
    <w:rPr>
      <w:rFonts w:ascii="Wingdings" w:hAnsi="Wingdings" w:cs="Wingdings"/>
    </w:rPr>
  </w:style>
  <w:style w:type="character" w:styleId="WW8Num19z0">
    <w:name w:val="WW8Num19z0"/>
    <w:qFormat/>
    <w:rPr>
      <w:strike w:val="false"/>
      <w:dstrike w:val="false"/>
      <w:position w:val="0"/>
      <w:sz w:val="24"/>
      <w:vertAlign w:val="baseline"/>
    </w:rPr>
  </w:style>
  <w:style w:type="character" w:styleId="WW8Num19z1">
    <w:name w:val="WW8Num19z1"/>
    <w:qFormat/>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strike w:val="false"/>
      <w:dstrike w:val="false"/>
      <w:position w:val="0"/>
      <w:sz w:val="24"/>
      <w:vertAlign w:val="baseline"/>
    </w:rPr>
  </w:style>
  <w:style w:type="character" w:styleId="WW8Num23z1">
    <w:name w:val="WW8Num23z1"/>
    <w:qFormat/>
    <w:rPr/>
  </w:style>
  <w:style w:type="character" w:styleId="WW8Num24z0">
    <w:name w:val="WW8Num24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4z1">
    <w:name w:val="WW8Num2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5z0">
    <w:name w:val="WW8Num25z0"/>
    <w:qFormat/>
    <w:rPr>
      <w:strike w:val="false"/>
      <w:dstrike w:val="false"/>
      <w:position w:val="0"/>
      <w:sz w:val="24"/>
      <w:vertAlign w:val="baseline"/>
    </w:rPr>
  </w:style>
  <w:style w:type="character" w:styleId="WW8Num25z1">
    <w:name w:val="WW8Num25z1"/>
    <w:qFormat/>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strike w:val="false"/>
      <w:dstrike w:val="false"/>
      <w:position w:val="0"/>
      <w:sz w:val="24"/>
      <w:vertAlign w:val="baseline"/>
    </w:rPr>
  </w:style>
  <w:style w:type="character" w:styleId="WW8Num31z1">
    <w:name w:val="WW8Num31z1"/>
    <w:qFormat/>
    <w:rPr/>
  </w:style>
  <w:style w:type="character" w:styleId="WW8Num32z0">
    <w:name w:val="WW8Num32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1440" w:end="0"/>
    </w:pPr>
    <w:rPr/>
  </w:style>
  <w:style w:type="paragraph" w:styleId="Centered">
    <w:name w:val="Centered"/>
    <w:basedOn w:val="Normal"/>
    <w:next w:val="BodyText"/>
    <w:qFormat/>
    <w:pPr>
      <w:spacing w:lineRule="exact" w:line="240" w:before="0" w:after="240"/>
      <w:jc w:val="center"/>
    </w:pPr>
    <w:rPr/>
  </w:style>
  <w:style w:type="paragraph" w:styleId="Quote">
    <w:name w:val="Quote"/>
    <w:basedOn w:val="Normal"/>
    <w:next w:val="BodyTextContinued"/>
    <w:qFormat/>
    <w:pPr>
      <w:spacing w:before="0" w:after="240"/>
      <w:ind w:hanging="0" w:start="1440" w:end="1440"/>
    </w:pPr>
    <w:rPr/>
  </w:style>
  <w:style w:type="paragraph" w:styleId="NumContinue">
    <w:name w:val="Num Continue"/>
    <w:basedOn w:val="BodyText"/>
    <w:qFormat/>
    <w:pPr/>
    <w:rPr/>
  </w:style>
  <w:style w:type="paragraph" w:styleId="Article1bL1">
    <w:name w:val="Article1b_L1"/>
    <w:basedOn w:val="Normal"/>
    <w:next w:val="BodyText"/>
    <w:qFormat/>
    <w:pPr>
      <w:keepLines/>
      <w:widowControl w:val="false"/>
      <w:numPr>
        <w:ilvl w:val="0"/>
        <w:numId w:val="11"/>
      </w:numPr>
      <w:suppressAutoHyphens w:val="true"/>
      <w:spacing w:before="0" w:after="240"/>
      <w:jc w:val="center"/>
      <w:outlineLvl w:val="0"/>
    </w:pPr>
    <w:rPr/>
  </w:style>
  <w:style w:type="paragraph" w:styleId="Article1bL2">
    <w:name w:val="Article1b_L2"/>
    <w:basedOn w:val="Article1bL1"/>
    <w:next w:val="BodyText"/>
    <w:qFormat/>
    <w:pPr>
      <w:keepLines w:val="false"/>
      <w:numPr>
        <w:ilvl w:val="0"/>
        <w:numId w:val="11"/>
      </w:numPr>
      <w:jc w:val="start"/>
      <w:outlineLvl w:val="1"/>
    </w:pPr>
    <w:rPr/>
  </w:style>
  <w:style w:type="paragraph" w:styleId="Article1bL3">
    <w:name w:val="Article1b_L3"/>
    <w:basedOn w:val="Article1bL2"/>
    <w:next w:val="BodyText"/>
    <w:qFormat/>
    <w:pPr>
      <w:numPr>
        <w:ilvl w:val="0"/>
        <w:numId w:val="11"/>
      </w:numPr>
      <w:ind w:firstLine="720" w:start="720" w:end="720"/>
      <w:outlineLvl w:val="2"/>
    </w:pPr>
    <w:rPr/>
  </w:style>
  <w:style w:type="paragraph" w:styleId="Article1bL4">
    <w:name w:val="Article1b_L4"/>
    <w:basedOn w:val="Article1bL3"/>
    <w:next w:val="BodyText"/>
    <w:qFormat/>
    <w:pPr>
      <w:numPr>
        <w:ilvl w:val="0"/>
        <w:numId w:val="11"/>
      </w:numPr>
      <w:ind w:firstLine="720" w:start="1440" w:end="720"/>
      <w:outlineLvl w:val="3"/>
    </w:pPr>
    <w:rPr/>
  </w:style>
  <w:style w:type="paragraph" w:styleId="Article1bL5">
    <w:name w:val="Article1b_L5"/>
    <w:basedOn w:val="Article1bL4"/>
    <w:next w:val="BodyText"/>
    <w:qFormat/>
    <w:pPr>
      <w:numPr>
        <w:ilvl w:val="0"/>
        <w:numId w:val="11"/>
      </w:numPr>
      <w:ind w:firstLine="720" w:start="2160" w:end="720"/>
      <w:outlineLvl w:val="4"/>
    </w:pPr>
    <w:rPr/>
  </w:style>
  <w:style w:type="paragraph" w:styleId="Article1bL6">
    <w:name w:val="Article1b_L6"/>
    <w:basedOn w:val="Article1bL5"/>
    <w:next w:val="BodyText"/>
    <w:qFormat/>
    <w:pPr>
      <w:numPr>
        <w:ilvl w:val="0"/>
        <w:numId w:val="11"/>
      </w:numPr>
      <w:ind w:firstLine="720" w:start="2880" w:end="720"/>
      <w:outlineLvl w:val="5"/>
    </w:pPr>
    <w:rPr/>
  </w:style>
  <w:style w:type="paragraph" w:styleId="Article1bL7">
    <w:name w:val="Article1b_L7"/>
    <w:basedOn w:val="Article1bL6"/>
    <w:next w:val="BodyText"/>
    <w:qFormat/>
    <w:pPr>
      <w:numPr>
        <w:ilvl w:val="0"/>
        <w:numId w:val="11"/>
      </w:numPr>
      <w:ind w:firstLine="720" w:start="3600" w:end="720"/>
      <w:outlineLvl w:val="6"/>
    </w:pPr>
    <w:rPr/>
  </w:style>
  <w:style w:type="paragraph" w:styleId="Article1bL8">
    <w:name w:val="Article1b_L8"/>
    <w:basedOn w:val="Article1bL7"/>
    <w:next w:val="BodyText"/>
    <w:qFormat/>
    <w:pPr>
      <w:numPr>
        <w:ilvl w:val="0"/>
        <w:numId w:val="11"/>
      </w:numPr>
      <w:ind w:firstLine="720" w:start="720" w:end="720"/>
      <w:outlineLvl w:val="7"/>
    </w:pPr>
    <w:rPr/>
  </w:style>
  <w:style w:type="paragraph" w:styleId="Article1bL9">
    <w:name w:val="Article1b_L9"/>
    <w:basedOn w:val="Article1bL8"/>
    <w:next w:val="BodyText"/>
    <w:qFormat/>
    <w:pPr>
      <w:numPr>
        <w:ilvl w:val="0"/>
        <w:numId w:val="11"/>
      </w:numPr>
      <w:ind w:firstLine="720" w:start="1440" w:end="720"/>
      <w:outlineLvl w:val="8"/>
    </w:pPr>
    <w:rPr/>
  </w:style>
  <w:style w:type="paragraph" w:styleId="Outline1bL1">
    <w:name w:val="Outline1b_L1"/>
    <w:basedOn w:val="Normal"/>
    <w:next w:val="BodyText"/>
    <w:qFormat/>
    <w:pPr>
      <w:widowControl w:val="false"/>
      <w:suppressAutoHyphens w:val="true"/>
      <w:spacing w:before="0" w:after="240"/>
      <w:outlineLvl w:val="0"/>
    </w:pPr>
    <w:rPr/>
  </w:style>
  <w:style w:type="paragraph" w:styleId="Outline1bL2">
    <w:name w:val="Outline1b_L2"/>
    <w:basedOn w:val="Outline1bL1"/>
    <w:next w:val="BodyText"/>
    <w:qFormat/>
    <w:pPr>
      <w:outlineLvl w:val="1"/>
    </w:pPr>
    <w:rPr/>
  </w:style>
  <w:style w:type="paragraph" w:styleId="Outline1bL3">
    <w:name w:val="Outline1b_L3"/>
    <w:basedOn w:val="Outline1bL2"/>
    <w:next w:val="BodyText"/>
    <w:qFormat/>
    <w:pPr>
      <w:outlineLvl w:val="2"/>
    </w:pPr>
    <w:rPr/>
  </w:style>
  <w:style w:type="paragraph" w:styleId="Outline1bL4">
    <w:name w:val="Outline1b_L4"/>
    <w:basedOn w:val="Outline1bL3"/>
    <w:next w:val="BodyText"/>
    <w:qFormat/>
    <w:pPr>
      <w:outlineLvl w:val="3"/>
    </w:pPr>
    <w:rPr/>
  </w:style>
  <w:style w:type="paragraph" w:styleId="Outline1bL5">
    <w:name w:val="Outline1b_L5"/>
    <w:basedOn w:val="Outline1bL4"/>
    <w:next w:val="BodyText"/>
    <w:qFormat/>
    <w:pPr>
      <w:outlineLvl w:val="4"/>
    </w:pPr>
    <w:rPr/>
  </w:style>
  <w:style w:type="paragraph" w:styleId="Outline1bL6">
    <w:name w:val="Outline1b_L6"/>
    <w:basedOn w:val="Outline1bL5"/>
    <w:next w:val="BodyText"/>
    <w:qFormat/>
    <w:pPr>
      <w:outlineLvl w:val="5"/>
    </w:pPr>
    <w:rPr/>
  </w:style>
  <w:style w:type="paragraph" w:styleId="Outline1bL7">
    <w:name w:val="Outline1b_L7"/>
    <w:basedOn w:val="Outline1bL6"/>
    <w:next w:val="BodyText"/>
    <w:qFormat/>
    <w:pPr>
      <w:outlineLvl w:val="6"/>
    </w:pPr>
    <w:rPr/>
  </w:style>
  <w:style w:type="paragraph" w:styleId="Outline1bL8">
    <w:name w:val="Outline1b_L8"/>
    <w:basedOn w:val="Outline1bL7"/>
    <w:next w:val="BodyText"/>
    <w:qFormat/>
    <w:pPr>
      <w:outlineLvl w:val="7"/>
    </w:pPr>
    <w:rPr/>
  </w:style>
  <w:style w:type="paragraph" w:styleId="Outline1bL9">
    <w:name w:val="Outline1b_L9"/>
    <w:basedOn w:val="Outline1bL8"/>
    <w:next w:val="BodyText"/>
    <w:qFormat/>
    <w:pPr>
      <w:outlineLvl w:val="8"/>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DeliveryPhrase">
    <w:name w:val="Delivery Phrase"/>
    <w:basedOn w:val="Normal"/>
    <w:qFormat/>
    <w:pPr>
      <w:spacing w:before="0" w:after="240"/>
    </w:pPr>
    <w:rPr>
      <w:b/>
      <w:caps/>
    </w:rPr>
  </w:style>
  <w:style w:type="paragraph" w:styleId="Memo-ReLine">
    <w:name w:val="Memo - ReLine"/>
    <w:basedOn w:val="Normal"/>
    <w:qFormat/>
    <w:pPr>
      <w:ind w:hanging="1440" w:start="1440" w:end="0"/>
    </w:pPr>
    <w:rPr/>
  </w:style>
  <w:style w:type="paragraph" w:styleId="Memo-Date">
    <w:name w:val="Memo - Date"/>
    <w:basedOn w:val="Normal"/>
    <w:qFormat/>
    <w:pPr/>
    <w:rPr/>
  </w:style>
  <w:style w:type="paragraph" w:styleId="Memo-ToFrom">
    <w:name w:val="Memo - To/From"/>
    <w:basedOn w:val="Normal"/>
    <w:qFormat/>
    <w:p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392" w:leader="none"/>
        <w:tab w:val="right" w:pos="878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2000-11-03T18:47:00Z</dcterms:created>
  <dc:creator>MW&amp;E</dc:creator>
  <dc:description/>
  <dc:language>en-CA</dc:language>
  <cp:lastModifiedBy>MW&amp;E</cp:lastModifiedBy>
  <cp:lastPrinted>2000-11-03T15:25:00Z</cp:lastPrinted>
  <dcterms:modified xsi:type="dcterms:W3CDTF">2000-11-03T18:47:00Z</dcterms:modified>
  <cp:revision>2</cp:revision>
  <dc:subject/>
  <dc:title>Risk Assessment Reporting Requirements for FCMs</dc:title>
</cp:coreProperties>
</file>