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240"/>
        <w:ind w:hanging="0" w:start="0"/>
        <w:rPr/>
      </w:pPr>
      <w:r>
        <w:rPr/>
        <w:t>Computer Equipment Purchasing Process</w:t>
      </w:r>
    </w:p>
    <w:p>
      <w:pPr>
        <w:pStyle w:val="body1"/>
        <w:rPr/>
      </w:pPr>
      <w:r>
        <w:rPr/>
        <w:t>Enron Transportation Services (ETS) and Enron Global Strategic Sourcing (EGSS) will use the SAP purchasing program, IbuyIt, for purchasing computing hardware and software.  IbuyIt will replace our current cost and labor-intensive method of purchasing multiple equipment models from numerous vendors.  However, until the IbuyIt program can be implemented in the third quarter of 2001, the purchasing process described below will be in effect.</w:t>
      </w:r>
    </w:p>
    <w:p>
      <w:pPr>
        <w:pStyle w:val="Heading2"/>
        <w:ind w:hanging="0" w:start="0"/>
        <w:rPr/>
      </w:pPr>
      <w:r>
        <w:rPr/>
        <w:t>Current IT Purchase Request Process</w:t>
      </w:r>
    </w:p>
    <w:p>
      <w:pPr>
        <w:pStyle w:val="body2"/>
        <w:numPr>
          <w:ilvl w:val="0"/>
          <w:numId w:val="10"/>
        </w:numPr>
        <w:rPr/>
      </w:pPr>
      <w:r>
        <w:rPr/>
        <w:t>The originator will email an IT purchase request to the manager/director responsible for the appropriate Capital/O&amp;M budget.</w:t>
      </w:r>
    </w:p>
    <w:p>
      <w:pPr>
        <w:pStyle w:val="arrow-b3"/>
        <w:numPr>
          <w:ilvl w:val="0"/>
          <w:numId w:val="8"/>
        </w:numPr>
        <w:rPr/>
      </w:pPr>
      <w:r>
        <w:rPr/>
        <w:t>The request will contain the following information: detailed description of the equipment, business justification for equipment, whose budget will be affected, and the preferred delivery date.</w:t>
      </w:r>
    </w:p>
    <w:p>
      <w:pPr>
        <w:pStyle w:val="body2"/>
        <w:numPr>
          <w:ilvl w:val="0"/>
          <w:numId w:val="10"/>
        </w:numPr>
        <w:rPr/>
      </w:pPr>
      <w:r>
        <w:rPr/>
        <w:t>The manager/director will forward the email to either the Houston/Omaha Purchasing Coordinator (Karon O’Gorman) or the regional field ETS Operations IT Computer Specialist.</w:t>
      </w:r>
    </w:p>
    <w:p>
      <w:pPr>
        <w:pStyle w:val="body2"/>
        <w:numPr>
          <w:ilvl w:val="0"/>
          <w:numId w:val="10"/>
        </w:numPr>
        <w:rPr/>
      </w:pPr>
      <w:r>
        <w:rPr/>
        <w:t>The receiving Coordinator/Specialist will check the request for standardization and proper authorization.</w:t>
      </w:r>
    </w:p>
    <w:p>
      <w:pPr>
        <w:pStyle w:val="body2"/>
        <w:numPr>
          <w:ilvl w:val="0"/>
          <w:numId w:val="10"/>
        </w:numPr>
        <w:rPr/>
      </w:pPr>
      <w:r>
        <w:rPr/>
        <w:t>The receiving Coordinator/Specialist will key the request into SAP (B2B) and forwarded it to the IT ETS buyer.</w:t>
      </w:r>
    </w:p>
    <w:tbl>
      <w:tblPr>
        <w:tblW w:w="7920" w:type="dxa"/>
        <w:jc w:val="center"/>
        <w:tblInd w:w="0" w:type="dxa"/>
        <w:tblLayout w:type="fixed"/>
        <w:tblCellMar>
          <w:top w:w="0" w:type="dxa"/>
          <w:start w:w="108" w:type="dxa"/>
          <w:bottom w:w="0" w:type="dxa"/>
          <w:end w:w="108" w:type="dxa"/>
        </w:tblCellMar>
      </w:tblPr>
      <w:tblGrid>
        <w:gridCol w:w="3960"/>
        <w:gridCol w:w="3960"/>
      </w:tblGrid>
      <w:tr>
        <w:trPr/>
        <w:tc>
          <w:tcPr>
            <w:tcW w:w="3960" w:type="dxa"/>
            <w:tcBorders/>
          </w:tcPr>
          <w:p>
            <w:pPr>
              <w:pStyle w:val="body1"/>
              <w:spacing w:before="360" w:after="60"/>
              <w:rPr/>
            </w:pPr>
            <w:r>
              <w:rPr>
                <w:b/>
              </w:rPr>
              <w:t>Buyer</w:t>
            </w:r>
            <w:r>
              <w:rPr>
                <w:rFonts w:eastAsia="Symbol" w:cs="Symbol" w:ascii="Symbol" w:hAnsi="Symbol"/>
              </w:rPr>
              <w:sym w:font="Symbol" w:char="f0be"/>
            </w:r>
            <w:r>
              <w:rPr/>
              <w:t>NNG, TW, and NBPL (Houston, All field, Omaha offices)</w:t>
            </w:r>
          </w:p>
        </w:tc>
        <w:tc>
          <w:tcPr>
            <w:tcW w:w="3960" w:type="dxa"/>
            <w:tcBorders/>
          </w:tcPr>
          <w:p>
            <w:pPr>
              <w:pStyle w:val="body1"/>
              <w:spacing w:before="360" w:after="60"/>
              <w:rPr/>
            </w:pPr>
            <w:r>
              <w:rPr/>
              <w:t>Linda Nordhues (402) 398-7475</w:t>
            </w:r>
          </w:p>
        </w:tc>
      </w:tr>
    </w:tbl>
    <w:p>
      <w:pPr>
        <w:pStyle w:val="body1"/>
        <w:rPr/>
      </w:pPr>
      <w:r>
        <w:rPr/>
      </w:r>
    </w:p>
    <w:p>
      <w:pPr>
        <w:pStyle w:val="Heading2"/>
        <w:ind w:hanging="0" w:start="0"/>
        <w:rPr/>
      </w:pPr>
      <w:r>
        <w:rPr/>
        <w:t>Criteria for Requesting an IT Purchase</w:t>
      </w:r>
    </w:p>
    <w:p>
      <w:pPr>
        <w:pStyle w:val="body2"/>
        <w:numPr>
          <w:ilvl w:val="0"/>
          <w:numId w:val="3"/>
        </w:numPr>
        <w:rPr/>
      </w:pPr>
      <w:r>
        <w:rPr/>
        <w:t>Solution Center recommendation</w:t>
      </w:r>
    </w:p>
    <w:p>
      <w:pPr>
        <w:pStyle w:val="body2"/>
        <w:numPr>
          <w:ilvl w:val="0"/>
          <w:numId w:val="3"/>
        </w:numPr>
        <w:rPr/>
      </w:pPr>
      <w:r>
        <w:rPr/>
        <w:t>Age of equipment or less than 350 Mhz ETS Standard</w:t>
      </w:r>
    </w:p>
    <w:p>
      <w:pPr>
        <w:pStyle w:val="body2"/>
        <w:numPr>
          <w:ilvl w:val="0"/>
          <w:numId w:val="3"/>
        </w:numPr>
        <w:rPr/>
      </w:pPr>
      <w:r>
        <w:rPr/>
        <w:t>Printers that would cost more to fix than repair</w:t>
      </w:r>
    </w:p>
    <w:p>
      <w:pPr>
        <w:pStyle w:val="body2"/>
        <w:numPr>
          <w:ilvl w:val="0"/>
          <w:numId w:val="3"/>
        </w:numPr>
        <w:rPr/>
      </w:pPr>
      <w:r>
        <w:rPr/>
        <w:t>Monitor broken and out of warranty</w:t>
      </w:r>
    </w:p>
    <w:p>
      <w:pPr>
        <w:pStyle w:val="body2"/>
        <w:numPr>
          <w:ilvl w:val="0"/>
          <w:numId w:val="3"/>
        </w:numPr>
        <w:rPr/>
      </w:pPr>
      <w:r>
        <w:rPr/>
        <w:t>New Hire</w:t>
      </w:r>
    </w:p>
    <w:p>
      <w:pPr>
        <w:pStyle w:val="body2"/>
        <w:numPr>
          <w:ilvl w:val="0"/>
          <w:numId w:val="3"/>
        </w:numPr>
        <w:rPr/>
      </w:pPr>
      <w:r>
        <w:rPr/>
        <w:t>Business need has changed, i.e. New application requires newer equipment</w:t>
      </w:r>
    </w:p>
    <w:p>
      <w:pPr>
        <w:pStyle w:val="body2"/>
        <w:numPr>
          <w:ilvl w:val="0"/>
          <w:numId w:val="3"/>
        </w:numPr>
        <w:rPr/>
      </w:pPr>
      <w:r>
        <w:rPr/>
        <w:t>Solution Center recommendation</w:t>
      </w:r>
    </w:p>
    <w:p>
      <w:pPr>
        <w:pStyle w:val="body2"/>
        <w:numPr>
          <w:ilvl w:val="0"/>
          <w:numId w:val="3"/>
        </w:numPr>
        <w:rPr/>
      </w:pPr>
      <w:r>
        <w:rPr/>
        <w:t>Upgrades to existing equipment to accommodate changing needs</w:t>
      </w:r>
    </w:p>
    <w:p>
      <w:pPr>
        <w:pStyle w:val="body1"/>
        <w:rPr/>
      </w:pPr>
      <w:r>
        <w:rPr/>
      </w:r>
      <w:r>
        <w:br w:type="page"/>
      </w:r>
    </w:p>
    <w:p>
      <w:pPr>
        <w:pStyle w:val="Heading2"/>
        <w:ind w:hanging="0" w:start="0"/>
        <w:rPr/>
      </w:pPr>
      <w:r>
        <w:rPr/>
        <w:t>Exception Policy</w:t>
      </w:r>
    </w:p>
    <w:p>
      <w:pPr>
        <w:pStyle w:val="body1"/>
        <w:rPr/>
      </w:pPr>
      <w:r>
        <w:rPr/>
        <w:t>If the originator's request is denied because it does not comply with ETS IT Standards, then the originator must either accept the standard or e-mail a business case to the “Solution Center” mailbox with a subject of “Request for Standards Review.”  The request will contain a detailed description of the proposed equipment and valid reasoning as to why the standard should be changed.</w:t>
      </w:r>
    </w:p>
    <w:p>
      <w:pPr>
        <w:pStyle w:val="body1"/>
        <w:rPr/>
      </w:pPr>
      <w:r>
        <w:rPr/>
        <w:t>The Solution Center will forward the request to the ETS IT Standards Board for approval/disapproval.  The Solution Center will notify the user when the request is approved/disapproved.</w:t>
      </w:r>
    </w:p>
    <w:p>
      <w:pPr>
        <w:pStyle w:val="Heading2"/>
        <w:ind w:hanging="0" w:start="0"/>
        <w:rPr/>
      </w:pPr>
      <w:r>
        <w:rPr/>
        <w:t>Current Purchasing Standards</w:t>
      </w:r>
    </w:p>
    <w:p>
      <w:pPr>
        <w:pStyle w:val="box-b2"/>
        <w:numPr>
          <w:ilvl w:val="0"/>
          <w:numId w:val="7"/>
        </w:numPr>
        <w:rPr/>
      </w:pPr>
      <w:r>
        <w:rPr/>
        <w:t>Currently Compaq is the ETS standard for desktop and laptop computing needs.</w:t>
      </w:r>
    </w:p>
    <w:p>
      <w:pPr>
        <w:pStyle w:val="box-b2"/>
        <w:numPr>
          <w:ilvl w:val="0"/>
          <w:numId w:val="7"/>
        </w:numPr>
        <w:rPr/>
      </w:pPr>
      <w:r>
        <w:rPr/>
        <w:t>For ETS IT purchases, the EGSS group uses the ETS hardware and software standards.</w:t>
      </w:r>
    </w:p>
    <w:p>
      <w:pPr>
        <w:pStyle w:val="box-b2"/>
        <w:numPr>
          <w:ilvl w:val="0"/>
          <w:numId w:val="7"/>
        </w:numPr>
        <w:rPr/>
      </w:pPr>
      <w:r>
        <w:rPr/>
        <w:t>The IT Support Group will no longer configure nonstandard workstations or connect them to the network because of inherent problems/challenges associated with maintaining multiple desktop configurations.</w:t>
      </w:r>
    </w:p>
    <w:p>
      <w:pPr>
        <w:pStyle w:val="box-b2"/>
        <w:numPr>
          <w:ilvl w:val="0"/>
          <w:numId w:val="7"/>
        </w:numPr>
        <w:spacing w:before="60" w:after="60"/>
        <w:rPr/>
      </w:pPr>
      <w:r>
        <w:rPr/>
        <w:t>As new generations of machines are introduced, ETS-IT will strategically cycle the replaced units to an appropriate user.</w:t>
      </w:r>
    </w:p>
    <w:sectPr>
      <w:headerReference w:type="default" r:id="rId2"/>
      <w:headerReference w:type="first" r:id="rId3"/>
      <w:footerReference w:type="default" r:id="rId4"/>
      <w:footerReference w:type="first" r:id="rId5"/>
      <w:type w:val="nextPage"/>
      <w:pgSz w:w="12240" w:h="15840"/>
      <w:pgMar w:left="1440" w:right="1440" w:gutter="288"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rial Black">
    <w:charset w:val="00" w:characterSet="windows-1252"/>
    <w:family w:val="swiss"/>
    <w:pitch w:val="variable"/>
  </w:font>
  <w:font w:name="Arial Narrow">
    <w:charset w:val="00" w:characterSet="windows-1252"/>
    <w:family w:val="swiss"/>
    <w:pitch w:val="variable"/>
  </w:font>
  <w:font w:name="Wingdings">
    <w:charset w:val="02"/>
    <w:family w:val="auto"/>
    <w:pitch w:val="variable"/>
  </w:font>
  <w:font w:name="Arial Rounded MT Bold">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18" w:space="1" w:color="808080"/>
      </w:pBdr>
      <w:bidi w:val="0"/>
      <w:spacing w:before="120" w:after="0"/>
      <w:rPr/>
    </w:pPr>
    <w:r>
      <w:rPr>
        <w:rFonts w:cs="Arial" w:ascii="Arial" w:hAnsi="Arial"/>
        <w:b/>
        <w:sz w:val="12"/>
      </w:rPr>
      <w:fldChar w:fldCharType="begin"/>
    </w:r>
    <w:r>
      <w:rPr>
        <w:sz w:val="12"/>
        <w:b/>
        <w:rFonts w:cs="Arial" w:ascii="Arial" w:hAnsi="Arial"/>
      </w:rPr>
      <w:instrText xml:space="preserve"> FILENAME \p </w:instrText>
    </w:r>
    <w:r>
      <w:rPr>
        <w:sz w:val="12"/>
        <w:b/>
        <w:rFonts w:cs="Arial" w:ascii="Arial" w:hAnsi="Arial"/>
      </w:rPr>
      <w:fldChar w:fldCharType="separate"/>
    </w:r>
    <w:r>
      <w:rPr>
        <w:sz w:val="12"/>
        <w:b/>
        <w:rFonts w:cs="Arial" w:ascii="Arial" w:hAnsi="Arial"/>
      </w:rPr>
      <w:t>/mnt/main-storage/datasets/enron-docs/doc/ETS_Purchasing_01_12_01.doc</w:t>
    </w:r>
    <w:r>
      <w:rPr>
        <w:sz w:val="12"/>
        <w:b/>
        <w:rFonts w:cs="Arial" w:ascii="Arial" w:hAnsi="Arial"/>
      </w:rPr>
      <w:fldChar w:fldCharType="end"/>
    </w:r>
    <w:r>
      <w:rPr/>
      <w:tab/>
    </w:r>
    <w:r>
      <w:rPr>
        <w:b/>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18" w:space="1" w:color="808080"/>
      </w:pBdr>
      <w:bidi w:val="0"/>
      <w:spacing w:before="120" w:after="0"/>
      <w:rPr/>
    </w:pPr>
    <w:r>
      <w:rPr>
        <w:rFonts w:cs="Arial" w:ascii="Arial" w:hAnsi="Arial"/>
        <w:b/>
        <w:sz w:val="12"/>
      </w:rPr>
      <w:fldChar w:fldCharType="begin"/>
    </w:r>
    <w:r>
      <w:rPr>
        <w:sz w:val="12"/>
        <w:b/>
        <w:rFonts w:cs="Arial" w:ascii="Arial" w:hAnsi="Arial"/>
      </w:rPr>
      <w:instrText xml:space="preserve"> FILENAME \p </w:instrText>
    </w:r>
    <w:r>
      <w:rPr>
        <w:sz w:val="12"/>
        <w:b/>
        <w:rFonts w:cs="Arial" w:ascii="Arial" w:hAnsi="Arial"/>
      </w:rPr>
      <w:fldChar w:fldCharType="separate"/>
    </w:r>
    <w:r>
      <w:rPr>
        <w:sz w:val="12"/>
        <w:b/>
        <w:rFonts w:cs="Arial" w:ascii="Arial" w:hAnsi="Arial"/>
      </w:rPr>
      <w:t>/mnt/main-storage/datasets/enron-docs/doc/ETS_Purchasing_01_12_01.doc</w:t>
    </w:r>
    <w:r>
      <w:rPr>
        <w:sz w:val="12"/>
        <w:b/>
        <w:rFonts w:cs="Arial" w:ascii="Arial" w:hAnsi="Arial"/>
      </w:rPr>
      <w:fldChar w:fldCharType="end"/>
    </w:r>
    <w:r>
      <w:rPr/>
      <w:tab/>
    </w:r>
    <w:r>
      <w:rPr>
        <w:b/>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60" w:after="240"/>
      <w:rPr/>
    </w:pPr>
    <w:r>
      <w:rPr>
        <w:rFonts w:cs="Arial" w:ascii="Arial" w:hAnsi="Arial"/>
        <w:b/>
        <w:sz w:val="12"/>
      </w:rPr>
      <w:fldChar w:fldCharType="begin"/>
    </w:r>
    <w:r>
      <w:rPr>
        <w:sz w:val="12"/>
        <w:b/>
        <w:rFonts w:cs="Arial" w:ascii="Arial" w:hAnsi="Arial"/>
      </w:rPr>
      <w:instrText xml:space="preserve"> DATE \@"M\/d\/yy\ H:mm:ss\ AM/PM" </w:instrText>
    </w:r>
    <w:r>
      <w:rPr>
        <w:sz w:val="12"/>
        <w:b/>
        <w:rFonts w:cs="Arial" w:ascii="Arial" w:hAnsi="Arial"/>
      </w:rPr>
      <w:fldChar w:fldCharType="separate"/>
    </w:r>
    <w:r>
      <w:rPr>
        <w:sz w:val="12"/>
        <w:b/>
        <w:rFonts w:cs="Arial" w:ascii="Arial" w:hAnsi="Arial"/>
      </w:rPr>
      <w:t>9/28/25 8:33:31 AM</w:t>
    </w:r>
    <w:r>
      <w:rPr>
        <w:sz w:val="12"/>
        <w:b/>
        <w:rFonts w:cs="Arial" w:ascii="Arial" w:hAnsi="Arial"/>
      </w:rPr>
      <w:fldChar w:fldCharType="end"/>
    </w:r>
    <w:r>
      <w:rPr/>
      <w:tab/>
      <w:t>Computer Equipment Purchasing Process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60" w:after="240"/>
      <w:rPr/>
    </w:pPr>
    <w:bookmarkStart w:id="0" w:name="_986362471"/>
    <w:bookmarkStart w:id="1" w:name="_986362457"/>
    <w:bookmarkEnd w:id="0"/>
    <w:bookmarkEnd w:id="1"/>
    <w:r>
      <w:rPr>
        <w:lang w:val="en-CA" w:eastAsia="en-CA"/>
      </w:rPr>
      <w:object w:dxaOrig="1204" w:dyaOrig="1138">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7pt;height:31.9pt" filled="f" o:ole="">
          <v:imagedata r:id="rId2" o:title=""/>
        </v:shape>
        <o:OLEObject Type="Embed" ProgID="" ShapeID="ole_rId1" DrawAspect="Content" ObjectID="_628934951" r:id="rId1"/>
      </w:object>
    </w:r>
    <w:r>
      <w:rPr>
        <w:rFonts w:eastAsia="Arial Black"/>
        <w:lang w:val="en-CA" w:eastAsia="en-CA"/>
      </w:rPr>
      <w:t xml:space="preserve">      </w:t>
    </w:r>
    <w:r>
      <w:rPr/>
      <w:t>Enron Transportation Services</w:t>
      <w:tab/>
      <w:t>Information Technology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3">
    <w:lvl w:ilvl="0">
      <w:start w:val="1"/>
      <w:numFmt w:val="decimal"/>
      <w:lvlText w:val="%1."/>
      <w:lvlJc w:val="start"/>
      <w:pPr>
        <w:tabs>
          <w:tab w:val="num" w:pos="570"/>
        </w:tabs>
        <w:ind w:start="570" w:hanging="570"/>
      </w:pPr>
      <w:rPr/>
    </w:lvl>
  </w:abstractNum>
  <w:abstractNum w:abstractNumId="4">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5">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6">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7">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8">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9">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10">
    <w:lvl w:ilvl="0">
      <w:start w:val="1"/>
      <w:numFmt w:val="decimal"/>
      <w:lvlText w:val="%1."/>
      <w:lvlJc w:val="start"/>
      <w:pPr>
        <w:tabs>
          <w:tab w:val="num" w:pos="570"/>
        </w:tabs>
        <w:ind w:start="570" w:hanging="570"/>
      </w:pPr>
      <w:rPr/>
    </w:lvl>
  </w:abstractNum>
  <w:abstractNum w:abstractNumId="11">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12">
    <w:lvl w:ilvl="0">
      <w:start w:val="1"/>
      <w:numFmt w:val="bullet"/>
      <w:lvlText w:val=""/>
      <w:lvlJc w:val="start"/>
      <w:pPr>
        <w:tabs>
          <w:tab w:val="num" w:pos="1296"/>
        </w:tabs>
        <w:ind w:start="1296" w:hanging="432"/>
      </w:pPr>
      <w:rPr>
        <w:rFonts w:ascii="Wingdings" w:hAnsi="Wingdings" w:cs="Wingdings" w:hint="default"/>
        <w:sz w:val="18"/>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Garamond" w:hAnsi="Garamond" w:eastAsia="Times New Roman" w:cs="Garamond"/>
      <w:color w:val="000000"/>
      <w:sz w:val="24"/>
      <w:szCs w:val="20"/>
      <w:lang w:val="en-US" w:bidi="ar-SA" w:eastAsia="zh-CN"/>
    </w:rPr>
  </w:style>
  <w:style w:type="paragraph" w:styleId="Heading1">
    <w:name w:val="heading 1"/>
    <w:next w:val="body1"/>
    <w:qFormat/>
    <w:pPr>
      <w:keepNext w:val="true"/>
      <w:pageBreakBefore/>
      <w:widowControl/>
      <w:numPr>
        <w:ilvl w:val="0"/>
        <w:numId w:val="1"/>
      </w:numPr>
      <w:bidi w:val="0"/>
      <w:spacing w:before="240" w:after="360"/>
      <w:jc w:val="center"/>
      <w:outlineLvl w:val="0"/>
    </w:pPr>
    <w:rPr>
      <w:rFonts w:ascii="Arial Black" w:hAnsi="Arial Black" w:eastAsia="Times New Roman" w:cs="Arial Black"/>
      <w:i/>
      <w:color w:val="000080"/>
      <w:kern w:val="2"/>
      <w:sz w:val="28"/>
      <w:szCs w:val="20"/>
      <w:lang w:val="en-US" w:bidi="ar-SA" w:eastAsia="zh-CN"/>
    </w:rPr>
  </w:style>
  <w:style w:type="paragraph" w:styleId="Heading2">
    <w:name w:val="heading 2"/>
    <w:next w:val="body1"/>
    <w:qFormat/>
    <w:pPr>
      <w:keepNext w:val="true"/>
      <w:widowControl/>
      <w:numPr>
        <w:ilvl w:val="1"/>
        <w:numId w:val="1"/>
      </w:numPr>
      <w:bidi w:val="0"/>
      <w:spacing w:before="240" w:after="80"/>
      <w:outlineLvl w:val="1"/>
    </w:pPr>
    <w:rPr>
      <w:rFonts w:ascii="Arial Black" w:hAnsi="Arial Black" w:eastAsia="Times New Roman" w:cs="Arial Black"/>
      <w:color w:val="808080"/>
      <w:sz w:val="24"/>
      <w:szCs w:val="20"/>
      <w:lang w:val="en-US" w:bidi="ar-SA" w:eastAsia="zh-CN"/>
    </w:rPr>
  </w:style>
  <w:style w:type="paragraph" w:styleId="Heading3">
    <w:name w:val="heading 3"/>
    <w:next w:val="body1"/>
    <w:qFormat/>
    <w:pPr>
      <w:keepNext w:val="true"/>
      <w:widowControl/>
      <w:numPr>
        <w:ilvl w:val="2"/>
        <w:numId w:val="1"/>
      </w:numPr>
      <w:tabs>
        <w:tab w:val="clear" w:pos="720"/>
        <w:tab w:val="right" w:pos="8640" w:leader="none"/>
      </w:tabs>
      <w:bidi w:val="0"/>
      <w:spacing w:before="240" w:after="80"/>
      <w:outlineLvl w:val="2"/>
    </w:pPr>
    <w:rPr>
      <w:rFonts w:ascii="Arial Black" w:hAnsi="Arial Black" w:eastAsia="Times New Roman" w:cs="Arial Black"/>
      <w:i/>
      <w:color w:val="808080"/>
      <w:sz w:val="20"/>
      <w:szCs w:val="20"/>
      <w:lang w:val="en-US" w:bidi="ar-SA" w:eastAsia="zh-CN"/>
    </w:rPr>
  </w:style>
  <w:style w:type="paragraph" w:styleId="Heading4">
    <w:name w:val="heading 4"/>
    <w:next w:val="body1"/>
    <w:qFormat/>
    <w:pPr>
      <w:keepNext w:val="true"/>
      <w:widowControl/>
      <w:numPr>
        <w:ilvl w:val="3"/>
        <w:numId w:val="1"/>
      </w:numPr>
      <w:bidi w:val="0"/>
      <w:spacing w:before="240" w:after="80"/>
      <w:outlineLvl w:val="3"/>
    </w:pPr>
    <w:rPr>
      <w:rFonts w:ascii="Arial" w:hAnsi="Arial" w:eastAsia="Times New Roman" w:cs="Arial"/>
      <w:b/>
      <w:i/>
      <w:color w:val="808080"/>
      <w:sz w:val="18"/>
      <w:szCs w:val="20"/>
      <w:u w:val="thick"/>
      <w:lang w:val="en-US" w:bidi="ar-SA" w:eastAsia="zh-CN"/>
    </w:rPr>
  </w:style>
  <w:style w:type="paragraph" w:styleId="Heading5">
    <w:name w:val="heading 5"/>
    <w:next w:val="body1"/>
    <w:qFormat/>
    <w:pPr>
      <w:keepNext w:val="true"/>
      <w:widowControl/>
      <w:numPr>
        <w:ilvl w:val="4"/>
        <w:numId w:val="1"/>
      </w:numPr>
      <w:bidi w:val="0"/>
      <w:spacing w:before="240" w:after="80"/>
      <w:outlineLvl w:val="4"/>
    </w:pPr>
    <w:rPr>
      <w:rFonts w:ascii="Arial Narrow" w:hAnsi="Arial Narrow" w:eastAsia="Times New Roman" w:cs="Arial Narrow"/>
      <w:b/>
      <w:i/>
      <w:color w:val="808080"/>
      <w:sz w:val="20"/>
      <w:szCs w:val="20"/>
      <w:lang w:val="en-US" w:bidi="ar-SA" w:eastAsia="zh-CN"/>
    </w:rPr>
  </w:style>
  <w:style w:type="character" w:styleId="WW8Num2z0">
    <w:name w:val="WW8Num2z0"/>
    <w:qFormat/>
    <w:rPr/>
  </w:style>
  <w:style w:type="character" w:styleId="WW8Num3z0">
    <w:name w:val="WW8Num3z0"/>
    <w:qFormat/>
    <w:rPr/>
  </w:style>
  <w:style w:type="character" w:styleId="WW8Num4z0">
    <w:name w:val="WW8Num4z0"/>
    <w:qFormat/>
    <w:rPr>
      <w:rFonts w:ascii="Arial" w:hAnsi="Arial" w:cs="Arial"/>
      <w:b w:val="false"/>
      <w:i w:val="false"/>
      <w:color w:val="000080"/>
      <w:sz w:val="24"/>
      <w:u w:val="none"/>
    </w:rPr>
  </w:style>
  <w:style w:type="character" w:styleId="WW8Num5z0">
    <w:name w:val="WW8Num5z0"/>
    <w:qFormat/>
    <w:rPr>
      <w:rFonts w:ascii="Wingdings" w:hAnsi="Wingdings" w:cs="Wingdings"/>
      <w:b/>
      <w:i w:val="false"/>
      <w:sz w:val="18"/>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Wingdings" w:hAnsi="Wingdings" w:cs="Wingdings"/>
      <w:b/>
      <w:i w:val="false"/>
      <w:sz w:val="18"/>
    </w:rPr>
  </w:style>
  <w:style w:type="character" w:styleId="WW8Num10z0">
    <w:name w:val="WW8Num10z0"/>
    <w:qFormat/>
    <w:rPr>
      <w:rFonts w:ascii="Wingdings" w:hAnsi="Wingdings" w:cs="Wingdings"/>
      <w:sz w:val="16"/>
    </w:rPr>
  </w:style>
  <w:style w:type="character" w:styleId="WW8Num11z0">
    <w:name w:val="WW8Num11z0"/>
    <w:qFormat/>
    <w:rPr>
      <w:rFonts w:ascii="Wingdings" w:hAnsi="Wingdings" w:cs="Wingdings"/>
      <w:b/>
      <w:i w:val="false"/>
      <w:sz w:val="18"/>
    </w:rPr>
  </w:style>
  <w:style w:type="character" w:styleId="WW8Num13z1">
    <w:name w:val="WW8Num13z1"/>
    <w:qFormat/>
    <w:rPr>
      <w:rFonts w:ascii="Arial Black" w:hAnsi="Arial Black" w:cs="Arial Black"/>
      <w:b/>
      <w:i w:val="false"/>
      <w:sz w:val="34"/>
    </w:rPr>
  </w:style>
  <w:style w:type="character" w:styleId="WW8Num14z0">
    <w:name w:val="WW8Num14z0"/>
    <w:qFormat/>
    <w:rPr>
      <w:rFonts w:ascii="Wingdings" w:hAnsi="Wingdings" w:cs="Wingdings"/>
      <w:b/>
      <w:i w:val="false"/>
      <w:sz w:val="18"/>
    </w:rPr>
  </w:style>
  <w:style w:type="character" w:styleId="WW8Num15z0">
    <w:name w:val="WW8Num15z0"/>
    <w:qFormat/>
    <w:rPr/>
  </w:style>
  <w:style w:type="character" w:styleId="WW8Num16z0">
    <w:name w:val="WW8Num16z0"/>
    <w:qFormat/>
    <w:rPr>
      <w:rFonts w:ascii="Wingdings" w:hAnsi="Wingdings" w:cs="Wingdings"/>
      <w:b/>
      <w:i w:val="false"/>
      <w:sz w:val="18"/>
    </w:rPr>
  </w:style>
  <w:style w:type="character" w:styleId="WW8Num17z0">
    <w:name w:val="WW8Num17z0"/>
    <w:qFormat/>
    <w:rPr>
      <w:rFonts w:ascii="Wingdings" w:hAnsi="Wingdings" w:cs="Wingdings"/>
      <w:b/>
      <w:i w:val="false"/>
      <w:sz w:val="18"/>
    </w:rPr>
  </w:style>
  <w:style w:type="character" w:styleId="WW8Num18z0">
    <w:name w:val="WW8Num18z0"/>
    <w:qFormat/>
    <w:rPr>
      <w:rFonts w:ascii="Arial" w:hAnsi="Arial" w:cs="Arial"/>
      <w:b w:val="false"/>
      <w:i w:val="false"/>
      <w:color w:val="000080"/>
      <w:sz w:val="24"/>
      <w:u w:val="none"/>
    </w:rPr>
  </w:style>
  <w:style w:type="character" w:styleId="WW8Num19z0">
    <w:name w:val="WW8Num19z0"/>
    <w:qFormat/>
    <w:rPr>
      <w:rFonts w:ascii="Wingdings" w:hAnsi="Wingdings" w:cs="Wingdings"/>
      <w:b/>
      <w:i w:val="false"/>
      <w:sz w:val="18"/>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rFonts w:ascii="Arial" w:hAnsi="Arial" w:cs="Arial"/>
      <w:b w:val="false"/>
      <w:i w:val="false"/>
      <w:color w:val="000080"/>
      <w:sz w:val="24"/>
      <w:u w:val="none"/>
    </w:rPr>
  </w:style>
  <w:style w:type="character" w:styleId="WW8Num24z0">
    <w:name w:val="WW8Num24z0"/>
    <w:qFormat/>
    <w:rPr>
      <w:rFonts w:ascii="Wingdings" w:hAnsi="Wingdings" w:cs="Wingdings"/>
      <w:b/>
      <w:i w:val="false"/>
      <w:sz w:val="18"/>
    </w:rPr>
  </w:style>
  <w:style w:type="character" w:styleId="WW8Num25z0">
    <w:name w:val="WW8Num25z0"/>
    <w:qFormat/>
    <w:rPr>
      <w:rFonts w:ascii="Arial" w:hAnsi="Arial" w:cs="Arial"/>
      <w:b w:val="false"/>
      <w:i w:val="false"/>
      <w:color w:val="000080"/>
      <w:sz w:val="24"/>
      <w:u w:val="none"/>
    </w:rPr>
  </w:style>
  <w:style w:type="character" w:styleId="WW8Num26z0">
    <w:name w:val="WW8Num26z0"/>
    <w:qFormat/>
    <w:rPr>
      <w:rFonts w:ascii="Wingdings" w:hAnsi="Wingdings" w:cs="Wingdings"/>
      <w:b/>
      <w:i w:val="false"/>
      <w:sz w:val="18"/>
    </w:rPr>
  </w:style>
  <w:style w:type="character" w:styleId="WW8Num27z0">
    <w:name w:val="WW8Num27z0"/>
    <w:qFormat/>
    <w:rPr/>
  </w:style>
  <w:style w:type="character" w:styleId="WW8Num28z0">
    <w:name w:val="WW8Num28z0"/>
    <w:qFormat/>
    <w:rPr/>
  </w:style>
  <w:style w:type="character" w:styleId="WW8Num29z0">
    <w:name w:val="WW8Num29z0"/>
    <w:qFormat/>
    <w:rPr>
      <w:rFonts w:ascii="Arial" w:hAnsi="Arial" w:cs="Arial"/>
      <w:b w:val="false"/>
      <w:i w:val="false"/>
      <w:color w:val="000080"/>
      <w:sz w:val="24"/>
      <w:u w:val="none"/>
    </w:rPr>
  </w:style>
  <w:style w:type="character" w:styleId="WW8Num30z0">
    <w:name w:val="WW8Num30z0"/>
    <w:qFormat/>
    <w:rPr>
      <w:rFonts w:ascii="Wingdings" w:hAnsi="Wingdings" w:cs="Wingdings"/>
      <w:b/>
      <w:i w:val="false"/>
      <w:sz w:val="18"/>
    </w:rPr>
  </w:style>
  <w:style w:type="character" w:styleId="WW8NumSt2z0">
    <w:name w:val="WW8NumSt2z0"/>
    <w:qFormat/>
    <w:rPr>
      <w:rFonts w:ascii="Symbol" w:hAnsi="Symbol" w:cs="Symbol"/>
    </w:rPr>
  </w:style>
  <w:style w:type="character" w:styleId="WW8NumSt4z0">
    <w:name w:val="WW8NumSt4z0"/>
    <w:qFormat/>
    <w:rPr>
      <w:rFonts w:ascii="Arial" w:hAnsi="Arial" w:cs="Arial"/>
      <w:b w:val="false"/>
      <w:i w:val="false"/>
      <w:color w:val="000080"/>
      <w:sz w:val="24"/>
      <w:u w:val="none"/>
    </w:rPr>
  </w:style>
  <w:style w:type="character" w:styleId="WW8NumSt39z0">
    <w:name w:val="WW8NumSt39z0"/>
    <w:qFormat/>
    <w:rPr>
      <w:rFonts w:ascii="Wingdings" w:hAnsi="Wingdings" w:cs="Wingdings"/>
      <w:sz w:val="16"/>
    </w:rPr>
  </w:style>
  <w:style w:type="character" w:styleId="DefaultParagraphFont">
    <w:name w:val="Default Paragraph Font"/>
    <w:qFormat/>
    <w:rPr/>
  </w:style>
  <w:style w:type="character" w:styleId="PageNumber">
    <w:name w:val="page number"/>
    <w:basedOn w:val="DefaultParagraphFont"/>
    <w:rPr>
      <w:rFonts w:ascii="Arial Black" w:hAnsi="Arial Black" w:cs="Arial Black"/>
      <w:sz w:val="20"/>
    </w:rPr>
  </w:style>
  <w:style w:type="paragraph" w:styleId="Heading">
    <w:name w:val="Heading"/>
    <w:basedOn w:val="Normal"/>
    <w:next w:val="BodyText"/>
    <w:qFormat/>
    <w:pPr>
      <w:spacing w:before="0" w:after="0"/>
      <w:jc w:val="center"/>
    </w:pPr>
    <w:rPr>
      <w:rFonts w:ascii="Times New Roman" w:hAnsi="Times New Roman" w:cs="Times New Roman"/>
      <w:b/>
      <w:color w:val="auto"/>
    </w:rPr>
  </w:style>
  <w:style w:type="paragraph" w:styleId="BodyText">
    <w:name w:val="Body Text"/>
    <w:basedOn w:val="Normal"/>
    <w:pPr>
      <w:spacing w:before="60" w:after="120"/>
    </w:pPr>
    <w:rPr/>
  </w:style>
  <w:style w:type="paragraph" w:styleId="List">
    <w:name w:val="List"/>
    <w:basedOn w:val="Normal"/>
    <w:pPr>
      <w:ind w:hanging="360" w:start="360" w:end="0"/>
    </w:pPr>
    <w:rPr>
      <w:color w:val="000000"/>
    </w:rPr>
  </w:style>
  <w:style w:type="paragraph" w:styleId="Caption">
    <w:name w:val="caption"/>
    <w:next w:val="body1"/>
    <w:qFormat/>
    <w:pPr>
      <w:widowControl/>
      <w:bidi w:val="0"/>
      <w:spacing w:before="120" w:after="120"/>
      <w:jc w:val="center"/>
    </w:pPr>
    <w:rPr>
      <w:rFonts w:ascii="Arial Narrow" w:hAnsi="Arial Narrow" w:eastAsia="Times New Roman" w:cs="Arial Narrow"/>
      <w:b/>
      <w:color w:val="000000"/>
      <w:sz w:val="20"/>
      <w:szCs w:val="20"/>
      <w:lang w:val="en-US" w:bidi="ar-SA" w:eastAsia="zh-CN"/>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top w:val="single" w:sz="18" w:space="4" w:color="808080"/>
        <w:bottom w:val="threeDEmboss" w:sz="24" w:space="4" w:color="000000"/>
      </w:pBdr>
      <w:tabs>
        <w:tab w:val="clear" w:pos="720"/>
        <w:tab w:val="right" w:pos="8928" w:leader="none"/>
      </w:tabs>
      <w:spacing w:before="60" w:after="240"/>
    </w:pPr>
    <w:rPr>
      <w:rFonts w:ascii="Arial Black" w:hAnsi="Arial Black" w:cs="Arial Black"/>
      <w:color w:val="808080"/>
      <w:sz w:val="20"/>
    </w:rPr>
  </w:style>
  <w:style w:type="paragraph" w:styleId="body1">
    <w:name w:val="body1"/>
    <w:basedOn w:val="Normal"/>
    <w:qFormat/>
    <w:pPr/>
    <w:rPr/>
  </w:style>
  <w:style w:type="paragraph" w:styleId="body2">
    <w:name w:val="body2"/>
    <w:qFormat/>
    <w:pPr>
      <w:widowControl/>
      <w:tabs>
        <w:tab w:val="clear" w:pos="720"/>
        <w:tab w:val="left" w:pos="1440" w:leader="none"/>
      </w:tabs>
      <w:bidi w:val="0"/>
      <w:spacing w:before="60" w:after="60"/>
      <w:ind w:hanging="576" w:start="576" w:end="0"/>
    </w:pPr>
    <w:rPr>
      <w:rFonts w:ascii="Garamond" w:hAnsi="Garamond" w:eastAsia="Times New Roman" w:cs="Garamond"/>
      <w:color w:val="000000"/>
      <w:sz w:val="24"/>
      <w:szCs w:val="20"/>
      <w:lang w:val="en-US" w:bidi="ar-SA" w:eastAsia="zh-CN"/>
    </w:rPr>
  </w:style>
  <w:style w:type="paragraph" w:styleId="body3">
    <w:name w:val="body3"/>
    <w:qFormat/>
    <w:pPr>
      <w:widowControl/>
      <w:bidi w:val="0"/>
      <w:spacing w:before="60" w:after="60"/>
      <w:ind w:hanging="576" w:start="1152" w:end="0"/>
    </w:pPr>
    <w:rPr>
      <w:rFonts w:ascii="Garamond" w:hAnsi="Garamond" w:eastAsia="Times New Roman" w:cs="Garamond"/>
      <w:color w:val="000000"/>
      <w:sz w:val="24"/>
      <w:szCs w:val="20"/>
      <w:lang w:val="en-US" w:eastAsia="en-CA" w:bidi="ar-SA"/>
    </w:rPr>
  </w:style>
  <w:style w:type="paragraph" w:styleId="body4">
    <w:name w:val="body4"/>
    <w:qFormat/>
    <w:pPr>
      <w:widowControl/>
      <w:bidi w:val="0"/>
      <w:spacing w:before="60" w:after="60"/>
      <w:ind w:hanging="576" w:start="1728" w:end="0"/>
    </w:pPr>
    <w:rPr>
      <w:rFonts w:ascii="Garamond" w:hAnsi="Garamond" w:eastAsia="Times New Roman" w:cs="Garamond"/>
      <w:color w:val="000000"/>
      <w:sz w:val="24"/>
      <w:szCs w:val="20"/>
      <w:lang w:val="en-US" w:eastAsia="en-CA" w:bidi="ar-SA"/>
    </w:rPr>
  </w:style>
  <w:style w:type="paragraph" w:styleId="Note">
    <w:name w:val="Note"/>
    <w:basedOn w:val="body2"/>
    <w:qFormat/>
    <w:pPr>
      <w:pBdr>
        <w:top w:val="single" w:sz="6" w:space="1" w:color="000000" w:shadow="1"/>
        <w:left w:val="single" w:sz="6" w:space="4" w:color="000000" w:shadow="1"/>
        <w:bottom w:val="single" w:sz="6" w:space="1" w:color="000000" w:shadow="1"/>
        <w:right w:val="single" w:sz="6" w:space="4" w:color="000000" w:shadow="1"/>
      </w:pBdr>
      <w:tabs>
        <w:tab w:val="clear" w:pos="1440"/>
        <w:tab w:val="left" w:pos="1152" w:leader="none"/>
      </w:tabs>
      <w:spacing w:before="160" w:after="160"/>
      <w:ind w:hanging="1728" w:start="1728" w:end="0"/>
    </w:pPr>
    <w:rPr>
      <w:i/>
    </w:rPr>
  </w:style>
  <w:style w:type="paragraph" w:styleId="Footer">
    <w:name w:val="footer"/>
    <w:pPr>
      <w:widowControl/>
      <w:pBdr>
        <w:top w:val="single" w:sz="18" w:space="1" w:color="808080"/>
      </w:pBdr>
      <w:tabs>
        <w:tab w:val="clear" w:pos="720"/>
        <w:tab w:val="right" w:pos="8928" w:leader="none"/>
      </w:tabs>
      <w:bidi w:val="0"/>
      <w:spacing w:before="120" w:after="0"/>
    </w:pPr>
    <w:rPr>
      <w:rFonts w:ascii="Arial Black" w:hAnsi="Arial Black" w:eastAsia="Times New Roman" w:cs="Arial Black"/>
      <w:color w:val="808080"/>
      <w:sz w:val="20"/>
      <w:szCs w:val="20"/>
      <w:lang w:val="en-US" w:eastAsia="en-CA" w:bidi="ar-SA"/>
    </w:rPr>
  </w:style>
  <w:style w:type="paragraph" w:styleId="TOC1">
    <w:name w:val="toc 1"/>
    <w:basedOn w:val="Normal"/>
    <w:next w:val="Normal"/>
    <w:pPr>
      <w:tabs>
        <w:tab w:val="clear" w:pos="720"/>
        <w:tab w:val="right" w:pos="8640" w:leader="dot"/>
      </w:tabs>
    </w:pPr>
    <w:rPr>
      <w:rFonts w:ascii="Arial Black" w:hAnsi="Arial Black" w:cs="Arial Black"/>
      <w:smallCaps/>
      <w:sz w:val="28"/>
    </w:rPr>
  </w:style>
  <w:style w:type="paragraph" w:styleId="TOC2">
    <w:name w:val="toc 2"/>
    <w:basedOn w:val="Normal"/>
    <w:next w:val="Normal"/>
    <w:pPr>
      <w:tabs>
        <w:tab w:val="clear" w:pos="720"/>
        <w:tab w:val="right" w:pos="8640" w:leader="dot"/>
      </w:tabs>
      <w:spacing w:before="240" w:after="60"/>
      <w:ind w:hanging="0" w:start="288" w:end="0"/>
    </w:pPr>
    <w:rPr>
      <w:rFonts w:ascii="Arial Black" w:hAnsi="Arial Black" w:cs="Arial Black"/>
      <w:i/>
    </w:rPr>
  </w:style>
  <w:style w:type="paragraph" w:styleId="TOC3">
    <w:name w:val="toc 3"/>
    <w:basedOn w:val="Normal"/>
    <w:next w:val="Normal"/>
    <w:pPr>
      <w:tabs>
        <w:tab w:val="clear" w:pos="720"/>
        <w:tab w:val="right" w:pos="8640" w:leader="dot"/>
      </w:tabs>
      <w:spacing w:before="120" w:after="60"/>
      <w:ind w:hanging="0" w:start="864" w:end="0"/>
    </w:pPr>
    <w:rPr>
      <w:rFonts w:ascii="Arial Rounded MT Bold" w:hAnsi="Arial Rounded MT Bold" w:cs="Arial Rounded MT Bold"/>
      <w:b/>
      <w:smallCaps/>
      <w:sz w:val="22"/>
    </w:rPr>
  </w:style>
  <w:style w:type="paragraph" w:styleId="TOC4">
    <w:name w:val="toc 4"/>
    <w:basedOn w:val="Normal"/>
    <w:next w:val="Normal"/>
    <w:pPr>
      <w:tabs>
        <w:tab w:val="clear" w:pos="720"/>
        <w:tab w:val="right" w:pos="8640" w:leader="dot"/>
      </w:tabs>
      <w:spacing w:before="40" w:after="40"/>
      <w:ind w:hanging="0" w:start="1296" w:end="0"/>
    </w:pPr>
    <w:rPr>
      <w:rFonts w:ascii="Arial Rounded MT Bold" w:hAnsi="Arial Rounded MT Bold" w:cs="Arial Rounded MT Bold"/>
      <w:b/>
      <w:i/>
      <w:sz w:val="22"/>
    </w:rPr>
  </w:style>
  <w:style w:type="paragraph" w:styleId="TOC5">
    <w:name w:val="toc 5"/>
    <w:basedOn w:val="Normal"/>
    <w:next w:val="Normal"/>
    <w:pPr>
      <w:tabs>
        <w:tab w:val="clear" w:pos="720"/>
        <w:tab w:val="right" w:pos="8640" w:leader="dot"/>
      </w:tabs>
      <w:spacing w:before="40" w:after="40"/>
      <w:ind w:hanging="0" w:start="1728" w:end="0"/>
    </w:pPr>
    <w:rPr>
      <w:rFonts w:ascii="Arial" w:hAnsi="Arial" w:cs="Arial"/>
      <w:b/>
      <w:sz w:val="20"/>
    </w:rPr>
  </w:style>
  <w:style w:type="paragraph" w:styleId="TOC6">
    <w:name w:val="toc 6"/>
    <w:basedOn w:val="Normal"/>
    <w:next w:val="Normal"/>
    <w:pPr>
      <w:tabs>
        <w:tab w:val="clear" w:pos="720"/>
        <w:tab w:val="right" w:pos="8640" w:leader="dot"/>
      </w:tabs>
      <w:ind w:hanging="0" w:start="1000" w:end="0"/>
    </w:pPr>
    <w:rPr/>
  </w:style>
  <w:style w:type="paragraph" w:styleId="TOC7">
    <w:name w:val="toc 7"/>
    <w:basedOn w:val="Normal"/>
    <w:next w:val="Normal"/>
    <w:pPr>
      <w:tabs>
        <w:tab w:val="clear" w:pos="720"/>
        <w:tab w:val="right" w:pos="8640" w:leader="dot"/>
      </w:tabs>
      <w:ind w:hanging="0" w:start="1200" w:end="0"/>
    </w:pPr>
    <w:rPr/>
  </w:style>
  <w:style w:type="paragraph" w:styleId="TOC8">
    <w:name w:val="toc 8"/>
    <w:basedOn w:val="Normal"/>
    <w:next w:val="Normal"/>
    <w:pPr>
      <w:tabs>
        <w:tab w:val="clear" w:pos="720"/>
        <w:tab w:val="right" w:pos="8640" w:leader="dot"/>
      </w:tabs>
      <w:ind w:hanging="0" w:start="1400" w:end="0"/>
    </w:pPr>
    <w:rPr/>
  </w:style>
  <w:style w:type="paragraph" w:styleId="TOC9">
    <w:name w:val="toc 9"/>
    <w:basedOn w:val="Normal"/>
    <w:next w:val="Normal"/>
    <w:pPr>
      <w:tabs>
        <w:tab w:val="clear" w:pos="720"/>
        <w:tab w:val="right" w:pos="8640" w:leader="dot"/>
      </w:tabs>
      <w:ind w:hanging="0" w:start="1600" w:end="0"/>
    </w:pPr>
    <w:rPr/>
  </w:style>
  <w:style w:type="paragraph" w:styleId="TitlePage">
    <w:name w:val="Title Page"/>
    <w:qFormat/>
    <w:pPr>
      <w:widowControl/>
      <w:bidi w:val="0"/>
      <w:spacing w:before="1680" w:after="0"/>
      <w:jc w:val="end"/>
    </w:pPr>
    <w:rPr>
      <w:rFonts w:ascii="Arial Black" w:hAnsi="Arial Black" w:eastAsia="Times New Roman" w:cs="Arial Black"/>
      <w:b/>
      <w:color w:val="auto"/>
      <w:sz w:val="52"/>
      <w:szCs w:val="20"/>
      <w:lang w:val="en-US" w:bidi="ar-SA" w:eastAsia="zh-CN"/>
    </w:rPr>
  </w:style>
  <w:style w:type="paragraph" w:styleId="graphic">
    <w:name w:val="graphic"/>
    <w:next w:val="Caption"/>
    <w:qFormat/>
    <w:pPr>
      <w:widowControl/>
      <w:bidi w:val="0"/>
      <w:spacing w:before="160" w:after="120"/>
      <w:jc w:val="center"/>
    </w:pPr>
    <w:rPr>
      <w:rFonts w:ascii="Arial" w:hAnsi="Arial" w:eastAsia="Times New Roman" w:cs="Arial"/>
      <w:color w:val="auto"/>
      <w:sz w:val="24"/>
      <w:szCs w:val="20"/>
      <w:lang w:val="en-US" w:bidi="ar-SA" w:eastAsia="zh-CN"/>
    </w:rPr>
  </w:style>
  <w:style w:type="paragraph" w:styleId="BodyTextIndent3">
    <w:name w:val="Body Text Indent 3"/>
    <w:basedOn w:val="Normal"/>
    <w:qFormat/>
    <w:pPr>
      <w:spacing w:before="60" w:after="120"/>
      <w:ind w:hanging="0" w:start="360" w:end="0"/>
    </w:pPr>
    <w:rPr>
      <w:sz w:val="16"/>
    </w:rPr>
  </w:style>
  <w:style w:type="paragraph" w:styleId="IndexHeading">
    <w:name w:val="index heading"/>
    <w:basedOn w:val="Heading"/>
    <w:pPr>
      <w:suppressLineNumbers/>
      <w:ind w:hanging="0" w:start="0"/>
    </w:pPr>
    <w:rPr>
      <w:b/>
      <w:bCs/>
      <w:sz w:val="32"/>
      <w:szCs w:val="32"/>
    </w:rPr>
  </w:style>
  <w:style w:type="paragraph" w:styleId="TOCHeading">
    <w:name w:val="TOC Heading"/>
    <w:qFormat/>
    <w:pPr>
      <w:widowControl/>
      <w:bidi w:val="0"/>
      <w:spacing w:before="240" w:after="360"/>
      <w:jc w:val="center"/>
    </w:pPr>
    <w:rPr>
      <w:rFonts w:ascii="Arial Black" w:hAnsi="Arial Black" w:eastAsia="Times New Roman" w:cs="Arial Black"/>
      <w:color w:val="000080"/>
      <w:sz w:val="40"/>
      <w:szCs w:val="20"/>
      <w:lang w:val="en-US" w:bidi="ar-SA" w:eastAsia="zh-CN"/>
    </w:rPr>
  </w:style>
  <w:style w:type="paragraph" w:styleId="BodyText3">
    <w:name w:val="Body Text 3"/>
    <w:basedOn w:val="Normal"/>
    <w:qFormat/>
    <w:pPr>
      <w:spacing w:before="60" w:after="120"/>
    </w:pPr>
    <w:rPr>
      <w:rFonts w:ascii="Arial Black" w:hAnsi="Arial Black" w:cs="Arial Black"/>
      <w:b/>
      <w:i/>
      <w:color w:val="808080"/>
      <w:sz w:val="28"/>
    </w:rPr>
  </w:style>
  <w:style w:type="paragraph" w:styleId="table-arial-10">
    <w:name w:val="table-arial-10"/>
    <w:qFormat/>
    <w:pPr>
      <w:widowControl/>
      <w:bidi w:val="0"/>
      <w:spacing w:before="40" w:after="40"/>
    </w:pPr>
    <w:rPr>
      <w:rFonts w:ascii="Arial" w:hAnsi="Arial" w:eastAsia="Times New Roman" w:cs="Arial"/>
      <w:color w:val="000000"/>
      <w:sz w:val="20"/>
      <w:szCs w:val="20"/>
      <w:lang w:val="en-US" w:bidi="ar-SA" w:eastAsia="zh-CN"/>
    </w:rPr>
  </w:style>
  <w:style w:type="paragraph" w:styleId="tableheading">
    <w:name w:val="table heading"/>
    <w:qFormat/>
    <w:pPr>
      <w:widowControl/>
      <w:bidi w:val="0"/>
      <w:spacing w:before="80" w:after="0"/>
      <w:jc w:val="center"/>
    </w:pPr>
    <w:rPr>
      <w:rFonts w:ascii="Arial Black" w:hAnsi="Arial Black" w:eastAsia="Times New Roman" w:cs="Arial Black"/>
      <w:i/>
      <w:color w:val="000000"/>
      <w:sz w:val="20"/>
      <w:szCs w:val="20"/>
      <w:lang w:val="en-US" w:bidi="ar-SA" w:eastAsia="zh-CN"/>
    </w:rPr>
  </w:style>
  <w:style w:type="paragraph" w:styleId="TestPlan">
    <w:name w:val="Test Plan"/>
    <w:qFormat/>
    <w:pPr>
      <w:widowControl/>
      <w:bidi w:val="0"/>
      <w:spacing w:before="0" w:after="1720"/>
      <w:jc w:val="end"/>
    </w:pPr>
    <w:rPr>
      <w:rFonts w:ascii="Arial Black" w:hAnsi="Arial Black" w:eastAsia="Times New Roman" w:cs="Arial Black"/>
      <w:b/>
      <w:color w:val="000000"/>
      <w:sz w:val="52"/>
      <w:szCs w:val="20"/>
      <w:lang w:val="en-US" w:bidi="ar-SA" w:eastAsia="zh-CN"/>
    </w:rPr>
  </w:style>
  <w:style w:type="paragraph" w:styleId="PreapredBy">
    <w:name w:val="Preapred By"/>
    <w:qFormat/>
    <w:pPr>
      <w:widowControl/>
      <w:bidi w:val="0"/>
      <w:spacing w:before="1800" w:after="120"/>
      <w:jc w:val="end"/>
    </w:pPr>
    <w:rPr>
      <w:rFonts w:ascii="Arial Black" w:hAnsi="Arial Black" w:eastAsia="Times New Roman" w:cs="Arial Black"/>
      <w:color w:val="808080"/>
      <w:sz w:val="24"/>
      <w:szCs w:val="20"/>
      <w:lang w:val="en-US" w:bidi="ar-SA" w:eastAsia="zh-CN"/>
    </w:rPr>
  </w:style>
  <w:style w:type="paragraph" w:styleId="PreparationDate">
    <w:name w:val="Preparation Date"/>
    <w:next w:val="Normal"/>
    <w:qFormat/>
    <w:pPr>
      <w:widowControl/>
      <w:bidi w:val="0"/>
      <w:spacing w:before="0" w:after="480"/>
      <w:jc w:val="end"/>
    </w:pPr>
    <w:rPr>
      <w:rFonts w:ascii="Arial Black" w:hAnsi="Arial Black" w:eastAsia="Times New Roman" w:cs="Arial Black"/>
      <w:color w:val="808080"/>
      <w:sz w:val="24"/>
      <w:szCs w:val="20"/>
      <w:lang w:val="en-US" w:bidi="ar-SA" w:eastAsia="zh-CN"/>
    </w:rPr>
  </w:style>
  <w:style w:type="paragraph" w:styleId="body5">
    <w:name w:val="body5"/>
    <w:qFormat/>
    <w:pPr>
      <w:widowControl/>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bidi="ar-SA" w:eastAsia="zh-CN"/>
    </w:rPr>
  </w:style>
  <w:style w:type="paragraph" w:styleId="arrow-b2">
    <w:name w:val="arrow-b2"/>
    <w:qFormat/>
    <w:pPr>
      <w:widowControl/>
      <w:numPr>
        <w:ilvl w:val="0"/>
        <w:numId w:val="6"/>
      </w:numPr>
      <w:tabs>
        <w:tab w:val="clear" w:pos="720"/>
      </w:tabs>
      <w:bidi w:val="0"/>
      <w:spacing w:before="60" w:after="60"/>
      <w:ind w:hanging="576" w:start="576" w:end="0"/>
    </w:pPr>
    <w:rPr>
      <w:rFonts w:ascii="Garamond" w:hAnsi="Garamond" w:eastAsia="Times New Roman" w:cs="Garamond"/>
      <w:color w:val="000000"/>
      <w:sz w:val="24"/>
      <w:szCs w:val="20"/>
      <w:lang w:val="en-US" w:bidi="ar-SA" w:eastAsia="zh-CN"/>
    </w:rPr>
  </w:style>
  <w:style w:type="paragraph" w:styleId="arrow-b3">
    <w:name w:val="arrow-b3"/>
    <w:qFormat/>
    <w:pPr>
      <w:widowControl/>
      <w:numPr>
        <w:ilvl w:val="0"/>
        <w:numId w:val="8"/>
      </w:numPr>
      <w:tabs>
        <w:tab w:val="clear" w:pos="720"/>
        <w:tab w:val="left" w:pos="1152" w:leader="none"/>
      </w:tabs>
      <w:bidi w:val="0"/>
      <w:spacing w:before="60" w:after="60"/>
      <w:ind w:hanging="576" w:start="1152" w:end="0"/>
    </w:pPr>
    <w:rPr>
      <w:rFonts w:ascii="Garamond" w:hAnsi="Garamond" w:eastAsia="Times New Roman" w:cs="Garamond"/>
      <w:color w:val="000000"/>
      <w:sz w:val="24"/>
      <w:szCs w:val="20"/>
      <w:lang w:val="en-US" w:bidi="ar-SA" w:eastAsia="zh-CN"/>
    </w:rPr>
  </w:style>
  <w:style w:type="paragraph" w:styleId="note-10pt">
    <w:name w:val="note-10pt"/>
    <w:qFormat/>
    <w:pPr>
      <w:widowControl/>
      <w:pBdr>
        <w:top w:val="single" w:sz="6" w:space="1" w:color="000000" w:shadow="1"/>
        <w:left w:val="single" w:sz="6" w:space="4" w:color="000000" w:shadow="1"/>
        <w:bottom w:val="single" w:sz="6" w:space="1" w:color="000000" w:shadow="1"/>
        <w:right w:val="single" w:sz="6" w:space="4" w:color="000000" w:shadow="1"/>
      </w:pBdr>
      <w:bidi w:val="0"/>
      <w:spacing w:before="160" w:after="160"/>
      <w:ind w:firstLine="1728" w:start="0" w:end="0"/>
    </w:pPr>
    <w:rPr>
      <w:rFonts w:ascii="Garamond" w:hAnsi="Garamond" w:eastAsia="Times New Roman" w:cs="Garamond"/>
      <w:color w:val="000000"/>
      <w:sz w:val="20"/>
      <w:szCs w:val="20"/>
      <w:lang w:val="en-US" w:eastAsia="en-CA" w:bidi="ar-SA"/>
    </w:rPr>
  </w:style>
  <w:style w:type="paragraph" w:styleId="Version">
    <w:name w:val="Version"/>
    <w:next w:val="Normal"/>
    <w:qFormat/>
    <w:pPr>
      <w:widowControl/>
      <w:bidi w:val="0"/>
      <w:spacing w:before="840" w:after="0"/>
      <w:jc w:val="end"/>
    </w:pPr>
    <w:rPr>
      <w:rFonts w:ascii="Arial Black" w:hAnsi="Arial Black" w:eastAsia="Times New Roman" w:cs="Arial Black"/>
      <w:color w:val="808080"/>
      <w:sz w:val="24"/>
      <w:szCs w:val="20"/>
      <w:lang w:val="en-US" w:bidi="ar-SA" w:eastAsia="zh-CN"/>
    </w:rPr>
  </w:style>
  <w:style w:type="paragraph" w:styleId="arrow-b4">
    <w:name w:val="arrow-b4"/>
    <w:qFormat/>
    <w:pPr>
      <w:widowControl/>
      <w:numPr>
        <w:ilvl w:val="0"/>
        <w:numId w:val="12"/>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bidi="ar-SA" w:eastAsia="zh-CN"/>
    </w:rPr>
  </w:style>
  <w:style w:type="paragraph" w:styleId="arrow-b5">
    <w:name w:val="arrow-b5"/>
    <w:qFormat/>
    <w:pPr>
      <w:widowControl/>
      <w:numPr>
        <w:ilvl w:val="0"/>
        <w:numId w:val="2"/>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bidi="ar-SA" w:eastAsia="zh-CN"/>
    </w:rPr>
  </w:style>
  <w:style w:type="paragraph" w:styleId="box-b2">
    <w:name w:val="box-b2"/>
    <w:qFormat/>
    <w:pPr>
      <w:widowControl/>
      <w:numPr>
        <w:ilvl w:val="0"/>
        <w:numId w:val="7"/>
      </w:numPr>
      <w:tabs>
        <w:tab w:val="clear" w:pos="720"/>
      </w:tabs>
      <w:bidi w:val="0"/>
      <w:spacing w:before="60" w:after="60"/>
      <w:ind w:hanging="576" w:start="576" w:end="0"/>
    </w:pPr>
    <w:rPr>
      <w:rFonts w:ascii="Garamond" w:hAnsi="Garamond" w:eastAsia="Times New Roman" w:cs="Garamond"/>
      <w:color w:val="000000"/>
      <w:sz w:val="24"/>
      <w:szCs w:val="20"/>
      <w:lang w:val="en-US" w:bidi="ar-SA" w:eastAsia="zh-CN"/>
    </w:rPr>
  </w:style>
  <w:style w:type="paragraph" w:styleId="box-b3">
    <w:name w:val="box-b3"/>
    <w:qFormat/>
    <w:pPr>
      <w:widowControl/>
      <w:numPr>
        <w:ilvl w:val="0"/>
        <w:numId w:val="9"/>
      </w:numPr>
      <w:tabs>
        <w:tab w:val="clear" w:pos="720"/>
      </w:tabs>
      <w:bidi w:val="0"/>
      <w:spacing w:before="60" w:after="60"/>
      <w:ind w:hanging="576" w:start="1152" w:end="0"/>
    </w:pPr>
    <w:rPr>
      <w:rFonts w:ascii="Garamond" w:hAnsi="Garamond" w:eastAsia="Times New Roman" w:cs="Garamond"/>
      <w:color w:val="000000"/>
      <w:sz w:val="24"/>
      <w:szCs w:val="20"/>
      <w:lang w:val="en-US" w:bidi="ar-SA" w:eastAsia="zh-CN"/>
    </w:rPr>
  </w:style>
  <w:style w:type="paragraph" w:styleId="box-b4">
    <w:name w:val="box-b4"/>
    <w:qFormat/>
    <w:pPr>
      <w:widowControl/>
      <w:numPr>
        <w:ilvl w:val="0"/>
        <w:numId w:val="5"/>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bidi="ar-SA" w:eastAsia="zh-CN"/>
    </w:rPr>
  </w:style>
  <w:style w:type="paragraph" w:styleId="Style11">
    <w:name w:val="Style1"/>
    <w:qFormat/>
    <w:pPr>
      <w:widowControl/>
      <w:numPr>
        <w:ilvl w:val="0"/>
        <w:numId w:val="4"/>
      </w:numPr>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bidi="ar-SA" w:eastAsia="zh-CN"/>
    </w:rPr>
  </w:style>
  <w:style w:type="paragraph" w:styleId="box-b5">
    <w:name w:val="box-b5"/>
    <w:qFormat/>
    <w:pPr>
      <w:widowControl/>
      <w:numPr>
        <w:ilvl w:val="0"/>
        <w:numId w:val="11"/>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bidi="ar-SA" w:eastAsia="zh-CN"/>
    </w:rPr>
  </w:style>
  <w:style w:type="paragraph" w:styleId="proprietarystatement">
    <w:name w:val="proprietary statement"/>
    <w:qFormat/>
    <w:pPr>
      <w:widowControl/>
      <w:pBdr>
        <w:top w:val="single" w:sz="12" w:space="1" w:color="808080" w:shadow="1"/>
        <w:left w:val="single" w:sz="12" w:space="4" w:color="808080" w:shadow="1"/>
        <w:bottom w:val="single" w:sz="12" w:space="1" w:color="808080" w:shadow="1"/>
        <w:right w:val="single" w:sz="12" w:space="4" w:color="808080" w:shadow="1"/>
      </w:pBdr>
      <w:bidi w:val="0"/>
    </w:pPr>
    <w:rPr>
      <w:rFonts w:ascii="Arial Narrow" w:hAnsi="Arial Narrow" w:eastAsia="Times New Roman" w:cs="Arial Narrow"/>
      <w:color w:val="808080"/>
      <w:sz w:val="20"/>
      <w:szCs w:val="20"/>
      <w:lang w:val="en-US" w:eastAsia="en-CA" w:bidi="ar-SA"/>
    </w:rPr>
  </w:style>
  <w:style w:type="paragraph" w:styleId="logo">
    <w:name w:val="logo"/>
    <w:qFormat/>
    <w:pPr>
      <w:widowControl/>
      <w:pBdr>
        <w:top w:val="single" w:sz="12" w:space="1" w:color="808080"/>
        <w:bottom w:val="threeDEmboss" w:sz="24" w:space="1" w:color="000000"/>
      </w:pBdr>
      <w:bidi w:val="0"/>
      <w:spacing w:before="480" w:after="480"/>
    </w:pPr>
    <w:rPr>
      <w:rFonts w:ascii="Arial Black" w:hAnsi="Arial Black" w:eastAsia="Times New Roman" w:cs="Arial Black"/>
      <w:color w:val="808080"/>
      <w:sz w:val="24"/>
      <w:szCs w:val="20"/>
      <w:lang w:val="en-US" w:eastAsia="en-CA" w:bidi="ar-SA"/>
    </w:rPr>
  </w:style>
  <w:style w:type="paragraph" w:styleId="TableHeading2">
    <w:name w:val="Table Heading 2"/>
    <w:qFormat/>
    <w:pPr>
      <w:widowControl/>
      <w:bidi w:val="0"/>
      <w:spacing w:before="100" w:after="0"/>
      <w:jc w:val="center"/>
    </w:pPr>
    <w:rPr>
      <w:rFonts w:ascii="Arial Black" w:hAnsi="Arial Black" w:eastAsia="Times New Roman" w:cs="Arial Black"/>
      <w:i/>
      <w:color w:val="000000"/>
      <w:sz w:val="18"/>
      <w:szCs w:val="20"/>
      <w:lang w:val="en-US" w:bidi="ar-SA" w:eastAsia="zh-CN"/>
    </w:rPr>
  </w:style>
  <w:style w:type="paragraph" w:styleId="TableText">
    <w:name w:val="Table Text"/>
    <w:qFormat/>
    <w:pPr>
      <w:widowControl/>
      <w:bidi w:val="0"/>
      <w:spacing w:before="120" w:after="20"/>
    </w:pPr>
    <w:rPr>
      <w:rFonts w:ascii="Arial" w:hAnsi="Arial" w:eastAsia="Times New Roman" w:cs="Arial"/>
      <w:color w:val="000000"/>
      <w:sz w:val="20"/>
      <w:szCs w:val="20"/>
      <w:lang w:val="en-US" w:bidi="ar-SA" w:eastAsia="zh-CN"/>
    </w:rPr>
  </w:style>
  <w:style w:type="paragraph" w:styleId="10pointtext">
    <w:name w:val="10 point text"/>
    <w:qFormat/>
    <w:pPr>
      <w:widowControl/>
      <w:bidi w:val="0"/>
      <w:spacing w:before="60" w:after="0"/>
    </w:pPr>
    <w:rPr>
      <w:rFonts w:ascii="Garamond" w:hAnsi="Garamond" w:eastAsia="Times New Roman" w:cs="Garamond"/>
      <w:color w:val="000000"/>
      <w:sz w:val="20"/>
      <w:szCs w:val="20"/>
      <w:lang w:val="en-US" w:bidi="ar-SA" w:eastAsia="zh-CN"/>
    </w:rPr>
  </w:style>
  <w:style w:type="paragraph" w:styleId="tabletext8">
    <w:name w:val="table text 8"/>
    <w:qFormat/>
    <w:pPr>
      <w:widowControl/>
      <w:bidi w:val="0"/>
    </w:pPr>
    <w:rPr>
      <w:rFonts w:ascii="Arial" w:hAnsi="Arial" w:eastAsia="Times New Roman" w:cs="Arial"/>
      <w:color w:val="auto"/>
      <w:sz w:val="16"/>
      <w:szCs w:val="20"/>
      <w:lang w:val="en-US" w:bidi="ar-SA" w:eastAsia="zh-CN"/>
    </w:rPr>
  </w:style>
  <w:style w:type="paragraph" w:styleId="GoodIdea">
    <w:name w:val="Good Idea"/>
    <w:basedOn w:val="Note"/>
    <w:qFormat/>
    <w:pPr>
      <w:pBdr>
        <w:top w:val="single" w:sz="6" w:space="5" w:color="000000" w:shadow="1"/>
        <w:left w:val="single" w:sz="6" w:space="5" w:color="000000" w:shadow="1"/>
        <w:bottom w:val="single" w:sz="6" w:space="5" w:color="000000" w:shadow="1"/>
        <w:right w:val="single" w:sz="6" w:space="5" w:color="000000" w:shadow="1"/>
      </w:pBdr>
      <w:spacing w:before="60" w:after="60"/>
      <w:ind w:hanging="1152" w:start="1152" w:end="0"/>
    </w:pPr>
    <w:rPr/>
  </w:style>
  <w:style w:type="paragraph" w:styleId="TableList">
    <w:name w:val="TableList"/>
    <w:qFormat/>
    <w:pPr>
      <w:widowControl/>
      <w:bidi w:val="0"/>
      <w:spacing w:before="20" w:after="0"/>
      <w:ind w:hanging="0" w:start="432" w:end="0"/>
    </w:pPr>
    <w:rPr>
      <w:rFonts w:ascii="Arial" w:hAnsi="Arial" w:eastAsia="Times New Roman" w:cs="Arial"/>
      <w:color w:val="000000"/>
      <w:sz w:val="20"/>
      <w:szCs w:val="20"/>
      <w:lang w:val="en-US" w:eastAsia="en-CA" w:bidi="ar-SA"/>
    </w:rPr>
  </w:style>
  <w:style w:type="paragraph" w:styleId="TableH10Left">
    <w:name w:val="TableH10Left"/>
    <w:qFormat/>
    <w:pPr>
      <w:widowControl/>
      <w:bidi w:val="0"/>
      <w:spacing w:before="120" w:after="60"/>
    </w:pPr>
    <w:rPr>
      <w:rFonts w:ascii="Arial Black" w:hAnsi="Arial Black" w:eastAsia="Times New Roman" w:cs="Arial Black"/>
      <w:b/>
      <w:i/>
      <w:color w:val="000000"/>
      <w:sz w:val="20"/>
      <w:szCs w:val="20"/>
      <w:lang w:val="en-US" w:eastAsia="en-CA" w:bidi="ar-SA"/>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SimpleTemplateNoCoverPage.dot</Template>
  <TotalTime>1292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2000-10-30T19:57:00Z</dcterms:created>
  <dc:creator>Larry Steward</dc:creator>
  <dc:description/>
  <dc:language>en-CA</dc:language>
  <cp:lastModifiedBy>Larry Steward</cp:lastModifiedBy>
  <cp:lastPrinted>2001-03-08T09:15:00Z</cp:lastPrinted>
  <dcterms:modified xsi:type="dcterms:W3CDTF">2001-03-08T12:45:00Z</dcterms:modified>
  <cp:revision>54</cp:revision>
  <dc:subject>ETS Template</dc:subject>
  <dc:title>ETS Template</dc:title>
</cp:coreProperties>
</file>