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20"/>
          <w:u w:val="single"/>
        </w:rPr>
      </w:pPr>
      <w:r>
        <w:rPr>
          <w:rFonts w:cs="Arial" w:ascii="Arial" w:hAnsi="Arial"/>
          <w:b/>
          <w:bCs/>
          <w:sz w:val="20"/>
          <w:u w:val="single"/>
        </w:rPr>
        <w:t>ETS Optimization – Weekly Report (Nov 15)</w:t>
      </w:r>
    </w:p>
    <w:p>
      <w:pPr>
        <w:pStyle w:val="Normal"/>
        <w:rPr>
          <w:rFonts w:ascii="Arial" w:hAnsi="Arial" w:cs="Arial"/>
          <w:b/>
          <w:bCs/>
          <w:sz w:val="20"/>
          <w:u w:val="single"/>
        </w:rPr>
      </w:pPr>
      <w:r>
        <w:rPr>
          <w:rFonts w:cs="Arial" w:ascii="Arial" w:hAnsi="Arial"/>
          <w:b/>
          <w:bCs/>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TRANSWESTERN</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tabs>
          <w:tab w:val="clear" w:pos="720"/>
          <w:tab w:val="left" w:pos="0" w:leader="none"/>
        </w:tabs>
        <w:autoSpaceDE w:val="false"/>
        <w:spacing w:lineRule="atLeast" w:line="240"/>
        <w:ind w:start="720" w:end="0"/>
        <w:jc w:val="both"/>
        <w:rPr>
          <w:rFonts w:ascii="Arial" w:hAnsi="Arial" w:cs="Arial"/>
          <w:b/>
          <w:bCs/>
          <w:color w:val="000000"/>
          <w:sz w:val="20"/>
        </w:rPr>
      </w:pPr>
      <w:r>
        <w:rPr>
          <w:rFonts w:cs="Arial" w:ascii="Arial" w:hAnsi="Arial"/>
          <w:b/>
          <w:bCs/>
          <w:color w:val="000000"/>
          <w:sz w:val="20"/>
        </w:rPr>
        <w:t>Red Rock and Sun Devil Fuel Ratios</w:t>
      </w:r>
    </w:p>
    <w:p>
      <w:pPr>
        <w:pStyle w:val="Normal"/>
        <w:tabs>
          <w:tab w:val="clear" w:pos="720"/>
          <w:tab w:val="left" w:pos="0" w:leader="none"/>
        </w:tabs>
        <w:autoSpaceDE w:val="false"/>
        <w:spacing w:lineRule="atLeast" w:line="240"/>
        <w:ind w:start="720" w:end="0"/>
        <w:jc w:val="both"/>
        <w:rPr>
          <w:rFonts w:ascii="Arial" w:hAnsi="Arial" w:cs="Arial"/>
          <w:color w:val="000000"/>
          <w:sz w:val="20"/>
        </w:rPr>
      </w:pPr>
      <w:r>
        <w:rPr>
          <w:rFonts w:cs="Arial" w:ascii="Arial" w:hAnsi="Arial"/>
          <w:color w:val="000000"/>
          <w:sz w:val="20"/>
        </w:rPr>
        <w:t>Worked with Planning to evaluate the fuel impact of both the Red Rock and Sundevil expansions for load factors of 50-100%. The Sun devil expansion is expected to provide a lower fuel to throughput ratio.</w:t>
      </w:r>
    </w:p>
    <w:p>
      <w:pPr>
        <w:pStyle w:val="Normal"/>
        <w:autoSpaceDE w:val="false"/>
        <w:spacing w:lineRule="atLeast" w:line="240"/>
        <w:jc w:val="both"/>
        <w:rPr>
          <w:rFonts w:ascii="Arial" w:hAnsi="Arial" w:cs="Arial"/>
          <w:color w:val="000000"/>
          <w:sz w:val="20"/>
        </w:rPr>
      </w:pPr>
      <w:r>
        <w:rPr>
          <w:rFonts w:cs="Arial" w:ascii="Arial" w:hAnsi="Arial"/>
          <w:color w:val="000000"/>
          <w:sz w:val="20"/>
        </w:rPr>
      </w:r>
    </w:p>
    <w:p>
      <w:pPr>
        <w:pStyle w:val="Heading4"/>
        <w:rPr/>
      </w:pPr>
      <w:r>
        <w:rPr/>
        <w:t>Red Rock Unit 3 location</w:t>
      </w:r>
    </w:p>
    <w:p>
      <w:pPr>
        <w:pStyle w:val="BodyTextIndent"/>
        <w:rPr/>
      </w:pPr>
      <w:r>
        <w:rPr/>
        <w:t>Worked with Planning and Operations to confirm that the location of the third Red Rock unit will be at the existing site of CS3. Consideration was given to possibly locating this unit at CS4 but was deemed to be uneconomical.</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5"/>
        <w:rPr/>
      </w:pPr>
      <w:r>
        <w:rPr/>
        <w:t>NORTHERN NATURAL</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Beaver to Mullinville B-C Sweep</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Pressure sweeping began on Monday and expected to be completed today.  Efficiencies will be monitored in the upcoming days and weeks to gauge the effect of the sweep.</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Sublette A Moisture Sweep</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Gas flow has been routed into the Sublette to Mullinville A line to sweep out free water in the line.  This resumes an effort discontinued this summer.  Overall system moisture levels were too high this summer for this extra moisture loading.  This should provide the flexibility of using the line for normal flow at any time without creating a moisture concern.</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Glenwood Interconnect B Line Feed</w:t>
      </w:r>
    </w:p>
    <w:p>
      <w:pPr>
        <w:pStyle w:val="BodyText2"/>
        <w:ind w:start="720" w:end="0"/>
        <w:rPr/>
      </w:pPr>
      <w:r>
        <w:rPr/>
        <w:t>The potential savings and pros and cons of switching the Glenwood delivery to NGPL from the D to the B were reviewed with region personnel.  Feeding the interconnect from the lower pressure B line should reduce compression costs.  Tentative plans to switch the interconnect to the B on 11/14/01 were postponed due to other system outages.</w:t>
      </w:r>
    </w:p>
    <w:p>
      <w:pPr>
        <w:pStyle w:val="Normal"/>
        <w:tabs>
          <w:tab w:val="clear" w:pos="720"/>
          <w:tab w:val="left" w:pos="0" w:leader="none"/>
        </w:tabs>
        <w:autoSpaceDE w:val="false"/>
        <w:spacing w:lineRule="atLeast" w:line="24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Trailblazer Expansion Controls</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The proposed control scheme for the new facilities was reviewed for potential changes.</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Gas Control NNG Winter Operations Meeting</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Facility and operation changes and improvements will be reviewed at the annual winter operations meeting on 11/15/01.  North Planning, South Planning, North Operating Region and the Optimization team will exchange information and strategies with Gas Control.</w:t>
      </w:r>
    </w:p>
    <w:p>
      <w:pPr>
        <w:pStyle w:val="Normal"/>
        <w:tabs>
          <w:tab w:val="clear" w:pos="720"/>
          <w:tab w:val="left" w:pos="0" w:leader="none"/>
        </w:tabs>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FLORIDA GAS</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3"/>
        <w:keepNext w:val="true"/>
        <w:spacing w:lineRule="atLeast" w:line="240"/>
        <w:ind w:hanging="0" w:start="720" w:end="0"/>
        <w:rPr>
          <w:rFonts w:cs="Arial"/>
          <w:b/>
          <w:bCs/>
          <w:szCs w:val="20"/>
        </w:rPr>
      </w:pPr>
      <w:r>
        <w:rPr>
          <w:rFonts w:cs="Arial"/>
          <w:b/>
          <w:bCs/>
          <w:szCs w:val="20"/>
        </w:rPr>
        <w:t>3-Day Simulation -</w:t>
      </w:r>
      <w:r>
        <w:rPr>
          <w:rFonts w:cs="Arial"/>
          <w:b/>
          <w:bCs/>
          <w:color w:val="000000"/>
          <w:szCs w:val="20"/>
        </w:rPr>
        <w:t xml:space="preserve"> </w:t>
      </w:r>
    </w:p>
    <w:p>
      <w:pPr>
        <w:pStyle w:val="BodyTextIndent2"/>
        <w:rPr/>
      </w:pPr>
      <w:r>
        <w:rPr/>
        <w:t>Continuing work on the 3-day simulation. encountered difficulties with regulator set-points for the period under consideration.</w:t>
      </w:r>
    </w:p>
    <w:p>
      <w:pPr>
        <w:pStyle w:val="Normal"/>
        <w:spacing w:lineRule="atLeast" w:line="240"/>
        <w:ind w:start="180" w:end="0"/>
        <w:rPr>
          <w:rFonts w:ascii="Arial" w:hAnsi="Arial" w:cs="Arial"/>
          <w:sz w:val="20"/>
          <w:szCs w:val="20"/>
        </w:rPr>
      </w:pPr>
      <w:r>
        <w:rPr>
          <w:rFonts w:cs="Arial" w:ascii="Arial" w:hAnsi="Arial"/>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NORTHERN BORDER</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1"/>
        <w:ind w:hanging="0" w:start="720" w:end="0"/>
        <w:rPr>
          <w:rFonts w:ascii="Arial" w:hAnsi="Arial" w:cs="Arial"/>
          <w:sz w:val="20"/>
        </w:rPr>
      </w:pPr>
      <w:r>
        <w:rPr>
          <w:rFonts w:cs="Arial" w:ascii="Arial" w:hAnsi="Arial"/>
          <w:sz w:val="20"/>
        </w:rPr>
        <w:t>Performance Evaluation  of Units</w:t>
      </w:r>
    </w:p>
    <w:p>
      <w:pPr>
        <w:pStyle w:val="Normal"/>
        <w:autoSpaceDE w:val="false"/>
        <w:ind w:start="720" w:end="0"/>
        <w:rPr>
          <w:rFonts w:ascii="Arial" w:hAnsi="Arial" w:cs="Arial"/>
          <w:sz w:val="20"/>
        </w:rPr>
      </w:pPr>
      <w:r>
        <w:rPr>
          <w:rFonts w:cs="Arial" w:ascii="Arial" w:hAnsi="Arial"/>
          <w:sz w:val="20"/>
        </w:rPr>
        <w:t xml:space="preserve">Worked with Chris Burns, NBPL Gas Control, checking performance calculations for NBPL's 11 installed ISO 38,000 horsepower packages.  Chris provides compressor efficiencies and gas turbine fuel usages to Operating personnel. </w:t>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EOTT</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before="0" w:after="120"/>
        <w:ind w:start="720" w:end="0"/>
        <w:jc w:val="both"/>
        <w:rPr>
          <w:rFonts w:ascii="Arial" w:hAnsi="Arial" w:cs="Arial"/>
          <w:color w:val="000000"/>
          <w:sz w:val="20"/>
        </w:rPr>
      </w:pPr>
      <w:r>
        <w:rPr>
          <w:rFonts w:cs="Arial" w:ascii="Arial" w:hAnsi="Arial"/>
          <w:color w:val="000000"/>
          <w:sz w:val="20"/>
        </w:rPr>
        <w:t>No action</w:t>
      </w:r>
    </w:p>
    <w:p>
      <w:pPr>
        <w:pStyle w:val="Normal"/>
        <w:autoSpaceDE w:val="false"/>
        <w:spacing w:lineRule="atLeast" w:line="24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MISCELLANEOUS</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ind w:start="720" w:end="0"/>
        <w:rPr>
          <w:rFonts w:ascii="Arial" w:hAnsi="Arial" w:eastAsia="Arial Unicode MS" w:cs="Arial"/>
          <w:sz w:val="20"/>
        </w:rPr>
      </w:pPr>
      <w:r>
        <w:rPr>
          <w:rStyle w:val="Strong"/>
          <w:rFonts w:cs="Arial" w:ascii="Arial" w:hAnsi="Arial"/>
          <w:sz w:val="20"/>
          <w:szCs w:val="27"/>
        </w:rPr>
        <w:t>Compressor Training</w:t>
      </w:r>
    </w:p>
    <w:p>
      <w:pPr>
        <w:pStyle w:val="Normal"/>
        <w:ind w:start="720" w:end="0"/>
        <w:rPr>
          <w:rFonts w:ascii="Arial" w:hAnsi="Arial" w:cs="Arial"/>
          <w:sz w:val="20"/>
        </w:rPr>
      </w:pPr>
      <w:r>
        <w:rPr>
          <w:rFonts w:cs="Arial" w:ascii="Arial" w:hAnsi="Arial"/>
          <w:sz w:val="20"/>
        </w:rPr>
        <w:t>Provide additional compression training to the Houston Planning Team and Optimization.  The emphasis was on the limitations and pitfalls expected for turbines, engines, motors, reciprocating compressors, and centrifugal compressors.  Also provided training on the compressor performance utility.  Currently those on the Houston network do not have the correct installation script and version of the program.  Currently working with Brian Larkin to resolve this issue but have had slow progress.</w:t>
      </w:r>
    </w:p>
    <w:p>
      <w:pPr>
        <w:pStyle w:val="Normal"/>
        <w:ind w:start="720" w:end="0"/>
        <w:rPr>
          <w:rFonts w:ascii="Arial" w:hAnsi="Arial" w:cs="Arial"/>
          <w:sz w:val="20"/>
        </w:rPr>
      </w:pPr>
      <w:r>
        <w:rPr>
          <w:rFonts w:cs="Arial" w:ascii="Arial" w:hAnsi="Arial"/>
          <w:sz w:val="20"/>
        </w:rPr>
        <w:t> </w:t>
      </w:r>
    </w:p>
    <w:p>
      <w:pPr>
        <w:pStyle w:val="Heading2"/>
        <w:ind w:hanging="0" w:start="720" w:end="0"/>
        <w:rPr>
          <w:rFonts w:ascii="Arial" w:hAnsi="Arial" w:cs="Arial"/>
        </w:rPr>
      </w:pPr>
      <w:r>
        <w:rPr>
          <w:rStyle w:val="Strong"/>
          <w:rFonts w:cs="Arial" w:ascii="Arial" w:hAnsi="Arial"/>
        </w:rPr>
        <w:t>Compressor Database</w:t>
      </w:r>
    </w:p>
    <w:p>
      <w:pPr>
        <w:pStyle w:val="BodyText"/>
        <w:ind w:start="720" w:end="0"/>
        <w:rPr>
          <w:rFonts w:ascii="Arial" w:hAnsi="Arial" w:cs="Arial"/>
        </w:rPr>
      </w:pPr>
      <w:r>
        <w:rPr>
          <w:rFonts w:cs="Arial" w:ascii="Arial" w:hAnsi="Arial"/>
        </w:rPr>
        <w:t xml:space="preserve">Met with Gary Maestas and Ruth Jenson to facilitate the consolidation of all compressor information into a centralized relational database.  </w:t>
      </w:r>
    </w:p>
    <w:p>
      <w:pPr>
        <w:pStyle w:val="Heading7"/>
        <w:keepNext w:val="true"/>
        <w:ind w:firstLine="180" w:start="0" w:end="0"/>
        <w:rPr>
          <w:rFonts w:ascii="Arial" w:hAnsi="Arial" w:cs="Arial"/>
          <w:b/>
          <w:bCs/>
          <w:szCs w:val="20"/>
        </w:rPr>
      </w:pPr>
      <w:r>
        <w:rPr>
          <w:rFonts w:cs="Arial"/>
          <w:b/>
          <w:bCs/>
          <w:szCs w:val="20"/>
        </w:rPr>
      </w:r>
    </w:p>
    <w:p>
      <w:pPr>
        <w:pStyle w:val="Heading7"/>
        <w:keepNext w:val="true"/>
        <w:ind w:hanging="0" w:start="720" w:end="0"/>
        <w:rPr>
          <w:rFonts w:cs="Arial"/>
          <w:b/>
          <w:bCs/>
          <w:szCs w:val="20"/>
        </w:rPr>
      </w:pPr>
      <w:r>
        <w:rPr>
          <w:rFonts w:cs="Arial"/>
          <w:b/>
          <w:bCs/>
          <w:szCs w:val="20"/>
        </w:rPr>
        <w:t xml:space="preserve">Energy Recovery </w:t>
      </w:r>
    </w:p>
    <w:p>
      <w:pPr>
        <w:pStyle w:val="Normal"/>
        <w:ind w:start="720" w:end="0"/>
        <w:rPr>
          <w:rFonts w:ascii="Arial" w:hAnsi="Arial" w:cs="Arial"/>
          <w:sz w:val="20"/>
          <w:szCs w:val="20"/>
        </w:rPr>
      </w:pPr>
      <w:r>
        <w:rPr>
          <w:rFonts w:cs="Arial" w:ascii="Arial" w:hAnsi="Arial"/>
          <w:sz w:val="20"/>
          <w:szCs w:val="20"/>
        </w:rPr>
        <w:t>Met with Natural Energies on their proposal to recover energy from regulators.</w:t>
      </w:r>
    </w:p>
    <w:p>
      <w:pPr>
        <w:pStyle w:val="Normal"/>
        <w:ind w:start="720" w:end="0"/>
        <w:rPr>
          <w:rFonts w:ascii="Arial" w:hAnsi="Arial" w:cs="Arial"/>
          <w:sz w:val="20"/>
          <w:szCs w:val="20"/>
        </w:rPr>
      </w:pPr>
      <w:r>
        <w:rPr>
          <w:rFonts w:cs="Arial" w:ascii="Arial" w:hAnsi="Arial"/>
          <w:sz w:val="20"/>
          <w:szCs w:val="20"/>
        </w:rPr>
        <w:t>They made a presentation. They will forward a package of literature for our review.</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rPr>
          <w:rFonts w:ascii="Arial" w:hAnsi="Arial" w:cs="Arial"/>
          <w:b/>
          <w:bCs/>
          <w:color w:val="000000"/>
          <w:sz w:val="20"/>
          <w:u w:val="single"/>
        </w:rPr>
      </w:pPr>
      <w:r>
        <w:rPr>
          <w:rFonts w:cs="Arial" w:ascii="Arial" w:hAnsi="Arial"/>
          <w:b/>
          <w:bCs/>
          <w:color w:val="000000"/>
          <w:sz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rPr>
  </w:style>
  <w:style w:type="paragraph" w:styleId="Heading2">
    <w:name w:val="heading 2"/>
    <w:basedOn w:val="Normal"/>
    <w:next w:val="Normal"/>
    <w:qFormat/>
    <w:pPr>
      <w:keepNext w:val="true"/>
      <w:numPr>
        <w:ilvl w:val="1"/>
        <w:numId w:val="1"/>
      </w:numPr>
      <w:outlineLvl w:val="1"/>
    </w:pPr>
    <w:rPr>
      <w:sz w:val="20"/>
      <w:szCs w:val="27"/>
    </w:rPr>
  </w:style>
  <w:style w:type="paragraph" w:styleId="Heading3">
    <w:name w:val="heading 3"/>
    <w:basedOn w:val="Normal"/>
    <w:next w:val="Normal"/>
    <w:qFormat/>
    <w:pPr>
      <w:numPr>
        <w:ilvl w:val="2"/>
        <w:numId w:val="1"/>
      </w:numPr>
      <w:autoSpaceDE w:val="false"/>
      <w:outlineLvl w:val="2"/>
    </w:pPr>
    <w:rPr>
      <w:rFonts w:ascii="Arial" w:hAnsi="Arial" w:cs="Arial"/>
      <w:sz w:val="20"/>
    </w:rPr>
  </w:style>
  <w:style w:type="paragraph" w:styleId="Heading4">
    <w:name w:val="heading 4"/>
    <w:basedOn w:val="Normal"/>
    <w:next w:val="Normal"/>
    <w:qFormat/>
    <w:pPr>
      <w:keepNext w:val="true"/>
      <w:numPr>
        <w:ilvl w:val="3"/>
        <w:numId w:val="1"/>
      </w:numPr>
      <w:autoSpaceDE w:val="false"/>
      <w:spacing w:lineRule="atLeast" w:line="240"/>
      <w:ind w:hanging="0" w:start="720" w:end="0"/>
      <w:jc w:val="both"/>
      <w:outlineLvl w:val="3"/>
    </w:pPr>
    <w:rPr>
      <w:rFonts w:ascii="Arial" w:hAnsi="Arial" w:cs="Arial"/>
      <w:b/>
      <w:bCs/>
      <w:color w:val="000000"/>
      <w:sz w:val="20"/>
    </w:rPr>
  </w:style>
  <w:style w:type="paragraph" w:styleId="Heading5">
    <w:name w:val="heading 5"/>
    <w:basedOn w:val="Normal"/>
    <w:next w:val="Normal"/>
    <w:qFormat/>
    <w:pPr>
      <w:keepNext w:val="true"/>
      <w:numPr>
        <w:ilvl w:val="4"/>
        <w:numId w:val="1"/>
      </w:numPr>
      <w:autoSpaceDE w:val="false"/>
      <w:spacing w:lineRule="atLeast" w:line="240"/>
      <w:ind w:hanging="0" w:start="720" w:end="0"/>
      <w:jc w:val="both"/>
      <w:outlineLvl w:val="4"/>
    </w:pPr>
    <w:rPr>
      <w:rFonts w:ascii="Arial" w:hAnsi="Arial" w:cs="Arial"/>
      <w:b/>
      <w:bCs/>
      <w:color w:val="000000"/>
      <w:sz w:val="20"/>
      <w:u w:val="single"/>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Arial" w:hAnsi="Arial" w:cs="Arial"/>
      <w:color w:val="000000"/>
      <w:sz w:val="20"/>
    </w:rPr>
  </w:style>
  <w:style w:type="paragraph" w:styleId="BodyTextIndent2">
    <w:name w:val="Body Text Indent 2"/>
    <w:basedOn w:val="Normal"/>
    <w:qFormat/>
    <w:pPr>
      <w:spacing w:lineRule="atLeast" w:line="240"/>
      <w:ind w:hanging="0" w:start="720" w:end="0"/>
    </w:pPr>
    <w:rPr>
      <w:rFonts w:ascii="Arial" w:hAnsi="Arial" w:cs="Arial"/>
      <w:sz w:val="20"/>
      <w:szCs w:val="20"/>
    </w:rPr>
  </w:style>
  <w:style w:type="paragraph" w:styleId="BodyText2">
    <w:name w:val="Body Text 2"/>
    <w:basedOn w:val="Normal"/>
    <w:qFormat/>
    <w:pPr>
      <w:tabs>
        <w:tab w:val="clear" w:pos="720"/>
        <w:tab w:val="left" w:pos="0" w:leader="none"/>
      </w:tabs>
      <w:autoSpaceDE w:val="false"/>
      <w:spacing w:lineRule="atLeast" w:line="240"/>
    </w:pPr>
    <w:rPr>
      <w:rFonts w:ascii="Arial" w:hAnsi="Arial" w:cs="Arial"/>
      <w:color w:val="000000"/>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2001-11-15T14:46:00Z</dcterms:created>
  <dc:creator>basante</dc:creator>
  <dc:description/>
  <dc:language>en-CA</dc:language>
  <cp:lastModifiedBy>basante</cp:lastModifiedBy>
  <dcterms:modified xsi:type="dcterms:W3CDTF">2001-11-15T14:46:00Z</dcterms:modified>
  <cp:revision>2</cp:revision>
  <dc:subject/>
  <dc:title>ETS Optimization – Weekly Report (Nov 15)</dc:title>
</cp:coreProperties>
</file>