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rFonts w:ascii="Arial" w:hAnsi="Arial" w:cs="Arial"/>
          <w:b/>
          <w:bCs/>
          <w:sz w:val="20"/>
          <w:u w:val="single"/>
        </w:rPr>
      </w:pPr>
      <w:r>
        <w:rPr>
          <w:rFonts w:cs="Arial" w:ascii="Arial" w:hAnsi="Arial"/>
          <w:b/>
          <w:bCs/>
          <w:sz w:val="20"/>
          <w:u w:val="single"/>
        </w:rPr>
        <w:t>ETS Optimization – Weekly Report (Jan 17)</w:t>
      </w:r>
    </w:p>
    <w:p>
      <w:pPr>
        <w:pStyle w:val="Normal"/>
        <w:rPr>
          <w:rFonts w:ascii="Arial" w:hAnsi="Arial" w:cs="Arial"/>
          <w:b/>
          <w:bCs/>
          <w:sz w:val="20"/>
          <w:u w:val="single"/>
        </w:rPr>
      </w:pPr>
      <w:r>
        <w:rPr>
          <w:rFonts w:cs="Arial" w:ascii="Arial" w:hAnsi="Arial"/>
          <w:b/>
          <w:bCs/>
          <w:sz w:val="20"/>
          <w:u w:val="single"/>
        </w:rPr>
      </w:r>
    </w:p>
    <w:p>
      <w:pPr>
        <w:pStyle w:val="Heading5"/>
        <w:rPr/>
      </w:pPr>
      <w:r>
        <w:rPr/>
        <w:t>TRANSWESTERN</w:t>
      </w:r>
    </w:p>
    <w:p>
      <w:pPr>
        <w:pStyle w:val="Normal"/>
        <w:ind w:start="720" w:end="0"/>
        <w:rPr>
          <w:rFonts w:ascii="Arial" w:hAnsi="Arial" w:cs="Arial"/>
          <w:sz w:val="20"/>
        </w:rPr>
      </w:pPr>
      <w:r>
        <w:rPr>
          <w:rFonts w:cs="Arial" w:ascii="Arial" w:hAnsi="Arial"/>
          <w:sz w:val="20"/>
        </w:rPr>
      </w:r>
    </w:p>
    <w:p>
      <w:pPr>
        <w:pStyle w:val="Normal"/>
        <w:autoSpaceDE w:val="false"/>
        <w:ind w:start="720" w:end="0"/>
        <w:rPr>
          <w:rFonts w:ascii="Arial" w:hAnsi="Arial" w:cs="Arial"/>
          <w:b/>
          <w:bCs/>
          <w:sz w:val="20"/>
        </w:rPr>
      </w:pPr>
      <w:r>
        <w:rPr>
          <w:rFonts w:cs="Arial" w:ascii="Arial" w:hAnsi="Arial"/>
          <w:b/>
          <w:bCs/>
          <w:sz w:val="20"/>
        </w:rPr>
        <w:t>San Juan Lateral – Evaporative coolers.</w:t>
      </w:r>
    </w:p>
    <w:p>
      <w:pPr>
        <w:pStyle w:val="Normal"/>
        <w:autoSpaceDE w:val="false"/>
        <w:ind w:start="720" w:end="0"/>
        <w:rPr>
          <w:rFonts w:ascii="Arial" w:hAnsi="Arial" w:cs="Arial"/>
          <w:sz w:val="20"/>
        </w:rPr>
      </w:pPr>
      <w:r>
        <w:rPr>
          <w:rFonts w:cs="Arial" w:ascii="Arial" w:hAnsi="Arial"/>
          <w:sz w:val="20"/>
        </w:rPr>
        <w:t xml:space="preserve">Working with Planning to evaluate possible incremental flow resulting from the installation of evaporative coolers. </w:t>
      </w:r>
    </w:p>
    <w:p>
      <w:pPr>
        <w:pStyle w:val="Normal"/>
        <w:autoSpaceDE w:val="false"/>
        <w:rPr>
          <w:rFonts w:ascii="Arial" w:hAnsi="Arial" w:cs="Arial"/>
          <w:sz w:val="20"/>
        </w:rPr>
      </w:pPr>
      <w:r>
        <w:rPr>
          <w:rFonts w:cs="Arial" w:ascii="Arial" w:hAnsi="Arial"/>
          <w:sz w:val="20"/>
        </w:rPr>
      </w:r>
    </w:p>
    <w:p>
      <w:pPr>
        <w:pStyle w:val="Heading5"/>
        <w:rPr/>
      </w:pPr>
      <w:r>
        <w:rPr/>
        <w:t>NORTHERN NATURAL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Burdett Line CO2 Treating</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Four options to allow Bushton Helium plant operation by lowering the Burdett line CO2 content are being investigated:</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pPr>
      <w:r>
        <w:rPr>
          <w:rFonts w:cs="Arial" w:ascii="Arial" w:hAnsi="Arial"/>
          <w:color w:val="000000"/>
          <w:sz w:val="20"/>
        </w:rPr>
        <w:t>Option</w:t>
        <w:tab/>
        <w:tab/>
        <w:tab/>
        <w:tab/>
        <w:tab/>
        <w:tab/>
        <w:tab/>
        <w:tab/>
        <w:tab/>
        <w:tab/>
        <w:tab/>
        <w:tab/>
        <w:tab/>
        <w:tab/>
      </w:r>
      <w:r>
        <w:rPr>
          <w:rFonts w:cs="Arial" w:ascii="Arial" w:hAnsi="Arial"/>
          <w:b/>
          <w:bCs/>
          <w:color w:val="000000"/>
          <w:sz w:val="20"/>
        </w:rPr>
        <w:t>Months/yr of Helium plant operation</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1</w:t>
        <w:tab/>
        <w:t>Modify the Bushton treater to treat a segregated Burdett gas stream</w:t>
        <w:tab/>
        <w:tab/>
        <w:tab/>
        <w:tab/>
        <w:tab/>
        <w:tab/>
        <w:tab/>
        <w:t xml:space="preserve">  7</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2</w:t>
        <w:tab/>
        <w:t>Modify the Bushton treater to treat a blend of Lyons and Burdett gas</w:t>
        <w:tab/>
        <w:tab/>
        <w:tab/>
        <w:tab/>
        <w:tab/>
        <w:tab/>
        <w:tab/>
        <w:t xml:space="preserve">  9 </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3</w:t>
        <w:tab/>
        <w:t xml:space="preserve">Install separate contactors at the Bushton treater to treat Lyons and Burdett volumes simultaneously </w:t>
        <w:tab/>
        <w:tab/>
        <w:t xml:space="preserve">10 </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4</w:t>
        <w:tab/>
        <w:t>Install a CO2 treater at the CIG Meadowlark interconnect</w:t>
        <w:tab/>
        <w:tab/>
        <w:tab/>
        <w:tab/>
        <w:tab/>
        <w:tab/>
        <w:tab/>
        <w:tab/>
        <w:tab/>
        <w:t>12</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Option 4 was studied earlier and found to be too expensive by Hugoton producers.  The initial analysis of Option 3 indicates it would be economically less attractive than Options 1 or 2.  The costs for Options 1 and 2 are being refined for discussions with producers.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Trailblazer Interconnect Controls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Engineering, Technical Services, Beatrice Region personnel and Optimization have been working with Siemens to define control changes to the Trailblazer Interconnect.  The modifications would be in addition to those already made for the recent capacity expansion.  The desire is to improve the ablity to flow required volumes, reduce compression requirements by taking best advantage of available Trailblazer pressure and further automate the function of the control system.  Siemens proposed scope of work is being reviewed and benefits are being quantified.</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Lyons Withdrawal Compression</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Lyons flow was switched from free flowing into the Bushton C line to being compressed common with the processing plant return gas.  This allows the Lyons withdrawal rate to be maximized as the field pressure declines.</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Heading5"/>
        <w:rPr/>
      </w:pPr>
      <w:r>
        <w:rPr/>
        <w:t>FLORIDA GAS</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pPr>
      <w:r>
        <w:rPr>
          <w:rFonts w:cs="Arial" w:ascii="Arial" w:hAnsi="Arial"/>
          <w:b/>
          <w:bCs/>
          <w:sz w:val="20"/>
        </w:rPr>
        <w:t>Conversion of FGT Winflow Model to C#4 Capability</w:t>
      </w:r>
      <w:r>
        <w:rPr>
          <w:rFonts w:cs="Arial" w:ascii="Arial" w:hAnsi="Arial"/>
          <w:sz w:val="20"/>
        </w:rPr>
        <w:t>:</w:t>
      </w:r>
    </w:p>
    <w:p>
      <w:pPr>
        <w:pStyle w:val="Heading6"/>
        <w:rPr>
          <w:rFonts w:ascii="Arial" w:hAnsi="Arial" w:cs="Arial"/>
          <w:b w:val="false"/>
          <w:bCs w:val="false"/>
          <w:sz w:val="20"/>
          <w:szCs w:val="20"/>
          <w:u w:val="single"/>
        </w:rPr>
      </w:pPr>
      <w:r>
        <w:rPr>
          <w:rFonts w:cs="Arial" w:ascii="Arial" w:hAnsi="Arial"/>
          <w:b w:val="false"/>
          <w:bCs w:val="false"/>
          <w:sz w:val="20"/>
        </w:rPr>
        <w:t>Continuing to develop site rated horsepower and head/acfm information related to the centrifugal compressors located on the FGT system.  Hope to have all converted by the end of January so that the Winflow model can accurately calculate station capabilities</w:t>
      </w:r>
    </w:p>
    <w:p>
      <w:pPr>
        <w:pStyle w:val="Normal"/>
        <w:autoSpaceDE w:val="false"/>
        <w:spacing w:lineRule="atLeast" w:line="240"/>
        <w:jc w:val="both"/>
        <w:rPr>
          <w:rFonts w:ascii="Arial" w:hAnsi="Arial" w:cs="Arial"/>
          <w:b/>
          <w:bCs/>
          <w:color w:val="000000"/>
          <w:sz w:val="20"/>
          <w:szCs w:val="20"/>
          <w:u w:val="single"/>
        </w:rPr>
      </w:pPr>
      <w:r>
        <w:rPr>
          <w:rFonts w:cs="Arial" w:ascii="Arial" w:hAnsi="Arial"/>
          <w:b/>
          <w:bCs/>
          <w:color w:val="000000"/>
          <w:sz w:val="20"/>
          <w:szCs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NORTHERN BORDER</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rFonts w:ascii="Arial" w:hAnsi="Arial" w:cs="Arial"/>
          <w:b/>
          <w:bCs/>
          <w:sz w:val="20"/>
        </w:rPr>
      </w:pPr>
      <w:r>
        <w:rPr>
          <w:rFonts w:cs="Arial" w:ascii="Arial" w:hAnsi="Arial"/>
          <w:b/>
          <w:bCs/>
          <w:sz w:val="20"/>
        </w:rPr>
        <w:t>Fuel/Compressor Efficiency Tests - NBPL System:</w:t>
      </w:r>
    </w:p>
    <w:p>
      <w:pPr>
        <w:pStyle w:val="Normal"/>
        <w:autoSpaceDE w:val="false"/>
        <w:ind w:start="720" w:end="0"/>
        <w:rPr>
          <w:rFonts w:ascii="Arial" w:hAnsi="Arial" w:cs="Arial"/>
          <w:b/>
          <w:bCs/>
          <w:sz w:val="20"/>
        </w:rPr>
      </w:pPr>
      <w:r>
        <w:rPr>
          <w:rFonts w:cs="Arial" w:ascii="Arial" w:hAnsi="Arial"/>
          <w:b/>
          <w:bCs/>
          <w:sz w:val="20"/>
        </w:rPr>
      </w:r>
    </w:p>
    <w:p>
      <w:pPr>
        <w:pStyle w:val="Normal"/>
        <w:autoSpaceDE w:val="false"/>
        <w:ind w:start="720" w:end="0"/>
        <w:rPr>
          <w:rFonts w:ascii="Arial" w:hAnsi="Arial" w:cs="Arial"/>
          <w:sz w:val="20"/>
        </w:rPr>
      </w:pPr>
      <w:r>
        <w:rPr>
          <w:rFonts w:cs="Arial" w:ascii="Arial" w:hAnsi="Arial"/>
          <w:sz w:val="20"/>
        </w:rPr>
        <w:t>Calculated compressor efficiencies and gas turbine drive fuel usages for the 11 - 38,000 ISO horsepower compression packages on the NBPL system.  The information was provided to NBPL field personnel for their information.  Sites where fuel usage is greater than 3% of expected are scheduled for water washes.  The compressor efficiency calculations are used as a predictor of potential problems with a compressor(s).  The calculations found that there is something not right with the CS 09 compressor.  It could indicate the need for calibration of pressure/temperature devices or that a real problem exists within the compressor.  Regardless, further study will be necessary to determine the cause of the low compressor efficiency, approximately 4 to 5 percent below the other compressors tested.</w:t>
      </w:r>
    </w:p>
    <w:p>
      <w:pPr>
        <w:pStyle w:val="Normal"/>
        <w:autoSpaceDE w:val="false"/>
        <w:rPr>
          <w:rFonts w:ascii="Arial" w:hAnsi="Arial" w:cs="Arial"/>
          <w:sz w:val="20"/>
        </w:rPr>
      </w:pPr>
      <w:r>
        <w:rPr>
          <w:rFonts w:cs="Arial" w:ascii="Arial" w:hAnsi="Arial"/>
          <w:sz w:val="20"/>
        </w:rPr>
      </w:r>
    </w:p>
    <w:p>
      <w:pPr>
        <w:pStyle w:val="Normal"/>
        <w:autoSpaceDE w:val="false"/>
        <w:ind w:start="720" w:end="0"/>
        <w:rPr>
          <w:rFonts w:ascii="Arial" w:hAnsi="Arial" w:cs="Arial"/>
          <w:b/>
          <w:bCs/>
          <w:sz w:val="20"/>
        </w:rPr>
      </w:pPr>
      <w:r>
        <w:rPr>
          <w:rFonts w:cs="Arial" w:ascii="Arial" w:hAnsi="Arial"/>
          <w:b/>
          <w:bCs/>
          <w:sz w:val="20"/>
        </w:rPr>
        <w:t>Midwestern/NBPL Tie-in Compression:</w:t>
      </w:r>
    </w:p>
    <w:p>
      <w:pPr>
        <w:pStyle w:val="Normal"/>
        <w:autoSpaceDE w:val="false"/>
        <w:ind w:start="720" w:end="0"/>
        <w:rPr>
          <w:rFonts w:ascii="Arial" w:hAnsi="Arial" w:cs="Arial"/>
          <w:b/>
          <w:bCs/>
          <w:sz w:val="20"/>
        </w:rPr>
      </w:pPr>
      <w:r>
        <w:rPr>
          <w:rFonts w:cs="Arial" w:ascii="Arial" w:hAnsi="Arial"/>
          <w:b/>
          <w:bCs/>
          <w:sz w:val="20"/>
        </w:rPr>
      </w:r>
    </w:p>
    <w:p>
      <w:pPr>
        <w:pStyle w:val="Normal"/>
        <w:autoSpaceDE w:val="false"/>
        <w:ind w:start="720" w:end="0"/>
        <w:rPr>
          <w:rFonts w:ascii="Arial" w:hAnsi="Arial" w:cs="Arial"/>
          <w:sz w:val="20"/>
        </w:rPr>
      </w:pPr>
      <w:r>
        <w:rPr>
          <w:rFonts w:cs="Arial" w:ascii="Arial" w:hAnsi="Arial"/>
          <w:sz w:val="20"/>
        </w:rPr>
        <w:t>Working with North End Planning regarding selection of compression packages required at the proposed tie-in between Midwestern and NBPL near Joliet. Have obtained lease and purchase information for the alternate compression packages being considered and have passed that information along to NBPL.</w:t>
      </w:r>
    </w:p>
    <w:p>
      <w:pPr>
        <w:pStyle w:val="Normal"/>
        <w:autoSpaceDE w:val="false"/>
        <w:rPr>
          <w:rFonts w:ascii="Arial" w:hAnsi="Arial" w:cs="Arial"/>
          <w:sz w:val="20"/>
        </w:rPr>
      </w:pPr>
      <w:r>
        <w:rPr>
          <w:rFonts w:cs="Arial" w:ascii="Arial" w:hAnsi="Arial"/>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EOTT</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before="0" w:after="120"/>
        <w:ind w:start="720" w:end="0"/>
        <w:jc w:val="both"/>
        <w:rPr>
          <w:rFonts w:ascii="Arial" w:hAnsi="Arial" w:cs="Arial"/>
          <w:color w:val="000000"/>
          <w:sz w:val="20"/>
        </w:rPr>
      </w:pPr>
      <w:r>
        <w:rPr>
          <w:rFonts w:cs="Arial" w:ascii="Arial" w:hAnsi="Arial"/>
          <w:color w:val="000000"/>
          <w:sz w:val="20"/>
        </w:rPr>
        <w:t>No action</w:t>
      </w:r>
    </w:p>
    <w:p>
      <w:pPr>
        <w:pStyle w:val="Heading5"/>
        <w:rPr/>
      </w:pPr>
      <w:r>
        <w:rPr/>
        <w:t>MISCELLANEOUS</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rFonts w:ascii="Arial" w:hAnsi="Arial" w:cs="Arial"/>
          <w:color w:val="0000FF"/>
          <w:sz w:val="20"/>
        </w:rPr>
      </w:pPr>
      <w:r>
        <w:rPr>
          <w:rFonts w:cs="Arial" w:ascii="Arial" w:hAnsi="Arial"/>
          <w:b/>
          <w:bCs/>
          <w:sz w:val="20"/>
        </w:rPr>
        <w:t>TW Fuel Report</w:t>
      </w:r>
    </w:p>
    <w:p>
      <w:pPr>
        <w:pStyle w:val="Normal"/>
        <w:autoSpaceDE w:val="false"/>
        <w:ind w:start="720" w:end="0"/>
        <w:rPr>
          <w:rFonts w:ascii="Arial" w:hAnsi="Arial" w:cs="Arial"/>
          <w:color w:val="0000FF"/>
          <w:sz w:val="20"/>
        </w:rPr>
      </w:pPr>
      <w:r>
        <w:rPr>
          <w:rFonts w:cs="Arial" w:ascii="Arial" w:hAnsi="Arial"/>
          <w:sz w:val="20"/>
        </w:rPr>
        <w:t>Reviewed the SCADA points used in the TW fuel report.  Most of the points are the daily average of the instantaneous fuel rates in MMSCF/D.  The report would be more accurate if it used the previous day accumulation of the energy rate.  It is uncertain if the benefits to revise the report would justify the efforts required for a marginal improvement in accuracy (2-5%).</w:t>
      </w:r>
    </w:p>
    <w:p>
      <w:pPr>
        <w:pStyle w:val="Normal"/>
        <w:autoSpaceDE w:val="false"/>
        <w:ind w:start="720" w:end="0"/>
        <w:rPr>
          <w:rFonts w:ascii="Arial" w:hAnsi="Arial" w:cs="Arial"/>
          <w:color w:val="0000FF"/>
          <w:sz w:val="20"/>
        </w:rPr>
      </w:pPr>
      <w:r>
        <w:rPr>
          <w:rFonts w:cs="Arial" w:ascii="Arial" w:hAnsi="Arial"/>
          <w:color w:val="0000FF"/>
          <w:sz w:val="20"/>
        </w:rPr>
      </w:r>
    </w:p>
    <w:p>
      <w:pPr>
        <w:pStyle w:val="Normal"/>
        <w:autoSpaceDE w:val="false"/>
        <w:ind w:start="720" w:end="0"/>
        <w:rPr>
          <w:rFonts w:ascii="Arial" w:hAnsi="Arial" w:cs="Arial"/>
          <w:sz w:val="20"/>
        </w:rPr>
      </w:pPr>
      <w:r>
        <w:rPr>
          <w:rFonts w:cs="Arial" w:ascii="Arial" w:hAnsi="Arial"/>
          <w:b/>
          <w:bCs/>
          <w:sz w:val="20"/>
        </w:rPr>
        <w:t>ETS SCADA Utility</w:t>
      </w:r>
    </w:p>
    <w:p>
      <w:pPr>
        <w:pStyle w:val="Normal"/>
        <w:autoSpaceDE w:val="false"/>
        <w:ind w:start="720" w:end="0"/>
        <w:rPr>
          <w:rFonts w:ascii="Arial" w:hAnsi="Arial" w:cs="Arial"/>
          <w:sz w:val="20"/>
        </w:rPr>
      </w:pPr>
      <w:r>
        <w:rPr>
          <w:rFonts w:cs="Arial" w:ascii="Arial" w:hAnsi="Arial"/>
          <w:sz w:val="20"/>
        </w:rPr>
        <w:t>Made a minor modification to the program to correctly retrieve historical average daily history values.</w:t>
      </w:r>
    </w:p>
    <w:p>
      <w:pPr>
        <w:pStyle w:val="Normal"/>
        <w:autoSpaceDE w:val="false"/>
        <w:ind w:start="720" w:end="0"/>
        <w:rPr>
          <w:rFonts w:ascii="Arial" w:hAnsi="Arial" w:cs="Arial"/>
          <w:sz w:val="20"/>
        </w:rPr>
      </w:pPr>
      <w:r>
        <w:rPr>
          <w:rFonts w:cs="Arial" w:ascii="Arial" w:hAnsi="Arial"/>
          <w:sz w:val="20"/>
        </w:rPr>
      </w:r>
    </w:p>
    <w:p>
      <w:pPr>
        <w:pStyle w:val="Normal"/>
        <w:autoSpaceDE w:val="false"/>
        <w:ind w:start="720" w:end="0"/>
        <w:rPr>
          <w:rFonts w:ascii="Arial" w:hAnsi="Arial" w:cs="Arial"/>
          <w:sz w:val="20"/>
        </w:rPr>
      </w:pPr>
      <w:r>
        <w:rPr>
          <w:rFonts w:cs="Arial" w:ascii="Arial" w:hAnsi="Arial"/>
          <w:b/>
          <w:bCs/>
          <w:sz w:val="20"/>
        </w:rPr>
        <w:t>Compressor Performance</w:t>
      </w:r>
    </w:p>
    <w:p>
      <w:pPr>
        <w:pStyle w:val="Normal"/>
        <w:autoSpaceDE w:val="false"/>
        <w:ind w:start="720" w:end="0"/>
        <w:rPr>
          <w:rFonts w:ascii="Arial" w:hAnsi="Arial" w:cs="Arial"/>
          <w:sz w:val="20"/>
        </w:rPr>
      </w:pPr>
      <w:r>
        <w:rPr>
          <w:rFonts w:cs="Arial" w:ascii="Arial" w:hAnsi="Arial"/>
          <w:sz w:val="20"/>
        </w:rPr>
        <w:t>Made a minor modification to the dll to correct fuel calculations for gas turbines</w:t>
      </w:r>
    </w:p>
    <w:p>
      <w:pPr>
        <w:pStyle w:val="Normal"/>
        <w:autoSpaceDE w:val="false"/>
        <w:ind w:start="720" w:end="0"/>
        <w:rPr>
          <w:rFonts w:ascii="Arial" w:hAnsi="Arial" w:cs="Arial"/>
          <w:sz w:val="20"/>
        </w:rPr>
      </w:pPr>
      <w:r>
        <w:rPr>
          <w:rFonts w:cs="Arial" w:ascii="Arial" w:hAnsi="Arial"/>
          <w:sz w:val="20"/>
        </w:rPr>
      </w:r>
    </w:p>
    <w:p>
      <w:pPr>
        <w:pStyle w:val="Normal"/>
        <w:autoSpaceDE w:val="false"/>
        <w:ind w:start="720" w:end="0"/>
        <w:rPr>
          <w:rFonts w:ascii="Arial" w:hAnsi="Arial" w:cs="Arial"/>
          <w:b/>
          <w:bCs/>
          <w:sz w:val="20"/>
        </w:rPr>
      </w:pPr>
      <w:r>
        <w:rPr>
          <w:rFonts w:cs="Arial" w:ascii="Arial" w:hAnsi="Arial"/>
          <w:b/>
          <w:bCs/>
          <w:sz w:val="20"/>
        </w:rPr>
        <w:t>PRCI/GTI Compressor Research</w:t>
      </w:r>
    </w:p>
    <w:p>
      <w:pPr>
        <w:pStyle w:val="Normal"/>
        <w:autoSpaceDE w:val="false"/>
        <w:ind w:start="720" w:end="0"/>
        <w:rPr>
          <w:rFonts w:ascii="Arial" w:hAnsi="Arial" w:cs="Arial"/>
          <w:sz w:val="20"/>
        </w:rPr>
      </w:pPr>
      <w:r>
        <w:rPr>
          <w:rFonts w:cs="Arial" w:ascii="Arial" w:hAnsi="Arial"/>
          <w:sz w:val="20"/>
        </w:rPr>
        <w:t>Reviewed and recommended acceptance of three research proposals:  CFD Modeling of Combustion in a Cooper GMV engine, Humidity Control for Power and Emissions, and Fuel Valve Design Using CFD and Laser Diagnostics.</w:t>
      </w:r>
    </w:p>
    <w:p>
      <w:pPr>
        <w:pStyle w:val="Normal"/>
        <w:autoSpaceDE w:val="false"/>
        <w:ind w:start="720" w:end="0"/>
        <w:rPr>
          <w:rFonts w:ascii="Arial" w:hAnsi="Arial" w:cs="Arial"/>
          <w:sz w:val="20"/>
        </w:rPr>
      </w:pPr>
      <w:r>
        <w:rPr>
          <w:rFonts w:cs="Arial" w:ascii="Arial" w:hAnsi="Arial"/>
          <w:sz w:val="20"/>
        </w:rPr>
      </w:r>
    </w:p>
    <w:p>
      <w:pPr>
        <w:pStyle w:val="Normal"/>
        <w:autoSpaceDE w:val="false"/>
        <w:ind w:start="720" w:end="0"/>
        <w:rPr>
          <w:rFonts w:ascii="Arial" w:hAnsi="Arial" w:cs="Arial"/>
          <w:b/>
          <w:bCs/>
          <w:sz w:val="20"/>
        </w:rPr>
      </w:pPr>
      <w:r>
        <w:rPr>
          <w:rFonts w:cs="Arial" w:ascii="Arial" w:hAnsi="Arial"/>
          <w:b/>
          <w:bCs/>
          <w:sz w:val="20"/>
        </w:rPr>
        <w:t>IT Data Issues</w:t>
      </w:r>
    </w:p>
    <w:p>
      <w:pPr>
        <w:pStyle w:val="Normal"/>
        <w:autoSpaceDE w:val="false"/>
        <w:ind w:start="720" w:end="0"/>
        <w:rPr>
          <w:rFonts w:ascii="Arial" w:hAnsi="Arial" w:cs="Arial"/>
          <w:sz w:val="20"/>
        </w:rPr>
      </w:pPr>
      <w:r>
        <w:rPr>
          <w:rFonts w:cs="Arial" w:ascii="Arial" w:hAnsi="Arial"/>
          <w:sz w:val="20"/>
        </w:rPr>
        <w:t>Discussed with the Omaha Planning Team the various applications we use and the Enron/Dynagy sensitivity to the data.  Of possible impact to our team is modifications to the SCADA Utility, HTS data files, and Compressor Performance to split out the data by company.</w:t>
      </w:r>
    </w:p>
    <w:p>
      <w:pPr>
        <w:pStyle w:val="Normal"/>
        <w:ind w:start="1440" w:end="0"/>
        <w:rPr>
          <w:rFonts w:ascii="Arial" w:hAnsi="Arial" w:cs="Arial"/>
          <w:sz w:val="20"/>
        </w:rPr>
      </w:pPr>
      <w:r>
        <w:rPr>
          <w:rFonts w:cs="Arial" w:ascii="Arial" w:hAnsi="Arial"/>
          <w:sz w:val="20"/>
        </w:rPr>
        <w:t> </w:t>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144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1440" w:end="0"/>
        <w:jc w:val="both"/>
        <w:rPr>
          <w:rFonts w:ascii="Arial" w:hAnsi="Arial" w:cs="Arial"/>
          <w:color w:val="000000"/>
          <w:sz w:val="20"/>
        </w:rPr>
      </w:pPr>
      <w:r>
        <w:rPr>
          <w:rFonts w:cs="Arial" w:ascii="Arial" w:hAnsi="Arial"/>
          <w:color w:val="000000"/>
          <w:sz w:val="20"/>
        </w:rPr>
      </w:r>
    </w:p>
    <w:p>
      <w:pPr>
        <w:pStyle w:val="Normal"/>
        <w:ind w:start="720" w:end="0"/>
        <w:rPr>
          <w:rFonts w:ascii="Arial" w:hAnsi="Arial" w:cs="Arial"/>
          <w:b/>
          <w:bCs/>
          <w:color w:val="000000"/>
          <w:sz w:val="20"/>
          <w:u w:val="single"/>
        </w:rPr>
      </w:pPr>
      <w:r>
        <w:rPr>
          <w:rFonts w:cs="Arial" w:ascii="Arial" w:hAnsi="Arial"/>
          <w:b/>
          <w:bCs/>
          <w:color w:val="000000"/>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rPr>
  </w:style>
  <w:style w:type="paragraph" w:styleId="Heading2">
    <w:name w:val="heading 2"/>
    <w:basedOn w:val="Normal"/>
    <w:next w:val="Normal"/>
    <w:qFormat/>
    <w:pPr>
      <w:keepNext w:val="true"/>
      <w:numPr>
        <w:ilvl w:val="1"/>
        <w:numId w:val="1"/>
      </w:numPr>
      <w:outlineLvl w:val="1"/>
    </w:pPr>
    <w:rPr>
      <w:sz w:val="20"/>
      <w:szCs w:val="27"/>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keepNext w:val="true"/>
      <w:numPr>
        <w:ilvl w:val="3"/>
        <w:numId w:val="1"/>
      </w:numPr>
      <w:autoSpaceDE w:val="false"/>
      <w:spacing w:lineRule="atLeast" w:line="240"/>
      <w:ind w:hanging="0" w:start="720" w:end="0"/>
      <w:jc w:val="both"/>
      <w:outlineLvl w:val="3"/>
    </w:pPr>
    <w:rPr>
      <w:rFonts w:ascii="Arial" w:hAnsi="Arial" w:cs="Arial"/>
      <w:b/>
      <w:bCs/>
      <w:color w:val="000000"/>
      <w:sz w:val="20"/>
    </w:rPr>
  </w:style>
  <w:style w:type="paragraph" w:styleId="Heading5">
    <w:name w:val="heading 5"/>
    <w:basedOn w:val="Normal"/>
    <w:next w:val="Normal"/>
    <w:qFormat/>
    <w:pPr>
      <w:keepNext w:val="true"/>
      <w:numPr>
        <w:ilvl w:val="4"/>
        <w:numId w:val="1"/>
      </w:numPr>
      <w:autoSpaceDE w:val="false"/>
      <w:spacing w:lineRule="atLeast" w:line="240"/>
      <w:ind w:hanging="0" w:start="720" w:end="0"/>
      <w:jc w:val="both"/>
      <w:outlineLvl w:val="4"/>
    </w:pPr>
    <w:rPr>
      <w:rFonts w:ascii="Arial" w:hAnsi="Arial" w:cs="Arial"/>
      <w:b/>
      <w:bCs/>
      <w:color w:val="000000"/>
      <w:sz w:val="20"/>
      <w:u w:val="single"/>
    </w:rPr>
  </w:style>
  <w:style w:type="paragraph" w:styleId="Heading6">
    <w:name w:val="heading 6"/>
    <w:basedOn w:val="Normal"/>
    <w:next w:val="Normal"/>
    <w:qFormat/>
    <w:pPr>
      <w:keepNext w:val="true"/>
      <w:numPr>
        <w:ilvl w:val="5"/>
        <w:numId w:val="1"/>
      </w:numPr>
      <w:autoSpaceDE w:val="false"/>
      <w:ind w:hanging="0" w:start="720" w:end="0"/>
      <w:outlineLvl w:val="5"/>
    </w:pPr>
    <w:rPr>
      <w:rFonts w:cs="Arial"/>
      <w:b/>
      <w:bCs/>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paragraph" w:styleId="Heading8">
    <w:name w:val="heading 8"/>
    <w:basedOn w:val="Normal"/>
    <w:next w:val="Normal"/>
    <w:qFormat/>
    <w:pPr>
      <w:keepNext w:val="true"/>
      <w:numPr>
        <w:ilvl w:val="7"/>
        <w:numId w:val="1"/>
      </w:numPr>
      <w:autoSpaceDE w:val="false"/>
      <w:spacing w:lineRule="atLeast" w:line="240"/>
      <w:ind w:hanging="0" w:start="720" w:end="0"/>
      <w:outlineLvl w:val="7"/>
    </w:pPr>
    <w:rPr>
      <w:rFonts w:ascii="Arial" w:hAnsi="Arial" w:cs="Arial"/>
      <w:b/>
      <w:bCs/>
      <w:color w:val="000000"/>
      <w:sz w:val="20"/>
    </w:rPr>
  </w:style>
  <w:style w:type="paragraph" w:styleId="Heading9">
    <w:name w:val="heading 9"/>
    <w:basedOn w:val="Normal"/>
    <w:next w:val="Normal"/>
    <w:qFormat/>
    <w:pPr>
      <w:keepNext w:val="true"/>
      <w:numPr>
        <w:ilvl w:val="8"/>
        <w:numId w:val="1"/>
      </w:numPr>
      <w:ind w:hanging="0" w:start="720" w:end="0"/>
      <w:outlineLvl w:val="8"/>
    </w:pPr>
    <w:rPr>
      <w:rFonts w:ascii="Arial" w:hAnsi="Arial" w:cs="Arial"/>
      <w:b/>
      <w:bCs/>
      <w:sz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Arial" w:hAnsi="Arial" w:cs="Arial"/>
      <w:color w:val="000000"/>
      <w:sz w:val="20"/>
    </w:rPr>
  </w:style>
  <w:style w:type="paragraph" w:styleId="BodyTextIndent2">
    <w:name w:val="Body Text Indent 2"/>
    <w:basedOn w:val="Normal"/>
    <w:qFormat/>
    <w:pPr>
      <w:spacing w:lineRule="atLeast" w:line="240"/>
      <w:ind w:hanging="0" w:start="720" w:end="0"/>
    </w:pPr>
    <w:rPr>
      <w:rFonts w:ascii="Arial" w:hAnsi="Arial" w:cs="Arial"/>
      <w:sz w:val="20"/>
      <w:szCs w:val="20"/>
    </w:rPr>
  </w:style>
  <w:style w:type="paragraph" w:styleId="BodyText2">
    <w:name w:val="Body Text 2"/>
    <w:basedOn w:val="Normal"/>
    <w:qFormat/>
    <w:pPr>
      <w:tabs>
        <w:tab w:val="clear" w:pos="720"/>
        <w:tab w:val="left" w:pos="0" w:leader="none"/>
      </w:tabs>
      <w:autoSpaceDE w:val="false"/>
      <w:spacing w:lineRule="atLeast" w:line="240"/>
    </w:pPr>
    <w:rPr>
      <w:rFonts w:ascii="Arial" w:hAnsi="Arial" w:cs="Arial"/>
      <w:color w:val="000000"/>
      <w:sz w:val="20"/>
    </w:rPr>
  </w:style>
  <w:style w:type="paragraph" w:styleId="BodyTextIndent3">
    <w:name w:val="Body Text Indent 3"/>
    <w:basedOn w:val="Normal"/>
    <w:qFormat/>
    <w:pPr>
      <w:autoSpaceDE w:val="false"/>
      <w:ind w:hanging="0" w:start="720" w:end="0"/>
    </w:pPr>
    <w:rPr>
      <w:rFonts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2002-01-17T12:46:00Z</dcterms:created>
  <dc:creator>basante</dc:creator>
  <dc:description/>
  <dc:language>en-CA</dc:language>
  <cp:lastModifiedBy>basante</cp:lastModifiedBy>
  <dcterms:modified xsi:type="dcterms:W3CDTF">2002-01-17T13:14:00Z</dcterms:modified>
  <cp:revision>13</cp:revision>
  <dc:subject/>
  <dc:title>ETS Optimization – Weekly Report (Nov 15)</dc:title>
</cp:coreProperties>
</file>