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0"/>
        <w:rPr>
          <w:rFonts w:ascii="Arial" w:hAnsi="Arial" w:cs="Arial"/>
          <w:b/>
          <w:bCs/>
          <w:sz w:val="20"/>
          <w:u w:val="single"/>
        </w:rPr>
      </w:pPr>
      <w:r>
        <w:rPr>
          <w:rFonts w:cs="Arial" w:ascii="Arial" w:hAnsi="Arial"/>
          <w:b/>
          <w:bCs/>
          <w:sz w:val="20"/>
          <w:u w:val="single"/>
        </w:rPr>
        <w:t>ETS Optimization – Weekly Report (Jan 10)</w:t>
      </w:r>
    </w:p>
    <w:p>
      <w:pPr>
        <w:pStyle w:val="Normal"/>
        <w:rPr>
          <w:rFonts w:ascii="Arial" w:hAnsi="Arial" w:cs="Arial"/>
          <w:b/>
          <w:bCs/>
          <w:sz w:val="20"/>
          <w:u w:val="single"/>
        </w:rPr>
      </w:pPr>
      <w:r>
        <w:rPr>
          <w:rFonts w:cs="Arial" w:ascii="Arial" w:hAnsi="Arial"/>
          <w:b/>
          <w:bCs/>
          <w:sz w:val="20"/>
          <w:u w:val="single"/>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TRANSWESTERN</w:t>
      </w:r>
    </w:p>
    <w:p>
      <w:pPr>
        <w:pStyle w:val="Normal"/>
        <w:ind w:start="720" w:end="0"/>
        <w:rPr>
          <w:rFonts w:ascii="Arial" w:hAnsi="Arial" w:cs="Arial"/>
          <w:b/>
          <w:bCs/>
          <w:color w:val="000000"/>
          <w:sz w:val="20"/>
          <w:u w:val="single"/>
        </w:rPr>
      </w:pPr>
      <w:r>
        <w:rPr>
          <w:rFonts w:cs="Arial" w:ascii="Arial" w:hAnsi="Arial"/>
          <w:b/>
          <w:bCs/>
          <w:color w:val="000000"/>
          <w:sz w:val="20"/>
          <w:u w:val="single"/>
        </w:rPr>
      </w:r>
    </w:p>
    <w:p>
      <w:pPr>
        <w:pStyle w:val="Heading9"/>
        <w:rPr/>
      </w:pPr>
      <w:r>
        <w:rPr/>
        <w:t>Red Rock Expansion</w:t>
      </w:r>
    </w:p>
    <w:p>
      <w:pPr>
        <w:pStyle w:val="BodyTextIndent2"/>
        <w:spacing w:lineRule="auto" w:line="240"/>
        <w:rPr>
          <w:szCs w:val="24"/>
        </w:rPr>
      </w:pPr>
      <w:r>
        <w:rPr>
          <w:szCs w:val="24"/>
        </w:rPr>
        <w:t xml:space="preserve">Evaluated 4 cases of an alternate Red Rock expansion that would only utilize two new compressor units. If the two new units are installed at stations 1and 2 the estimated mainline capacity (through station 1) is 1160 mmcfd; if they are installed at stations 1 and 3 the estimated capacity is 1165 mmcfd. </w:t>
      </w:r>
    </w:p>
    <w:p>
      <w:pPr>
        <w:pStyle w:val="BodyTextIndent2"/>
        <w:spacing w:lineRule="auto" w:line="240"/>
        <w:rPr>
          <w:szCs w:val="24"/>
        </w:rPr>
      </w:pPr>
      <w:r>
        <w:rPr>
          <w:szCs w:val="24"/>
        </w:rPr>
        <w:t>Also evaluated various outage options for the Red Rock expansion for their effect on system capacity.</w:t>
      </w:r>
    </w:p>
    <w:p>
      <w:pPr>
        <w:pStyle w:val="Normal"/>
        <w:autoSpaceDE w:val="false"/>
        <w:ind w:start="720" w:end="0"/>
        <w:rPr>
          <w:rFonts w:ascii="Arial" w:hAnsi="Arial" w:cs="Arial"/>
          <w:sz w:val="20"/>
        </w:rPr>
      </w:pPr>
      <w:r>
        <w:rPr>
          <w:rFonts w:cs="Arial" w:ascii="Arial" w:hAnsi="Arial"/>
          <w:sz w:val="20"/>
        </w:rPr>
        <w:t>Also provided confirmation of the heads/acfms required by the proposed 2500+ packages for alternate installation scenarios at CS 01 and 02 were within the capabilities of the new compressors.</w:t>
      </w:r>
    </w:p>
    <w:p>
      <w:pPr>
        <w:pStyle w:val="Normal"/>
        <w:ind w:start="720" w:end="0"/>
        <w:rPr>
          <w:rFonts w:ascii="Arial" w:hAnsi="Arial" w:cs="Arial"/>
          <w:sz w:val="20"/>
        </w:rPr>
      </w:pPr>
      <w:r>
        <w:rPr>
          <w:rFonts w:cs="Arial" w:ascii="Arial" w:hAnsi="Arial"/>
          <w:sz w:val="20"/>
        </w:rPr>
      </w:r>
    </w:p>
    <w:p>
      <w:pPr>
        <w:pStyle w:val="Heading1"/>
        <w:ind w:hanging="0" w:start="720" w:end="0"/>
        <w:rPr>
          <w:rFonts w:ascii="Arial" w:hAnsi="Arial" w:cs="Arial"/>
          <w:sz w:val="20"/>
          <w:szCs w:val="28"/>
        </w:rPr>
      </w:pPr>
      <w:r>
        <w:rPr>
          <w:rFonts w:cs="Arial" w:ascii="Arial" w:hAnsi="Arial"/>
          <w:sz w:val="20"/>
          <w:szCs w:val="28"/>
        </w:rPr>
        <w:t>La Plata</w:t>
      </w:r>
    </w:p>
    <w:p>
      <w:pPr>
        <w:pStyle w:val="Normal"/>
        <w:ind w:start="720" w:end="0"/>
        <w:rPr>
          <w:rFonts w:ascii="Arial" w:hAnsi="Arial" w:cs="Arial"/>
          <w:sz w:val="20"/>
        </w:rPr>
      </w:pPr>
      <w:r>
        <w:rPr>
          <w:rFonts w:cs="Arial" w:ascii="Arial" w:hAnsi="Arial"/>
          <w:sz w:val="20"/>
        </w:rPr>
        <w:t>Continuing to work on an automatic suction setpoint method. Based on recent actual test data, we have been able to save approximately 100 MCF/D. Unit 2 has “control” problems that may require an outage during tariff months.</w:t>
      </w:r>
    </w:p>
    <w:p>
      <w:pPr>
        <w:pStyle w:val="Normal"/>
        <w:autoSpaceDE w:val="false"/>
        <w:ind w:start="720" w:end="0"/>
        <w:rPr>
          <w:rFonts w:ascii="Arial" w:hAnsi="Arial" w:cs="Arial"/>
          <w:b/>
          <w:bCs/>
          <w:sz w:val="20"/>
        </w:rPr>
      </w:pPr>
      <w:r>
        <w:rPr>
          <w:rFonts w:cs="Arial" w:ascii="Arial" w:hAnsi="Arial"/>
          <w:b/>
          <w:bCs/>
          <w:sz w:val="20"/>
        </w:rPr>
      </w:r>
    </w:p>
    <w:p>
      <w:pPr>
        <w:pStyle w:val="Normal"/>
        <w:autoSpaceDE w:val="false"/>
        <w:ind w:start="720" w:end="0"/>
        <w:rPr>
          <w:rFonts w:ascii="Arial" w:hAnsi="Arial" w:cs="Arial"/>
          <w:b/>
          <w:bCs/>
          <w:sz w:val="20"/>
        </w:rPr>
      </w:pPr>
      <w:r>
        <w:rPr>
          <w:rFonts w:cs="Arial" w:ascii="Arial" w:hAnsi="Arial"/>
          <w:b/>
          <w:bCs/>
          <w:sz w:val="20"/>
        </w:rPr>
        <w:t>San Juan Lateral - WinFlow Model:</w:t>
      </w:r>
    </w:p>
    <w:p>
      <w:pPr>
        <w:pStyle w:val="Normal"/>
        <w:autoSpaceDE w:val="false"/>
        <w:ind w:start="720" w:end="0"/>
        <w:rPr>
          <w:rFonts w:ascii="Arial" w:hAnsi="Arial" w:cs="Arial"/>
          <w:sz w:val="20"/>
        </w:rPr>
      </w:pPr>
      <w:r>
        <w:rPr>
          <w:rFonts w:cs="Arial" w:ascii="Arial" w:hAnsi="Arial"/>
          <w:sz w:val="20"/>
        </w:rPr>
        <w:t xml:space="preserve">Completed the update of the Gregg Winflow model for the La Plata to Gallup segment of the TW system to reflect applicable roughness factors, site rated gas turbine and electric drive horsepower and compressor aero maps.  </w:t>
      </w:r>
    </w:p>
    <w:p>
      <w:pPr>
        <w:pStyle w:val="Normal"/>
        <w:autoSpaceDE w:val="false"/>
        <w:ind w:start="720" w:end="0"/>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Heading5"/>
        <w:rPr/>
      </w:pPr>
      <w:r>
        <w:rPr/>
        <w:t>NORTHERN NATURAL</w:t>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Heading8"/>
        <w:rPr/>
      </w:pPr>
      <w:r>
        <w:rPr/>
        <w:t>Bushton Shut Down Curtailment Scenario</w:t>
      </w:r>
    </w:p>
    <w:p>
      <w:pPr>
        <w:pStyle w:val="Normal"/>
        <w:autoSpaceDE w:val="false"/>
        <w:spacing w:lineRule="atLeast" w:line="240"/>
        <w:ind w:start="720" w:end="0"/>
        <w:rPr>
          <w:rFonts w:ascii="Arial" w:hAnsi="Arial" w:cs="Arial"/>
          <w:color w:val="000000"/>
          <w:sz w:val="20"/>
        </w:rPr>
      </w:pPr>
      <w:r>
        <w:rPr>
          <w:rFonts w:cs="Arial" w:ascii="Arial" w:hAnsi="Arial"/>
          <w:color w:val="000000"/>
          <w:sz w:val="20"/>
        </w:rPr>
        <w:t>Worked with North Planning on illustrative cases of how the existing curtailment plan minimizes total production curtailment.  This is background information for discussions with producers.</w:t>
      </w:r>
    </w:p>
    <w:p>
      <w:pPr>
        <w:pStyle w:val="Normal"/>
        <w:autoSpaceDE w:val="false"/>
        <w:spacing w:lineRule="atLeast" w:line="240"/>
        <w:ind w:start="720" w:end="0"/>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rPr>
          <w:rFonts w:ascii="Arial" w:hAnsi="Arial" w:cs="Arial"/>
          <w:b/>
          <w:bCs/>
          <w:color w:val="000000"/>
          <w:sz w:val="20"/>
        </w:rPr>
      </w:pPr>
      <w:r>
        <w:rPr>
          <w:rFonts w:cs="Arial" w:ascii="Arial" w:hAnsi="Arial"/>
          <w:b/>
          <w:bCs/>
          <w:color w:val="000000"/>
          <w:sz w:val="20"/>
        </w:rPr>
        <w:t>Cunningham Wellhead Automation Training</w:t>
      </w:r>
    </w:p>
    <w:p>
      <w:pPr>
        <w:pStyle w:val="Normal"/>
        <w:autoSpaceDE w:val="false"/>
        <w:spacing w:lineRule="atLeast" w:line="240"/>
        <w:ind w:start="720" w:end="0"/>
        <w:rPr>
          <w:rFonts w:ascii="Arial" w:hAnsi="Arial" w:cs="Arial"/>
          <w:color w:val="000000"/>
          <w:sz w:val="20"/>
        </w:rPr>
      </w:pPr>
      <w:r>
        <w:rPr>
          <w:rFonts w:cs="Arial" w:ascii="Arial" w:hAnsi="Arial"/>
          <w:color w:val="000000"/>
          <w:sz w:val="20"/>
        </w:rPr>
        <w:t>Participating in Engineering training on operation of the new Cunningham wellhead automation.  The best methods to use the new automation to improve system performance and reduce operating costs will be pursued.</w:t>
      </w:r>
    </w:p>
    <w:p>
      <w:pPr>
        <w:pStyle w:val="Normal"/>
        <w:autoSpaceDE w:val="false"/>
        <w:spacing w:lineRule="atLeast" w:line="240"/>
        <w:ind w:start="720" w:end="0"/>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rPr>
          <w:rFonts w:ascii="Arial" w:hAnsi="Arial" w:cs="Arial"/>
          <w:b/>
          <w:bCs/>
          <w:color w:val="000000"/>
          <w:sz w:val="20"/>
        </w:rPr>
      </w:pPr>
      <w:r>
        <w:rPr>
          <w:rFonts w:cs="Arial" w:ascii="Arial" w:hAnsi="Arial"/>
          <w:b/>
          <w:bCs/>
          <w:color w:val="000000"/>
          <w:sz w:val="20"/>
        </w:rPr>
        <w:t>Palmyra Unit 23 Repair Decision</w:t>
      </w:r>
    </w:p>
    <w:p>
      <w:pPr>
        <w:pStyle w:val="Normal"/>
        <w:autoSpaceDE w:val="false"/>
        <w:spacing w:lineRule="atLeast" w:line="240"/>
        <w:ind w:start="720" w:end="0"/>
        <w:rPr>
          <w:rFonts w:ascii="Arial" w:hAnsi="Arial" w:cs="Arial"/>
          <w:color w:val="000000"/>
          <w:sz w:val="20"/>
        </w:rPr>
      </w:pPr>
      <w:r>
        <w:rPr>
          <w:rFonts w:cs="Arial" w:ascii="Arial" w:hAnsi="Arial"/>
          <w:color w:val="000000"/>
          <w:sz w:val="20"/>
        </w:rPr>
        <w:t>Provided need analysis of an under-performing Palmyra unit for decision whether or not to repair.</w:t>
      </w:r>
    </w:p>
    <w:p>
      <w:pPr>
        <w:pStyle w:val="Normal"/>
        <w:autoSpaceDE w:val="false"/>
        <w:spacing w:lineRule="atLeast" w:line="240"/>
        <w:ind w:start="720" w:end="0"/>
        <w:jc w:val="both"/>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FLORIDA GAS</w:t>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Heading1"/>
        <w:ind w:hanging="0" w:start="720" w:end="0"/>
        <w:rPr>
          <w:rFonts w:ascii="Arial" w:hAnsi="Arial" w:cs="Arial"/>
          <w:sz w:val="20"/>
          <w:szCs w:val="20"/>
        </w:rPr>
      </w:pPr>
      <w:r>
        <w:rPr>
          <w:rFonts w:cs="Arial" w:ascii="Arial" w:hAnsi="Arial"/>
          <w:sz w:val="20"/>
          <w:szCs w:val="20"/>
        </w:rPr>
        <w:t xml:space="preserve">FGT - Phase 7 - Expansion </w:t>
      </w:r>
    </w:p>
    <w:p>
      <w:pPr>
        <w:pStyle w:val="Heading6"/>
        <w:rPr>
          <w:rFonts w:ascii="Arial" w:hAnsi="Arial" w:cs="Arial"/>
          <w:b w:val="false"/>
          <w:bCs w:val="false"/>
          <w:sz w:val="20"/>
          <w:szCs w:val="20"/>
        </w:rPr>
      </w:pPr>
      <w:r>
        <w:rPr>
          <w:rFonts w:cs="Arial" w:ascii="Arial" w:hAnsi="Arial"/>
          <w:b w:val="false"/>
          <w:bCs w:val="false"/>
          <w:sz w:val="20"/>
          <w:szCs w:val="20"/>
        </w:rPr>
        <w:t>Working with Planning on the Phase-7 expansion options.</w:t>
      </w:r>
    </w:p>
    <w:p>
      <w:pPr>
        <w:pStyle w:val="Normal"/>
        <w:ind w:start="540" w:end="0"/>
        <w:rPr>
          <w:rFonts w:ascii="Arial" w:hAnsi="Arial" w:cs="Arial"/>
          <w:b/>
          <w:bCs/>
          <w:sz w:val="20"/>
          <w:szCs w:val="20"/>
        </w:rPr>
      </w:pPr>
      <w:r>
        <w:rPr>
          <w:rFonts w:cs="Arial" w:ascii="Arial" w:hAnsi="Arial"/>
          <w:b/>
          <w:bCs/>
          <w:sz w:val="20"/>
          <w:szCs w:val="20"/>
        </w:rPr>
      </w:r>
    </w:p>
    <w:p>
      <w:pPr>
        <w:pStyle w:val="Heading1"/>
        <w:ind w:hanging="0" w:start="720" w:end="0"/>
        <w:rPr>
          <w:rFonts w:ascii="Arial" w:hAnsi="Arial" w:cs="Arial"/>
          <w:sz w:val="20"/>
          <w:szCs w:val="20"/>
        </w:rPr>
      </w:pPr>
      <w:r>
        <w:rPr>
          <w:rFonts w:cs="Arial" w:ascii="Arial" w:hAnsi="Arial"/>
          <w:sz w:val="20"/>
          <w:szCs w:val="20"/>
        </w:rPr>
        <w:t xml:space="preserve">FGT - Excessive Pressure Drop Between Stations 11A &amp; 12A </w:t>
      </w:r>
    </w:p>
    <w:p>
      <w:pPr>
        <w:pStyle w:val="Normal"/>
        <w:ind w:start="720" w:end="0"/>
        <w:rPr>
          <w:rFonts w:ascii="Arial" w:hAnsi="Arial" w:cs="Arial"/>
          <w:sz w:val="20"/>
          <w:szCs w:val="20"/>
        </w:rPr>
      </w:pPr>
      <w:r>
        <w:rPr>
          <w:rFonts w:cs="Arial" w:ascii="Arial" w:hAnsi="Arial"/>
          <w:sz w:val="20"/>
          <w:szCs w:val="20"/>
        </w:rPr>
        <w:t>For some time operations and planning have observed an excessive pressure loss.</w:t>
      </w:r>
    </w:p>
    <w:p>
      <w:pPr>
        <w:pStyle w:val="BodyTextIndent3"/>
        <w:autoSpaceDE w:val="true"/>
        <w:rPr>
          <w:rFonts w:ascii="Arial" w:hAnsi="Arial" w:cs="Arial"/>
          <w:sz w:val="20"/>
          <w:szCs w:val="20"/>
        </w:rPr>
      </w:pPr>
      <w:r>
        <w:rPr>
          <w:rFonts w:cs="Arial" w:ascii="Arial" w:hAnsi="Arial"/>
          <w:sz w:val="20"/>
          <w:szCs w:val="20"/>
        </w:rPr>
        <w:t>Started gathering historical data to assess pressure loss.</w:t>
      </w:r>
    </w:p>
    <w:p>
      <w:pPr>
        <w:pStyle w:val="Heading6"/>
        <w:ind w:start="180" w:end="0"/>
        <w:rPr>
          <w:rFonts w:ascii="Arial" w:hAnsi="Arial" w:cs="Arial"/>
          <w:sz w:val="20"/>
          <w:szCs w:val="20"/>
        </w:rPr>
      </w:pPr>
      <w:r>
        <w:rPr>
          <w:rFonts w:cs="Arial" w:ascii="Arial" w:hAnsi="Arial"/>
          <w:sz w:val="20"/>
          <w:szCs w:val="20"/>
        </w:rPr>
      </w:r>
    </w:p>
    <w:p>
      <w:pPr>
        <w:pStyle w:val="Normal"/>
        <w:autoSpaceDE w:val="false"/>
        <w:ind w:start="720" w:end="0"/>
        <w:rPr>
          <w:rFonts w:ascii="Arial" w:hAnsi="Arial" w:cs="Arial"/>
          <w:b/>
          <w:bCs/>
          <w:sz w:val="20"/>
        </w:rPr>
      </w:pPr>
      <w:r>
        <w:rPr>
          <w:rFonts w:cs="Arial" w:ascii="Arial" w:hAnsi="Arial"/>
          <w:b/>
          <w:bCs/>
          <w:sz w:val="20"/>
        </w:rPr>
        <w:t>FGT Winflow Model:</w:t>
      </w:r>
    </w:p>
    <w:p>
      <w:pPr>
        <w:pStyle w:val="Normal"/>
        <w:autoSpaceDE w:val="false"/>
        <w:ind w:start="720" w:end="0"/>
        <w:rPr>
          <w:rFonts w:ascii="Arial" w:hAnsi="Arial" w:cs="Arial"/>
          <w:sz w:val="20"/>
        </w:rPr>
      </w:pPr>
      <w:r>
        <w:rPr>
          <w:rFonts w:cs="Arial" w:ascii="Arial" w:hAnsi="Arial"/>
          <w:sz w:val="20"/>
        </w:rPr>
        <w:t>Continuing to develop the driver and aero information required to convert the FGT Winflow model to Centrifugal #4 status.  Plan to have the centrifugal compression converted within the next three weeks.  Will discuss the conversion of the recips with Gary Choquette. The goal is to develop a tool that is seamless with respect to compressor station capabilities.</w:t>
      </w:r>
    </w:p>
    <w:p>
      <w:pPr>
        <w:pStyle w:val="Heading6"/>
        <w:ind w:start="180" w:end="0"/>
        <w:rPr>
          <w:rFonts w:ascii="Arial" w:hAnsi="Arial" w:cs="Arial"/>
          <w:sz w:val="20"/>
          <w:szCs w:val="20"/>
          <w:u w:val="single"/>
        </w:rPr>
      </w:pPr>
      <w:r>
        <w:rPr>
          <w:rFonts w:cs="Arial" w:ascii="Arial" w:hAnsi="Arial"/>
          <w:sz w:val="20"/>
          <w:szCs w:val="20"/>
          <w:u w:val="single"/>
        </w:rPr>
      </w:r>
    </w:p>
    <w:p>
      <w:pPr>
        <w:pStyle w:val="Normal"/>
        <w:autoSpaceDE w:val="false"/>
        <w:spacing w:lineRule="atLeast" w:line="240"/>
        <w:jc w:val="both"/>
        <w:rPr>
          <w:rFonts w:ascii="Arial" w:hAnsi="Arial" w:cs="Arial"/>
          <w:color w:val="000000"/>
          <w:sz w:val="20"/>
          <w:szCs w:val="20"/>
          <w:u w:val="single"/>
        </w:rPr>
      </w:pPr>
      <w:r>
        <w:rPr>
          <w:rFonts w:cs="Arial" w:ascii="Arial" w:hAnsi="Arial"/>
          <w:color w:val="000000"/>
          <w:sz w:val="20"/>
          <w:szCs w:val="20"/>
          <w:u w:val="single"/>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NORTHERN BORDER</w:t>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BodyTextIndent3"/>
        <w:rPr>
          <w:rFonts w:ascii="Arial" w:hAnsi="Arial" w:cs="Arial"/>
          <w:sz w:val="20"/>
        </w:rPr>
      </w:pPr>
      <w:r>
        <w:rPr>
          <w:rFonts w:cs="Arial" w:ascii="Arial" w:hAnsi="Arial"/>
          <w:sz w:val="20"/>
        </w:rPr>
        <w:t>No Action.</w:t>
      </w:r>
    </w:p>
    <w:p>
      <w:pPr>
        <w:pStyle w:val="Normal"/>
        <w:autoSpaceDE w:val="false"/>
        <w:spacing w:lineRule="atLeast" w:line="240"/>
        <w:ind w:start="720" w:end="0"/>
        <w:jc w:val="both"/>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EOTT</w:t>
      </w:r>
    </w:p>
    <w:p>
      <w:pPr>
        <w:pStyle w:val="Normal"/>
        <w:autoSpaceDE w:val="false"/>
        <w:spacing w:lineRule="atLeast" w:line="240"/>
        <w:jc w:val="both"/>
        <w:rPr>
          <w:rFonts w:ascii="Arial" w:hAnsi="Arial" w:cs="Arial"/>
          <w:b/>
          <w:bCs/>
          <w:color w:val="000000"/>
          <w:sz w:val="20"/>
          <w:u w:val="single"/>
        </w:rPr>
      </w:pPr>
      <w:r>
        <w:rPr>
          <w:rFonts w:cs="Arial" w:ascii="Arial" w:hAnsi="Arial"/>
          <w:b/>
          <w:bCs/>
          <w:color w:val="000000"/>
          <w:sz w:val="20"/>
          <w:u w:val="single"/>
        </w:rPr>
      </w:r>
    </w:p>
    <w:p>
      <w:pPr>
        <w:pStyle w:val="Normal"/>
        <w:autoSpaceDE w:val="false"/>
        <w:spacing w:lineRule="atLeast" w:line="240" w:before="0" w:after="120"/>
        <w:ind w:start="720" w:end="0"/>
        <w:jc w:val="both"/>
        <w:rPr>
          <w:rFonts w:ascii="Arial" w:hAnsi="Arial" w:cs="Arial"/>
          <w:color w:val="000000"/>
          <w:sz w:val="20"/>
        </w:rPr>
      </w:pPr>
      <w:r>
        <w:rPr>
          <w:rFonts w:cs="Arial" w:ascii="Arial" w:hAnsi="Arial"/>
          <w:color w:val="000000"/>
          <w:sz w:val="20"/>
        </w:rPr>
        <w:t>No action</w:t>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MISCELLANEOUS</w:t>
      </w:r>
    </w:p>
    <w:p>
      <w:pPr>
        <w:pStyle w:val="Normal"/>
        <w:autoSpaceDE w:val="false"/>
        <w:spacing w:lineRule="atLeast" w:line="240"/>
        <w:jc w:val="both"/>
        <w:rPr>
          <w:rFonts w:ascii="Arial" w:hAnsi="Arial" w:cs="Arial"/>
          <w:b/>
          <w:bCs/>
          <w:color w:val="000000"/>
          <w:sz w:val="20"/>
          <w:u w:val="single"/>
        </w:rPr>
      </w:pPr>
      <w:r>
        <w:rPr>
          <w:rFonts w:cs="Arial" w:ascii="Arial" w:hAnsi="Arial"/>
          <w:b/>
          <w:bCs/>
          <w:color w:val="000000"/>
          <w:sz w:val="20"/>
          <w:u w:val="single"/>
        </w:rPr>
      </w:r>
    </w:p>
    <w:p>
      <w:pPr>
        <w:pStyle w:val="Heading6"/>
        <w:autoSpaceDE w:val="true"/>
        <w:rPr>
          <w:rFonts w:ascii="Arial" w:hAnsi="Arial" w:cs="Arial"/>
          <w:sz w:val="20"/>
          <w:szCs w:val="20"/>
        </w:rPr>
      </w:pPr>
      <w:r>
        <w:rPr>
          <w:rFonts w:cs="Arial" w:ascii="Arial" w:hAnsi="Arial"/>
          <w:sz w:val="20"/>
          <w:szCs w:val="20"/>
        </w:rPr>
        <w:t>Fuel Report</w:t>
      </w:r>
    </w:p>
    <w:p>
      <w:pPr>
        <w:pStyle w:val="Normal"/>
        <w:tabs>
          <w:tab w:val="clear" w:pos="720"/>
          <w:tab w:val="left" w:pos="900" w:leader="none"/>
        </w:tabs>
        <w:ind w:start="720" w:end="0"/>
        <w:rPr/>
      </w:pPr>
      <w:r>
        <w:rPr>
          <w:rFonts w:cs="Arial" w:ascii="Arial" w:hAnsi="Arial"/>
          <w:sz w:val="20"/>
          <w:szCs w:val="20"/>
        </w:rPr>
        <w:t>Provide the</w:t>
      </w:r>
      <w:r>
        <w:rPr>
          <w:rFonts w:cs="Arial" w:ascii="Arial" w:hAnsi="Arial"/>
          <w:color w:val="000000"/>
          <w:sz w:val="20"/>
          <w:szCs w:val="20"/>
        </w:rPr>
        <w:t xml:space="preserve"> TW fuel report to Marketing</w:t>
      </w:r>
      <w:r>
        <w:rPr>
          <w:rFonts w:cs="Arial" w:ascii="Arial" w:hAnsi="Arial"/>
          <w:sz w:val="20"/>
          <w:szCs w:val="20"/>
        </w:rPr>
        <w:t>.</w:t>
      </w:r>
    </w:p>
    <w:p>
      <w:pPr>
        <w:pStyle w:val="Normal"/>
        <w:autoSpaceDE w:val="false"/>
        <w:ind w:start="720" w:end="0"/>
        <w:rPr>
          <w:rFonts w:ascii="Arial" w:hAnsi="Arial" w:cs="Arial"/>
          <w:sz w:val="20"/>
          <w:szCs w:val="20"/>
        </w:rPr>
      </w:pPr>
      <w:r>
        <w:rPr>
          <w:rFonts w:cs="Arial" w:ascii="Arial" w:hAnsi="Arial"/>
          <w:sz w:val="20"/>
          <w:szCs w:val="20"/>
        </w:rPr>
      </w:r>
    </w:p>
    <w:p>
      <w:pPr>
        <w:pStyle w:val="Normal"/>
        <w:ind w:start="720" w:end="0"/>
        <w:rPr>
          <w:rFonts w:ascii="Arial" w:hAnsi="Arial" w:cs="Arial"/>
          <w:sz w:val="20"/>
        </w:rPr>
      </w:pPr>
      <w:r>
        <w:rPr>
          <w:rFonts w:cs="Arial" w:ascii="Arial" w:hAnsi="Arial"/>
          <w:sz w:val="20"/>
        </w:rPr>
        <w:t> </w:t>
      </w:r>
    </w:p>
    <w:p>
      <w:pPr>
        <w:pStyle w:val="Normal"/>
        <w:autoSpaceDE w:val="false"/>
        <w:spacing w:lineRule="atLeast" w:line="240"/>
        <w:jc w:val="both"/>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jc w:val="both"/>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jc w:val="both"/>
        <w:rPr>
          <w:rFonts w:ascii="Arial" w:hAnsi="Arial" w:cs="Arial"/>
          <w:color w:val="000000"/>
          <w:sz w:val="20"/>
        </w:rPr>
      </w:pPr>
      <w:r>
        <w:rPr>
          <w:rFonts w:cs="Arial" w:ascii="Arial" w:hAnsi="Arial"/>
          <w:color w:val="000000"/>
          <w:sz w:val="20"/>
        </w:rPr>
      </w:r>
    </w:p>
    <w:p>
      <w:pPr>
        <w:pStyle w:val="Normal"/>
        <w:rPr>
          <w:rFonts w:ascii="Arial" w:hAnsi="Arial" w:cs="Arial"/>
          <w:b/>
          <w:bCs/>
          <w:color w:val="000000"/>
          <w:sz w:val="20"/>
          <w:u w:val="single"/>
        </w:rPr>
      </w:pPr>
      <w:r>
        <w:rPr>
          <w:rFonts w:cs="Arial" w:ascii="Arial" w:hAnsi="Arial"/>
          <w:b/>
          <w:bCs/>
          <w:color w:val="000000"/>
          <w:sz w:val="20"/>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cs="Arial"/>
      <w:b/>
      <w:bCs/>
    </w:rPr>
  </w:style>
  <w:style w:type="paragraph" w:styleId="Heading2">
    <w:name w:val="heading 2"/>
    <w:basedOn w:val="Normal"/>
    <w:next w:val="Normal"/>
    <w:qFormat/>
    <w:pPr>
      <w:keepNext w:val="true"/>
      <w:numPr>
        <w:ilvl w:val="1"/>
        <w:numId w:val="1"/>
      </w:numPr>
      <w:outlineLvl w:val="1"/>
    </w:pPr>
    <w:rPr>
      <w:sz w:val="20"/>
      <w:szCs w:val="27"/>
    </w:rPr>
  </w:style>
  <w:style w:type="paragraph" w:styleId="Heading3">
    <w:name w:val="heading 3"/>
    <w:basedOn w:val="Normal"/>
    <w:next w:val="Normal"/>
    <w:qFormat/>
    <w:pPr>
      <w:numPr>
        <w:ilvl w:val="2"/>
        <w:numId w:val="1"/>
      </w:numPr>
      <w:autoSpaceDE w:val="false"/>
      <w:outlineLvl w:val="2"/>
    </w:pPr>
    <w:rPr>
      <w:rFonts w:ascii="Arial" w:hAnsi="Arial" w:cs="Arial"/>
      <w:sz w:val="20"/>
    </w:rPr>
  </w:style>
  <w:style w:type="paragraph" w:styleId="Heading4">
    <w:name w:val="heading 4"/>
    <w:basedOn w:val="Normal"/>
    <w:next w:val="Normal"/>
    <w:qFormat/>
    <w:pPr>
      <w:keepNext w:val="true"/>
      <w:numPr>
        <w:ilvl w:val="3"/>
        <w:numId w:val="1"/>
      </w:numPr>
      <w:autoSpaceDE w:val="false"/>
      <w:spacing w:lineRule="atLeast" w:line="240"/>
      <w:ind w:hanging="0" w:start="720" w:end="0"/>
      <w:jc w:val="both"/>
      <w:outlineLvl w:val="3"/>
    </w:pPr>
    <w:rPr>
      <w:rFonts w:ascii="Arial" w:hAnsi="Arial" w:cs="Arial"/>
      <w:b/>
      <w:bCs/>
      <w:color w:val="000000"/>
      <w:sz w:val="20"/>
    </w:rPr>
  </w:style>
  <w:style w:type="paragraph" w:styleId="Heading5">
    <w:name w:val="heading 5"/>
    <w:basedOn w:val="Normal"/>
    <w:next w:val="Normal"/>
    <w:qFormat/>
    <w:pPr>
      <w:keepNext w:val="true"/>
      <w:numPr>
        <w:ilvl w:val="4"/>
        <w:numId w:val="1"/>
      </w:numPr>
      <w:autoSpaceDE w:val="false"/>
      <w:spacing w:lineRule="atLeast" w:line="240"/>
      <w:ind w:hanging="0" w:start="720" w:end="0"/>
      <w:jc w:val="both"/>
      <w:outlineLvl w:val="4"/>
    </w:pPr>
    <w:rPr>
      <w:rFonts w:ascii="Arial" w:hAnsi="Arial" w:cs="Arial"/>
      <w:b/>
      <w:bCs/>
      <w:color w:val="000000"/>
      <w:sz w:val="20"/>
      <w:u w:val="single"/>
    </w:rPr>
  </w:style>
  <w:style w:type="paragraph" w:styleId="Heading6">
    <w:name w:val="heading 6"/>
    <w:basedOn w:val="Normal"/>
    <w:next w:val="Normal"/>
    <w:qFormat/>
    <w:pPr>
      <w:keepNext w:val="true"/>
      <w:numPr>
        <w:ilvl w:val="5"/>
        <w:numId w:val="1"/>
      </w:numPr>
      <w:autoSpaceDE w:val="false"/>
      <w:ind w:hanging="0" w:start="720" w:end="0"/>
      <w:outlineLvl w:val="5"/>
    </w:pPr>
    <w:rPr>
      <w:rFonts w:cs="Arial"/>
      <w:b/>
      <w:bCs/>
    </w:rPr>
  </w:style>
  <w:style w:type="paragraph" w:styleId="Heading7">
    <w:name w:val="heading 7"/>
    <w:basedOn w:val="Normal"/>
    <w:next w:val="Normal"/>
    <w:qFormat/>
    <w:pPr>
      <w:numPr>
        <w:ilvl w:val="6"/>
        <w:numId w:val="1"/>
      </w:numPr>
      <w:autoSpaceDE w:val="false"/>
      <w:outlineLvl w:val="6"/>
    </w:pPr>
    <w:rPr>
      <w:rFonts w:ascii="Arial" w:hAnsi="Arial" w:cs="Arial"/>
      <w:sz w:val="20"/>
    </w:rPr>
  </w:style>
  <w:style w:type="paragraph" w:styleId="Heading8">
    <w:name w:val="heading 8"/>
    <w:basedOn w:val="Normal"/>
    <w:next w:val="Normal"/>
    <w:qFormat/>
    <w:pPr>
      <w:keepNext w:val="true"/>
      <w:numPr>
        <w:ilvl w:val="7"/>
        <w:numId w:val="1"/>
      </w:numPr>
      <w:autoSpaceDE w:val="false"/>
      <w:spacing w:lineRule="atLeast" w:line="240"/>
      <w:ind w:hanging="0" w:start="720" w:end="0"/>
      <w:outlineLvl w:val="7"/>
    </w:pPr>
    <w:rPr>
      <w:rFonts w:ascii="Arial" w:hAnsi="Arial" w:cs="Arial"/>
      <w:b/>
      <w:bCs/>
      <w:color w:val="000000"/>
      <w:sz w:val="20"/>
    </w:rPr>
  </w:style>
  <w:style w:type="paragraph" w:styleId="Heading9">
    <w:name w:val="heading 9"/>
    <w:basedOn w:val="Normal"/>
    <w:next w:val="Normal"/>
    <w:qFormat/>
    <w:pPr>
      <w:keepNext w:val="true"/>
      <w:numPr>
        <w:ilvl w:val="8"/>
        <w:numId w:val="1"/>
      </w:numPr>
      <w:ind w:hanging="0" w:start="720" w:end="0"/>
      <w:outlineLvl w:val="8"/>
    </w:pPr>
    <w:rPr>
      <w:rFonts w:ascii="Arial" w:hAnsi="Arial" w:cs="Arial"/>
      <w:b/>
      <w:b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spacing w:lineRule="atLeast" w:line="240"/>
      <w:ind w:hanging="0" w:start="720" w:end="0"/>
      <w:jc w:val="both"/>
    </w:pPr>
    <w:rPr>
      <w:rFonts w:ascii="Arial" w:hAnsi="Arial" w:cs="Arial"/>
      <w:color w:val="000000"/>
      <w:sz w:val="20"/>
    </w:rPr>
  </w:style>
  <w:style w:type="paragraph" w:styleId="BodyTextIndent2">
    <w:name w:val="Body Text Indent 2"/>
    <w:basedOn w:val="Normal"/>
    <w:qFormat/>
    <w:pPr>
      <w:spacing w:lineRule="atLeast" w:line="240"/>
      <w:ind w:hanging="0" w:start="720" w:end="0"/>
    </w:pPr>
    <w:rPr>
      <w:rFonts w:ascii="Arial" w:hAnsi="Arial" w:cs="Arial"/>
      <w:sz w:val="20"/>
      <w:szCs w:val="20"/>
    </w:rPr>
  </w:style>
  <w:style w:type="paragraph" w:styleId="BodyText2">
    <w:name w:val="Body Text 2"/>
    <w:basedOn w:val="Normal"/>
    <w:qFormat/>
    <w:pPr>
      <w:tabs>
        <w:tab w:val="clear" w:pos="720"/>
        <w:tab w:val="left" w:pos="0" w:leader="none"/>
      </w:tabs>
      <w:autoSpaceDE w:val="false"/>
      <w:spacing w:lineRule="atLeast" w:line="240"/>
    </w:pPr>
    <w:rPr>
      <w:rFonts w:ascii="Arial" w:hAnsi="Arial" w:cs="Arial"/>
      <w:color w:val="000000"/>
      <w:sz w:val="20"/>
    </w:rPr>
  </w:style>
  <w:style w:type="paragraph" w:styleId="BodyTextIndent3">
    <w:name w:val="Body Text Indent 3"/>
    <w:basedOn w:val="Normal"/>
    <w:qFormat/>
    <w:pPr>
      <w:autoSpaceDE w:val="false"/>
      <w:ind w:hanging="0" w:start="720" w:end="0"/>
    </w:pPr>
    <w:rPr>
      <w:rFonts w:cs="Arial"/>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2002-01-09T21:13:00Z</dcterms:created>
  <dc:creator>basante</dc:creator>
  <dc:description/>
  <dc:language>en-CA</dc:language>
  <cp:lastModifiedBy>basante</cp:lastModifiedBy>
  <dcterms:modified xsi:type="dcterms:W3CDTF">2002-01-10T13:53:00Z</dcterms:modified>
  <cp:revision>19</cp:revision>
  <dc:subject/>
  <dc:title>ETS Optimization – Weekly Report (Nov 15)</dc:title>
</cp:coreProperties>
</file>