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2"/>
        </w:rPr>
      </w:pPr>
      <w:bookmarkStart w:id="0" w:name="QuickMark"/>
      <w:bookmarkEnd w:id="0"/>
      <w:r>
        <w:rPr>
          <w:sz w:val="22"/>
        </w:rPr>
        <w:tab/>
      </w:r>
      <w:r>
        <w:rPr>
          <w:b/>
          <w:sz w:val="22"/>
        </w:rPr>
        <w:t>ELECTRONIC TRADING AGREEMENT</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Capital &amp; Trade Resources Limited] for itself and on behalf of its group undertakings (as defined by section 259 of Companies Act 1985) (“group undertakings”) from time to time (referred to herein collectively and individually as “Enron”) have established this Website (the “Website”) for the trading of products and instruments based on energy products or other commodities  (including derivative products) (collectively, “Transactions”); </w:t>
      </w:r>
    </w:p>
    <w:p>
      <w:pPr>
        <w:pStyle w:val="Normal"/>
        <w:widowControl/>
        <w:jc w:val="both"/>
        <w:rPr>
          <w:sz w:val="22"/>
        </w:rPr>
      </w:pPr>
      <w:r>
        <w:rPr>
          <w:sz w:val="22"/>
        </w:rPr>
      </w:r>
    </w:p>
    <w:p>
      <w:pPr>
        <w:pStyle w:val="Normal"/>
        <w:widowControl/>
        <w:ind w:firstLine="1440" w:end="0"/>
        <w:jc w:val="both"/>
        <w:rPr>
          <w:sz w:val="22"/>
        </w:rPr>
      </w:pPr>
      <w:r>
        <w:rPr>
          <w:sz w:val="22"/>
        </w:rPr>
        <w:t>WHEREAS, the counterparty identified below (“Counterparty”) and Enron have entered into an Internet Trading Access Agreement (the “Access Agreement”), pursuant to which Enron has agreed to provide Counteparty with access to the Website and Counterparty has agreed to access and utilize the Website solely in accordance with the terms and conditions of the Access Agreement and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Counterparty hereby declare, by “clicking” on the designated spaces in this Agreement, their mutual intent to enter into this Agreement on the terms and conditions set forth herein and in the Access Agreement (which shall be considered a single agreement for all purposes and the term “Agreement” as used herein shall refer to this Agreement and the Access Agreement taken together) and to be legally bound by the terms and conditions of this Agreement to the same extent and with the same force and effect as if Counterparty had manually executed this Agreement.  This Agreement (taken together, where applicable, with any Master Agreement, as defined below) will govern the utilization of the Website and any and all Transactions entered into by Counterparty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widowControl/>
        <w:jc w:val="both"/>
        <w:rPr>
          <w:sz w:val="22"/>
        </w:rPr>
      </w:pPr>
      <w:r>
        <w:rPr>
          <w:sz w:val="22"/>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jc w:val="both"/>
        <w:rPr/>
      </w:pPr>
      <w:r>
        <w:rPr>
          <w:sz w:val="22"/>
        </w:rPr>
        <w:t>(a)</w:t>
        <w:tab/>
        <w:t>Counterparty will access and utilize the Website (including but not limited to the execution of Transactions) solely for its own internal business and commercial purposes and in accordance with the terms and conditions of this Agreement, the procedures appended hereto and  any and all further or amended procedures posted by Enron on the Website from time to time.</w:t>
      </w:r>
      <w:r>
        <w:rPr>
          <w:rStyle w:val="FootnoteCharacters"/>
          <w:rStyle w:val="FootnoteReference"/>
          <w:sz w:val="22"/>
        </w:rPr>
        <w:footnoteReference w:customMarkFollows="1" w:id="2"/>
        <w:t>*</w:t>
      </w:r>
      <w:r>
        <w:rPr>
          <w:sz w:val="22"/>
        </w:rPr>
        <w:t xml:space="preserv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jc w:val="both"/>
        <w:rPr>
          <w:sz w:val="22"/>
        </w:rPr>
      </w:pPr>
      <w:r>
        <w:rPr>
          <w:sz w:val="22"/>
        </w:rPr>
      </w:r>
    </w:p>
    <w:p>
      <w:pPr>
        <w:pStyle w:val="Normal"/>
        <w:widowControl/>
        <w:ind w:firstLine="1440" w:end="0"/>
        <w:jc w:val="both"/>
        <w:rPr>
          <w:sz w:val="22"/>
        </w:rPr>
      </w:pPr>
      <w:r>
        <w:rPr>
          <w:sz w:val="22"/>
        </w:rPr>
        <w:t>(b)</w:t>
        <w:tab/>
        <w:t>Counterparty will implement and enforce reasonable measures to protect the confidentiality of the Website and to restrict access to the passwords given to Counterparty by Enron to enable Counterparty to access the Website (the “Passwords”) and, without limitation, Counterparty will not provide any third party with access to any such Password without the prior written consent of Enron.  Counterparty shall be solely responsible for any and all acts or omissions of any person accessing the Website through the use of the Passwords.  Use of the Passwords outside of the country previously identified by Counterparty as its country of residence or principal place of business, or other countries approved by Enron, is strictly prohibited.</w:t>
      </w:r>
    </w:p>
    <w:p>
      <w:pPr>
        <w:pStyle w:val="Normal"/>
        <w:widowControl/>
        <w:jc w:val="both"/>
        <w:rPr>
          <w:sz w:val="22"/>
        </w:rPr>
      </w:pPr>
      <w:r>
        <w:rPr>
          <w:sz w:val="22"/>
        </w:rPr>
      </w:r>
    </w:p>
    <w:p>
      <w:pPr>
        <w:pStyle w:val="Normal"/>
        <w:widowControl/>
        <w:ind w:firstLine="1440" w:end="0"/>
        <w:jc w:val="both"/>
        <w:rPr>
          <w:sz w:val="22"/>
        </w:rPr>
      </w:pPr>
      <w:r>
        <w:rPr>
          <w:sz w:val="22"/>
        </w:rPr>
        <w:t>(c)</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use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jc w:val="both"/>
        <w:rPr>
          <w:sz w:val="22"/>
        </w:rPr>
      </w:pPr>
      <w:r>
        <w:rPr>
          <w:sz w:val="22"/>
        </w:rPr>
      </w:r>
    </w:p>
    <w:p>
      <w:pPr>
        <w:pStyle w:val="Normal"/>
        <w:widowControl/>
        <w:ind w:firstLine="1440" w:end="0"/>
        <w:jc w:val="both"/>
        <w:rPr>
          <w:sz w:val="22"/>
        </w:rPr>
      </w:pPr>
      <w:r>
        <w:rPr>
          <w:sz w:val="22"/>
        </w:rPr>
        <w:t>(d)</w:t>
        <w:tab/>
        <w:t>Counterparty shall comply with any and all laws, rules, regulations or orders applicable to Counterparty’s access and use of  the Website.</w:t>
      </w:r>
    </w:p>
    <w:p>
      <w:pPr>
        <w:pStyle w:val="Normal"/>
        <w:widowControl/>
        <w:jc w:val="both"/>
        <w:rPr>
          <w:sz w:val="22"/>
        </w:rPr>
      </w:pPr>
      <w:r>
        <w:rPr>
          <w:sz w:val="22"/>
        </w:rPr>
      </w:r>
    </w:p>
    <w:p>
      <w:pPr>
        <w:pStyle w:val="Normal"/>
        <w:widowControl/>
        <w:ind w:firstLine="1440" w:end="0"/>
        <w:jc w:val="both"/>
        <w:rPr>
          <w:sz w:val="22"/>
        </w:rPr>
      </w:pPr>
      <w:r>
        <w:rPr>
          <w:sz w:val="22"/>
        </w:rPr>
        <w:t>(e)</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a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jc w:val="both"/>
        <w:rPr>
          <w:sz w:val="22"/>
        </w:rPr>
      </w:pPr>
      <w:r>
        <w:rPr>
          <w:sz w:val="22"/>
        </w:rPr>
      </w:r>
    </w:p>
    <w:p>
      <w:pPr>
        <w:pStyle w:val="Normal"/>
        <w:widowControl/>
        <w:ind w:firstLine="1440" w:end="0"/>
        <w:jc w:val="both"/>
        <w:rPr>
          <w:sz w:val="22"/>
        </w:rPr>
      </w:pPr>
      <w:r>
        <w:rPr>
          <w:sz w:val="22"/>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sz w:val="22"/>
        </w:rPr>
      </w:pPr>
      <w:r>
        <w:rPr>
          <w:sz w:val="22"/>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 Each Transaction executed by Counterparty through the Website shall be subject to the terms and conditions of this Agreement, any procedures established by Enron which are then in effect with respect to such Transaction and are posted on the Website and any master agreement between Enron and Counterparty governing such Transaction as amended on the Website (a “Master Agreement”).  Any such Transaction shall be considered a “Transaction” for all purposes under such Master Agreement.  In the event that Counterparty enters into a Transaction that is not then governed by a Master Agreement, such Transaction shall be governed by the terms and conditions applicable to Transactions of that type then posted on the Website.</w:t>
      </w:r>
    </w:p>
    <w:p>
      <w:pPr>
        <w:pStyle w:val="Normal"/>
        <w:widowControl/>
        <w:ind w:firstLine="1440" w:end="0"/>
        <w:jc w:val="both"/>
        <w:rPr>
          <w:sz w:val="22"/>
        </w:rPr>
      </w:pPr>
      <w:r>
        <w:rPr>
          <w:sz w:val="22"/>
        </w:rPr>
      </w:r>
    </w:p>
    <w:p>
      <w:pPr>
        <w:pStyle w:val="Normal"/>
        <w:widowControl/>
        <w:ind w:firstLine="1440" w:end="0"/>
        <w:jc w:val="both"/>
        <w:rPr>
          <w:sz w:val="22"/>
        </w:rPr>
      </w:pPr>
      <w:r>
        <w:rPr>
          <w:sz w:val="22"/>
        </w:rPr>
        <w:t>(b) A Transaction shall be deemed executed at the time that Enron generates an electronic message to the Counterparty confirming the relevant sale and purchase.  The parties may complete a written confirmation by way of record of its terms; but in the event of conflict, Enron’s electronic records shall prevail.</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LIMITATION OF LIABILITY; INDEMNITY.</w:t>
      </w:r>
    </w:p>
    <w:p>
      <w:pPr>
        <w:pStyle w:val="Normal"/>
        <w:widowControl/>
        <w:jc w:val="both"/>
        <w:rPr>
          <w:sz w:val="22"/>
        </w:rPr>
      </w:pPr>
      <w:r>
        <w:rPr>
          <w:sz w:val="22"/>
        </w:rPr>
      </w:r>
    </w:p>
    <w:p>
      <w:pPr>
        <w:pStyle w:val="Normal"/>
        <w:widowControl/>
        <w:ind w:firstLine="1440" w:end="0"/>
        <w:jc w:val="both"/>
        <w:rPr>
          <w:sz w:val="22"/>
        </w:rPr>
      </w:pPr>
      <w:r>
        <w:rPr>
          <w:sz w:val="22"/>
        </w:rPr>
        <w:t>(a)</w:t>
        <w:tab/>
        <w:t xml:space="preserve">ENRON,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OR CONSEQUENTIAL DAMAGES WHICH MAY BE INCURRED OR EXPERIENCED ON ACCOUNT OF COUNTERPARTY’S ENTERING INTO THIS AGREEMENT OR RELYING ON THE WEBSITE, EVEN IF ENRON HAS BEEN ADVISED OF THE POSSIBILITY OF SUCH DAMAGES. </w:t>
      </w:r>
    </w:p>
    <w:p>
      <w:pPr>
        <w:pStyle w:val="Normal"/>
        <w:widowControl/>
        <w:jc w:val="both"/>
        <w:rPr>
          <w:sz w:val="22"/>
        </w:rPr>
      </w:pPr>
      <w:r>
        <w:rPr>
          <w:sz w:val="22"/>
        </w:rPr>
      </w:r>
    </w:p>
    <w:p>
      <w:pPr>
        <w:pStyle w:val="Normal"/>
        <w:widowControl/>
        <w:ind w:firstLine="1440" w:end="0"/>
        <w:jc w:val="both"/>
        <w:rPr>
          <w:sz w:val="22"/>
        </w:rPr>
      </w:pPr>
      <w:r>
        <w:rPr>
          <w:sz w:val="22"/>
        </w:rPr>
        <w:t>(b)</w:t>
        <w:tab/>
        <w:t>Counterparty shall indemnify, protect, and hold harmless Enron, its directors, officers, employees and agents from and against any and all losses, liabilities, judgments, suits, actions, proceedings, claims, damages, and costs (including attorney’s fees) resulting from or arising out of Counterparty’s access and utilization of the Website, including, without limitation (i) any access or entry into any other Enron system not covered hereunder, (ii) any act or omission by any person obtaining access to the Website through the Passwords, whether or not Counterparty has authorized such access, and (iii) any actions taken or not taken by Counterparty as a result of or based on its access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sz w:val="22"/>
        </w:rPr>
      </w:pPr>
      <w:r>
        <w:rPr>
          <w:sz w:val="22"/>
        </w:rPr>
        <w:t>Each party acknowledges that it may, in connection with the activities contemplated hereunder, be exposed to or acquire confidential information which is proprietary or confidential to the other, its group undertakings or third parties to which such party has a duty of confidentiality (collectively, “Confidential Information”).  Any and all non-public information in any form obtained by such party or its employees in connection with this Agreement, including but not limited to any trade secrets, processes, proprietary data, information or documentation related thereto shall be deemed to be Confidential Information.  Each party agrees to hold such Information in strict confidence and not to disclose such Information to third parties or to use such Information for any purpose whatsoever other than as contemplated by this Agreement and to advise each of its employees or agents who may be exposed to such Confidential Information of their obligations to keep such Information confidential.  The provisions of this section shall not apply to information that is (a) publicly available (other than through action of a party in violation of this Agreement); (b) independently developed by a party or obtained by such party from a third party, in either case without being subject to any duty of confidentiality; or (c) required to be disclosed by applicable law, regulation or order of a court or regulatory or self-regulatory authority with jurisdiction over the disclosing party.</w:t>
      </w:r>
    </w:p>
    <w:p>
      <w:pPr>
        <w:pStyle w:val="Normal"/>
        <w:keepNext w:val="true"/>
        <w:keepLines/>
        <w:widowControl/>
        <w:jc w:val="both"/>
        <w:rPr>
          <w:b/>
          <w:sz w:val="22"/>
        </w:rPr>
      </w:pPr>
      <w:r>
        <w:rPr>
          <w:b/>
          <w:sz w:val="22"/>
        </w:rPr>
      </w:r>
    </w:p>
    <w:p>
      <w:pPr>
        <w:pStyle w:val="Normal"/>
        <w:keepNext w:val="true"/>
        <w:keepLines/>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keepNext w:val="true"/>
        <w:keepLines/>
        <w:widowControl/>
        <w:jc w:val="both"/>
        <w:rPr>
          <w:sz w:val="22"/>
        </w:rPr>
      </w:pPr>
      <w:r>
        <w:rPr>
          <w:sz w:val="22"/>
        </w:rPr>
      </w:r>
    </w:p>
    <w:p>
      <w:pPr>
        <w:pStyle w:val="Normal"/>
        <w:keepNext w:val="true"/>
        <w:keepLines/>
        <w:widowControl/>
        <w:ind w:firstLine="1440" w:end="0"/>
        <w:jc w:val="both"/>
        <w:rPr/>
      </w:pPr>
      <w:r>
        <w:rPr>
          <w:sz w:val="22"/>
        </w:rPr>
        <w:t>(a)</w:t>
        <w:tab/>
        <w:t xml:space="preserve">This Agreement shall commence upon Enron’s issuance of a Password to Counterparty and Counterparty’s “clicking” on all designated spaces in this Agreement and shall remain in effect unless and until terminated by either party upon [    ] days prior written notice to the other party,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keepNext w:val="true"/>
        <w:keepLines/>
        <w:widowControl/>
        <w:jc w:val="both"/>
        <w:rPr>
          <w:sz w:val="22"/>
        </w:rPr>
      </w:pPr>
      <w:r>
        <w:rPr>
          <w:sz w:val="22"/>
        </w:rPr>
      </w:r>
    </w:p>
    <w:p>
      <w:pPr>
        <w:pStyle w:val="Normal"/>
        <w:keepNext w:val="true"/>
        <w:keepLines/>
        <w:widowControl/>
        <w:ind w:firstLine="1440" w:end="0"/>
        <w:jc w:val="both"/>
        <w:rPr>
          <w:sz w:val="22"/>
        </w:rPr>
      </w:pPr>
      <w:r>
        <w:rPr>
          <w:sz w:val="22"/>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jc w:val="both"/>
        <w:rPr>
          <w:sz w:val="22"/>
        </w:rPr>
      </w:pPr>
      <w:r>
        <w:rPr>
          <w:sz w:val="22"/>
        </w:rPr>
      </w:r>
    </w:p>
    <w:p>
      <w:pPr>
        <w:pStyle w:val="Normal"/>
        <w:keepNext w:val="true"/>
        <w:keepLines/>
        <w:widowControl/>
        <w:ind w:firstLine="1440" w:end="0"/>
        <w:jc w:val="both"/>
        <w:rPr>
          <w:sz w:val="22"/>
        </w:rPr>
      </w:pPr>
      <w:r>
        <w:rPr>
          <w:sz w:val="22"/>
        </w:rPr>
        <w:t>(c)</w:t>
        <w:tab/>
        <w:t>Although there is currently no charge for access and utilization of the Website (other than any charges imposed in connection with any Transactions), Enron may impose such a charge effective __ days after notice thereof is given to Counterparty.  In addition, Counterparty shall be solely responsible for all costs associated with its accessing and utilizing the Website.</w:t>
      </w:r>
    </w:p>
    <w:p>
      <w:pPr>
        <w:pStyle w:val="Normal"/>
        <w:keepNext w:val="true"/>
        <w:keepLines/>
        <w:widowControl/>
        <w:jc w:val="both"/>
        <w:rPr>
          <w:sz w:val="22"/>
        </w:rPr>
      </w:pPr>
      <w:r>
        <w:rPr>
          <w:sz w:val="22"/>
        </w:rPr>
      </w:r>
    </w:p>
    <w:p>
      <w:pPr>
        <w:pStyle w:val="Normal"/>
        <w:keepLines/>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[set forth herein] or (ii) sent via electronic mail to the parties at their respective electronic mail addresses [set forth herein] (or, in each case, such other addresses or electronic mail addresses as may from time to time be notified by either party to the other party.  Any notices sent pursuant to clause (ii) of this paragraphs shall be deemed to have been received immediately upon transmission of the electronic mail message.</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pPr>
      <w:r>
        <w:rPr/>
        <w:t>(f)</w:t>
        <w:tab/>
        <w:t>This Agreement shall be governed by and construed in accordance with English law and the parties hereby submit to the exclusive jurisdiction of the English Courts.</w:t>
      </w:r>
    </w:p>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London-1/363473/02</w:t>
    </w:r>
  </w:p>
  <w:p>
    <w:pPr>
      <w:pStyle w:val="Normal"/>
      <w:rPr>
        <w:sz w:val="16"/>
      </w:rPr>
    </w:pPr>
    <w:r>
      <w:rPr>
        <w:sz w:val="16"/>
      </w:rPr>
      <w:t>NY12532: 259016.2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s>
        <w:spacing w:before="0" w:after="240"/>
        <w:ind w:hanging="720" w:start="720" w:end="0"/>
        <w:rPr/>
      </w:pPr>
      <w:r>
        <w:rPr>
          <w:rStyle w:val="FootnoteCharacters"/>
        </w:rPr>
        <w:t>*</w:t>
      </w:r>
      <w:r>
        <w:rPr/>
        <w:tab/>
        <w:t xml:space="preserve">The Agreement will need to include (either within the Agreement or as an attachment), the procedures by which trading will be conducted; </w:t>
      </w:r>
      <w:r>
        <w:rPr>
          <w:u w:val="single"/>
        </w:rPr>
        <w:t>e.g.</w:t>
      </w:r>
      <w:r>
        <w:rPr/>
        <w:t xml:space="preserve">, “click” procedures, confirmations, etc.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S&amp;C Draft of May 21, 1999</w:t>
    </w:r>
  </w:p>
  <w:p>
    <w:pPr>
      <w:pStyle w:val="Normal"/>
      <w:spacing w:lineRule="exact" w:line="241"/>
      <w:jc w:val="end"/>
      <w:rPr/>
    </w:pPr>
    <w:r>
      <w:rPr/>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100"/>
  <w:defaultTabStop w:val="720"/>
  <w:autoHyphenation w:val="true"/>
  <w:hyphenationZone w:val="0"/>
  <w:footnotePr>
    <w:numFmt w:val="decimal"/>
    <w:numRestart w:val="eachPage"/>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1999-05-27T11:34:00Z</dcterms:created>
  <dc:creator>007504</dc:creator>
  <dc:description/>
  <dc:language>en-CA</dc:language>
  <cp:lastModifiedBy>Elena Kapralova</cp:lastModifiedBy>
  <cp:lastPrinted>1999-05-27T10:21:00Z</cp:lastPrinted>
  <dcterms:modified xsi:type="dcterms:W3CDTF">1999-05-27T11:34:00Z</dcterms:modified>
  <cp:revision>2</cp:revision>
  <dc:subject/>
  <dc:title/>
</cp:coreProperties>
</file>