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t>North America Version 2(E) – 15 October 2000</w:t>
      </w:r>
    </w:p>
    <w:p>
      <w:pPr>
        <w:pStyle w:val="Normal"/>
        <w:jc w:val="center"/>
        <w:rPr>
          <w:b/>
          <w:bCs/>
        </w:rPr>
      </w:pPr>
      <w:r>
        <w:rPr>
          <w:b/>
          <w:bCs/>
        </w:rPr>
      </w:r>
    </w:p>
    <w:p>
      <w:pPr>
        <w:pStyle w:val="Normal"/>
        <w:jc w:val="center"/>
        <w:rPr>
          <w:b/>
          <w:bCs/>
        </w:rPr>
      </w:pPr>
      <w:r>
        <w:rPr>
          <w:b/>
          <w:bCs/>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jc w:val="both"/>
        <w:rPr>
          <w:b/>
        </w:rPr>
      </w:pPr>
      <w:r>
        <w:rPr>
          <w:b/>
        </w:rPr>
      </w:r>
    </w:p>
    <w:p>
      <w:pPr>
        <w:pStyle w:val="Normal"/>
        <w:ind w:firstLine="720" w:end="0"/>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 xml:space="preserve">Before a party discloses any Confidential Information in any of the circumstances described in clause 6(b)(ii), it shall promptly notify the other party of its intention to make such disclosure and cooperate with the other party's efforts to limit such disclosure.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o:legal/tmccull/cont/CP/ETA-NorthAmerica(CP)(E)(2).doc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2000-10-13T11:42:00Z</dcterms:created>
  <dc:creator>dhalley</dc:creator>
  <dc:description/>
  <dc:language>en-CA</dc:language>
  <cp:lastModifiedBy>Travis McCullough</cp:lastModifiedBy>
  <cp:lastPrinted>2000-07-11T20:19:00Z</cp:lastPrinted>
  <dcterms:modified xsi:type="dcterms:W3CDTF">2000-10-13T17:26:00Z</dcterms:modified>
  <cp:revision>6</cp:revision>
  <dc:subject/>
  <dc:title>NA Version 2 - November 27, 1999</dc:title>
</cp:coreProperties>
</file>