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jc w:val="end"/>
        <w:rPr/>
      </w:pPr>
      <w:r>
        <w:rPr/>
        <w:t>March 2, 2001</w:t>
      </w:r>
    </w:p>
    <w:p>
      <w:pPr>
        <w:pStyle w:val="Heading1"/>
        <w:rPr/>
      </w:pPr>
      <w:r>
        <w:rPr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AMENDMENT to ELECTRONIC TRADING AGREEMENT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General Overview:</w:t>
      </w:r>
    </w:p>
    <w:p>
      <w:pPr>
        <w:pStyle w:val="BodyTextIndent"/>
        <w:rPr>
          <w:rFonts w:ascii="Arial" w:hAnsi="Arial" w:cs="Arial"/>
          <w:b/>
          <w:sz w:val="24"/>
        </w:rPr>
      </w:pPr>
      <w:r>
        <w:rPr>
          <w:rFonts w:cs="Arial"/>
          <w:b/>
          <w:sz w:val="24"/>
        </w:rPr>
      </w:r>
    </w:p>
    <w:p>
      <w:pPr>
        <w:pStyle w:val="BodyTextIndent"/>
        <w:tabs>
          <w:tab w:val="clear" w:pos="720"/>
          <w:tab w:val="left" w:pos="900" w:leader="none"/>
          <w:tab w:val="left" w:pos="1080" w:leader="none"/>
        </w:tabs>
        <w:jc w:val="both"/>
        <w:rPr/>
      </w:pPr>
      <w:r>
        <w:rPr/>
        <w:t>EnronOnline will provide 3</w:t>
      </w:r>
      <w:r>
        <w:rPr>
          <w:vertAlign w:val="superscript"/>
        </w:rPr>
        <w:t>rd</w:t>
      </w:r>
      <w:r>
        <w:rPr/>
        <w:t xml:space="preserve"> Party Pipeline Companies (“Pipeline Companies”) with the tools to insert and manage their pipeline primary capacity products on EnronOnline (“The Website”).  The following document describes a suggested outline for the amendments to the Electronic Trading Agreement and which shall be displayed jointly with the GTC.</w:t>
      </w:r>
    </w:p>
    <w:p>
      <w:pPr>
        <w:pStyle w:val="BodyTextIndent"/>
        <w:jc w:val="both"/>
        <w:rPr>
          <w:b/>
        </w:rPr>
      </w:pPr>
      <w:r>
        <w:rPr>
          <w:b/>
        </w:rPr>
      </w:r>
    </w:p>
    <w:p>
      <w:pPr>
        <w:pStyle w:val="BodyTextIndent"/>
        <w:jc w:val="both"/>
        <w:rPr>
          <w:b/>
        </w:rPr>
      </w:pPr>
      <w:r>
        <w:rPr>
          <w:b/>
        </w:rPr>
        <w:t>Scope of Amendment to the existing EnronOnline ETA</w:t>
      </w:r>
    </w:p>
    <w:p>
      <w:pPr>
        <w:pStyle w:val="BodyTextIndent"/>
        <w:jc w:val="both"/>
        <w:rPr>
          <w:b/>
        </w:rPr>
      </w:pPr>
      <w:r>
        <w:rPr>
          <w:b/>
        </w:rPr>
      </w:r>
    </w:p>
    <w:p>
      <w:pPr>
        <w:pStyle w:val="BodyTextIndent"/>
        <w:jc w:val="both"/>
        <w:rPr/>
      </w:pPr>
      <w:r>
        <w:rPr/>
        <w:t>The Amendment to the ETA will be displayed, as part of the GTC, when a user “clicks” the first time to transact on a specific Product Type from a 3</w:t>
      </w:r>
      <w:r>
        <w:rPr>
          <w:vertAlign w:val="superscript"/>
        </w:rPr>
        <w:t>rd</w:t>
      </w:r>
      <w:r>
        <w:rPr/>
        <w:t xml:space="preserve"> Party Pipeline and will be accepted jointly with the Tariff or GTC (if any).</w:t>
      </w:r>
    </w:p>
    <w:p>
      <w:pPr>
        <w:pStyle w:val="BodyTextIndent"/>
        <w:jc w:val="both"/>
        <w:rPr/>
      </w:pPr>
      <w:r>
        <w:rPr/>
      </w:r>
    </w:p>
    <w:p>
      <w:pPr>
        <w:pStyle w:val="BodyTextIndent"/>
        <w:numPr>
          <w:ilvl w:val="0"/>
          <w:numId w:val="2"/>
        </w:numPr>
        <w:jc w:val="both"/>
        <w:rPr/>
      </w:pPr>
      <w:r>
        <w:rPr/>
        <w:t>Acceptance by Master Users: only Master Users or Subusers with necessary power and authority to execute and perform this Agreement can accept this Amendment to the Electronic Trading Agreement.</w:t>
      </w:r>
    </w:p>
    <w:p>
      <w:pPr>
        <w:pStyle w:val="BodyTextIndent"/>
        <w:jc w:val="both"/>
        <w:rPr/>
      </w:pPr>
      <w:r>
        <w:rPr/>
      </w:r>
    </w:p>
    <w:p>
      <w:pPr>
        <w:pStyle w:val="BodyTextIndent"/>
        <w:numPr>
          <w:ilvl w:val="0"/>
          <w:numId w:val="2"/>
        </w:numPr>
        <w:jc w:val="both"/>
        <w:rPr/>
      </w:pPr>
      <w:r>
        <w:rPr/>
        <w:t>Modifications may include, but may not be limited to, the following sections of the ETA:</w:t>
        <w:br/>
      </w:r>
    </w:p>
    <w:p>
      <w:pPr>
        <w:pStyle w:val="BodyTextIndent"/>
        <w:ind w:start="1080" w:end="0"/>
        <w:jc w:val="both"/>
        <w:rPr>
          <w:b/>
        </w:rPr>
      </w:pPr>
      <w:r>
        <w:rPr>
          <w:b/>
          <w:u w:val="single"/>
        </w:rPr>
        <w:t>3.</w:t>
      </w:r>
      <w:r>
        <w:rPr>
          <w:u w:val="single"/>
        </w:rPr>
        <w:t xml:space="preserve"> </w:t>
      </w:r>
      <w:r>
        <w:rPr>
          <w:b/>
          <w:u w:val="single"/>
        </w:rPr>
        <w:t>Transactions</w:t>
      </w:r>
    </w:p>
    <w:p>
      <w:pPr>
        <w:pStyle w:val="BodyTextIndent"/>
        <w:ind w:firstLine="720" w:end="0"/>
        <w:jc w:val="both"/>
        <w:rPr>
          <w:b/>
        </w:rPr>
      </w:pPr>
      <w:r>
        <w:rPr>
          <w:b/>
        </w:rPr>
      </w:r>
    </w:p>
    <w:p>
      <w:pPr>
        <w:pStyle w:val="BodyTextIndent"/>
        <w:numPr>
          <w:ilvl w:val="0"/>
          <w:numId w:val="4"/>
        </w:numPr>
        <w:jc w:val="both"/>
        <w:rPr/>
      </w:pPr>
      <w:r>
        <w:rPr/>
        <w:t>Subject To Master Agreement, Tariff or GTC: Transactions are not with an Enron Entity but with the reference Pipeline and its Tariff.</w:t>
      </w:r>
    </w:p>
    <w:p>
      <w:pPr>
        <w:pStyle w:val="BodyTextIndent"/>
        <w:ind w:start="1080" w:end="0"/>
        <w:jc w:val="both"/>
        <w:rPr/>
      </w:pPr>
      <w:r>
        <w:rPr/>
      </w:r>
    </w:p>
    <w:p>
      <w:pPr>
        <w:pStyle w:val="BodyTextIndent"/>
        <w:numPr>
          <w:ilvl w:val="0"/>
          <w:numId w:val="4"/>
        </w:numPr>
        <w:jc w:val="both"/>
        <w:rPr/>
      </w:pPr>
      <w:r>
        <w:rPr/>
        <w:t>Initiation of Transactions: Counterparty will initiate a Transaction to buy from, or sell to, Pipeline Company not to Enron</w:t>
      </w:r>
    </w:p>
    <w:p>
      <w:pPr>
        <w:pStyle w:val="BodyTextIndent"/>
        <w:ind w:start="1080" w:end="0"/>
        <w:jc w:val="both"/>
        <w:rPr/>
      </w:pPr>
      <w:r>
        <w:rPr/>
      </w:r>
    </w:p>
    <w:p>
      <w:pPr>
        <w:pStyle w:val="BodyTextIndent"/>
        <w:numPr>
          <w:ilvl w:val="0"/>
          <w:numId w:val="4"/>
        </w:numPr>
        <w:jc w:val="both"/>
        <w:rPr/>
      </w:pPr>
      <w:r>
        <w:rPr/>
        <w:t>Acceptance or Rejection of Offers: 3</w:t>
      </w:r>
      <w:r>
        <w:rPr>
          <w:vertAlign w:val="superscript"/>
        </w:rPr>
        <w:t>rd</w:t>
      </w:r>
      <w:r>
        <w:rPr/>
        <w:t xml:space="preserve"> Party Pipeline Company, not Enron, will accept or reject Conuterparty’s offer at its sole discretion.</w:t>
      </w:r>
    </w:p>
    <w:p>
      <w:pPr>
        <w:pStyle w:val="BodyTextIndent"/>
        <w:ind w:start="0" w:end="0"/>
        <w:jc w:val="both"/>
        <w:rPr/>
      </w:pPr>
      <w:r>
        <w:rPr/>
      </w:r>
    </w:p>
    <w:p>
      <w:pPr>
        <w:pStyle w:val="BodyTextIndent"/>
        <w:numPr>
          <w:ilvl w:val="0"/>
          <w:numId w:val="4"/>
        </w:numPr>
        <w:jc w:val="both"/>
        <w:rPr/>
      </w:pPr>
      <w:r>
        <w:rPr/>
        <w:t>Execution of Transactions: Transactions entered by Counterparty will be with a 3</w:t>
      </w:r>
      <w:r>
        <w:rPr>
          <w:vertAlign w:val="superscript"/>
        </w:rPr>
        <w:t>rd</w:t>
      </w:r>
      <w:r>
        <w:rPr/>
        <w:t xml:space="preserve"> party Company not with Enron</w:t>
      </w:r>
    </w:p>
    <w:p>
      <w:pPr>
        <w:pStyle w:val="BodyTextIndent"/>
        <w:ind w:start="0" w:end="0"/>
        <w:jc w:val="both"/>
        <w:rPr/>
      </w:pPr>
      <w:r>
        <w:rPr/>
      </w:r>
    </w:p>
    <w:p>
      <w:pPr>
        <w:pStyle w:val="BodyTextIndent"/>
        <w:numPr>
          <w:ilvl w:val="0"/>
          <w:numId w:val="4"/>
        </w:numPr>
        <w:jc w:val="both"/>
        <w:rPr/>
      </w:pPr>
      <w:r>
        <w:rPr/>
        <w:t>Confirmations &amp; Electronic Records: Pipeline Company may furnish a confirmation, not Enron.</w:t>
      </w:r>
    </w:p>
    <w:p>
      <w:pPr>
        <w:pStyle w:val="BodyTextIndent"/>
        <w:ind w:start="1080" w:end="0"/>
        <w:jc w:val="both"/>
        <w:rPr/>
      </w:pPr>
      <w:r>
        <w:rPr/>
      </w:r>
    </w:p>
    <w:p>
      <w:pPr>
        <w:pStyle w:val="BodyTextIndent"/>
        <w:ind w:start="1080" w:end="0"/>
        <w:jc w:val="both"/>
        <w:rPr>
          <w:b/>
          <w:u w:val="single"/>
        </w:rPr>
      </w:pPr>
      <w:r>
        <w:rPr>
          <w:b/>
          <w:u w:val="single"/>
        </w:rPr>
        <w:t>5. Confidentiality</w:t>
      </w:r>
    </w:p>
    <w:p>
      <w:pPr>
        <w:pStyle w:val="BodyTextIndent"/>
        <w:ind w:start="1080" w:end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BodyTextIndent"/>
        <w:numPr>
          <w:ilvl w:val="0"/>
          <w:numId w:val="3"/>
        </w:numPr>
        <w:jc w:val="both"/>
        <w:rPr/>
      </w:pPr>
      <w:r>
        <w:rPr/>
        <w:t>Disclosure of information: Language may need to include all parties (Enron, 3</w:t>
      </w:r>
      <w:r>
        <w:rPr>
          <w:vertAlign w:val="superscript"/>
        </w:rPr>
        <w:t>rd</w:t>
      </w:r>
      <w:r>
        <w:rPr/>
        <w:t xml:space="preserve"> party Pipeline and Counterparty)</w:t>
      </w:r>
    </w:p>
    <w:p>
      <w:pPr>
        <w:pStyle w:val="BodyTextIndent"/>
        <w:ind w:start="1080" w:end="0"/>
        <w:jc w:val="both"/>
        <w:rPr/>
      </w:pPr>
      <w:r>
        <w:rPr/>
      </w:r>
    </w:p>
    <w:p>
      <w:pPr>
        <w:pStyle w:val="BodyTextIndent"/>
        <w:ind w:start="1080" w:end="0"/>
        <w:jc w:val="both"/>
        <w:rPr>
          <w:b/>
          <w:u w:val="single"/>
        </w:rPr>
      </w:pPr>
      <w:r>
        <w:rPr>
          <w:b/>
          <w:u w:val="single"/>
        </w:rPr>
        <w:t>6. General</w:t>
      </w:r>
    </w:p>
    <w:p>
      <w:pPr>
        <w:pStyle w:val="BodyTextIndent"/>
        <w:ind w:start="1080" w:end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BodyTextIndent"/>
        <w:numPr>
          <w:ilvl w:val="0"/>
          <w:numId w:val="4"/>
        </w:numPr>
        <w:jc w:val="both"/>
        <w:rPr/>
      </w:pPr>
      <w:r>
        <w:rPr/>
        <w:t>Arbitration Rules: Define how and where the arbitration shall be conducted for disputes with Enron vs. 3</w:t>
      </w:r>
      <w:r>
        <w:rPr>
          <w:vertAlign w:val="superscript"/>
        </w:rPr>
        <w:t>rd</w:t>
      </w:r>
      <w:r>
        <w:rPr/>
        <w:t xml:space="preserve"> Party Pipeline (in case they are different)</w:t>
      </w:r>
    </w:p>
    <w:p>
      <w:pPr>
        <w:pStyle w:val="BodyTextIndent"/>
        <w:ind w:start="1080" w:end="0"/>
        <w:jc w:val="both"/>
        <w:rPr/>
      </w:pPr>
      <w:r>
        <w:rPr/>
      </w:r>
    </w:p>
    <w:p>
      <w:pPr>
        <w:pStyle w:val="BodyTextIndent"/>
        <w:numPr>
          <w:ilvl w:val="0"/>
          <w:numId w:val="2"/>
        </w:numPr>
        <w:jc w:val="both"/>
        <w:rPr/>
      </w:pPr>
      <w:r>
        <w:rPr/>
        <w:t>Other Issues (Pending).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>*This document is confidential and is for discussion purposes only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26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3780" w:leader="none"/>
      </w:tabs>
      <w:rPr/>
    </w:pPr>
    <w:r>
      <w:rPr/>
      <w:t xml:space="preserve">EnronOnline – Third Party Pipelines </w:t>
      <w:tab/>
      <w:tab/>
      <w:tab/>
      <w:tab/>
      <w:tab/>
      <w:tab/>
      <w:tab/>
    </w:r>
  </w:p>
  <w:p>
    <w:pPr>
      <w:pStyle w:val="Header"/>
      <w:tabs>
        <w:tab w:val="clear" w:pos="4320"/>
        <w:tab w:val="clear" w:pos="8640"/>
        <w:tab w:val="center" w:pos="3780" w:leader="none"/>
      </w:tabs>
      <w:rPr/>
    </w:pPr>
    <w:r>
      <w:rPr/>
      <w:tab/>
      <w:tab/>
      <w:tab/>
      <w:tab/>
      <w:tab/>
      <w:tab/>
      <w:tab/>
    </w:r>
    <w:r>
      <w:rPr>
        <w:b/>
        <w:sz w:val="24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1485"/>
        </w:tabs>
        <w:ind w:start="1485" w:hanging="360"/>
      </w:pPr>
      <w:rPr/>
    </w:lvl>
    <w:lvl w:ilvl="1">
      <w:start w:val="1"/>
      <w:pStyle w:val="Heading2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pStyle w:val="Heading4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pStyle w:val="Heading5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pStyle w:val="Heading6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pStyle w:val="Heading7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pStyle w:val="Heading8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pStyle w:val="Heading9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cs="Arial"/>
      <w:b/>
    </w:rPr>
  </w:style>
  <w:style w:type="paragraph" w:styleId="Heading2">
    <w:name w:val="heading 2"/>
    <w:basedOn w:val="Heading1"/>
    <w:next w:val="Normal"/>
    <w:qFormat/>
    <w:pPr>
      <w:widowControl w:val="false"/>
      <w:numPr>
        <w:ilvl w:val="1"/>
        <w:numId w:val="1"/>
      </w:numPr>
      <w:spacing w:lineRule="atLeast" w:line="240" w:before="120" w:after="60"/>
      <w:outlineLvl w:val="1"/>
    </w:pPr>
    <w:rPr/>
  </w:style>
  <w:style w:type="paragraph" w:styleId="Heading3">
    <w:name w:val="heading 3"/>
    <w:basedOn w:val="Heading1"/>
    <w:next w:val="Normal"/>
    <w:qFormat/>
    <w:pPr>
      <w:widowControl w:val="false"/>
      <w:numPr>
        <w:ilvl w:val="2"/>
        <w:numId w:val="1"/>
      </w:numPr>
      <w:spacing w:lineRule="atLeast" w:line="240" w:before="120" w:after="60"/>
      <w:outlineLvl w:val="2"/>
    </w:pPr>
    <w:rPr>
      <w:b w:val="false"/>
      <w:i/>
    </w:rPr>
  </w:style>
  <w:style w:type="paragraph" w:styleId="Heading4">
    <w:name w:val="heading 4"/>
    <w:basedOn w:val="Heading1"/>
    <w:next w:val="Normal"/>
    <w:qFormat/>
    <w:pPr>
      <w:widowControl w:val="false"/>
      <w:numPr>
        <w:ilvl w:val="3"/>
        <w:numId w:val="1"/>
      </w:numPr>
      <w:spacing w:lineRule="atLeast" w:line="240" w:before="120" w:after="60"/>
      <w:outlineLvl w:val="3"/>
    </w:pPr>
    <w:rPr>
      <w:b w:val="false"/>
    </w:rPr>
  </w:style>
  <w:style w:type="paragraph" w:styleId="Heading5">
    <w:name w:val="heading 5"/>
    <w:basedOn w:val="Normal"/>
    <w:next w:val="Normal"/>
    <w:qFormat/>
    <w:pPr>
      <w:widowControl w:val="false"/>
      <w:numPr>
        <w:ilvl w:val="4"/>
        <w:numId w:val="1"/>
      </w:numPr>
      <w:spacing w:lineRule="atLeast" w:line="240"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false"/>
      <w:numPr>
        <w:ilvl w:val="5"/>
        <w:numId w:val="1"/>
      </w:numPr>
      <w:spacing w:lineRule="atLeast" w:line="240"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widowControl w:val="false"/>
      <w:numPr>
        <w:ilvl w:val="6"/>
        <w:numId w:val="1"/>
      </w:numPr>
      <w:spacing w:lineRule="atLeast" w:line="240"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widowControl w:val="false"/>
      <w:numPr>
        <w:ilvl w:val="7"/>
        <w:numId w:val="1"/>
      </w:numPr>
      <w:spacing w:lineRule="atLeast" w:line="240"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widowControl w:val="false"/>
      <w:numPr>
        <w:ilvl w:val="8"/>
        <w:numId w:val="1"/>
      </w:numPr>
      <w:spacing w:lineRule="atLeast" w:line="240" w:before="240" w:after="60"/>
      <w:outlineLvl w:val="8"/>
    </w:pPr>
    <w:rPr>
      <w:b/>
      <w:i/>
      <w:sz w:val="1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i w:val="false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Times New Roman" w:hAnsi="Times New Roman" w:cs="Times New Roman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6z0">
    <w:name w:val="WW8Num3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keepLines/>
      <w:widowControl w:val="false"/>
      <w:spacing w:lineRule="atLeast" w:line="240" w:before="0" w:after="120"/>
      <w:ind w:hanging="0" w:start="720" w:end="0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2001-03-04T20:54:00Z</dcterms:created>
  <dc:creator>lpacheco</dc:creator>
  <dc:description/>
  <dc:language>en-CA</dc:language>
  <cp:lastModifiedBy>Carlos Alatorre</cp:lastModifiedBy>
  <cp:lastPrinted>2001-03-06T11:58:00Z</cp:lastPrinted>
  <dcterms:modified xsi:type="dcterms:W3CDTF">2001-03-13T22:32:00Z</dcterms:modified>
  <cp:revision>16</cp:revision>
  <dc:subject/>
  <dc:title>February 5, 2001</dc:title>
</cp:coreProperties>
</file>