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2"/>
        </w:rPr>
      </w:pPr>
      <w:bookmarkStart w:id="0" w:name="QuickMark"/>
      <w:bookmarkEnd w:id="0"/>
      <w:r>
        <w:rPr>
          <w:sz w:val="22"/>
        </w:rPr>
        <w:tab/>
      </w:r>
      <w:r>
        <w:rPr>
          <w:b/>
          <w:sz w:val="22"/>
        </w:rPr>
        <w:t>ELECTRONIC TRADING AGREEMENT</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pPr>
      <w:r>
        <w:rPr>
          <w:sz w:val="22"/>
        </w:rPr>
        <w:t>WHEREAS, Enron</w:t>
      </w:r>
      <w:del w:id="0" w:author="David Minns" w:date="1999-11-22T10:13:00Z">
        <w:r>
          <w:rPr>
            <w:sz w:val="22"/>
          </w:rPr>
          <w:delText xml:space="preserve"> North America Corp.</w:delText>
        </w:r>
      </w:del>
      <w:ins w:id="1" w:author="David Minns" w:date="1999-11-22T10:13:00Z">
        <w:r>
          <w:rPr>
            <w:sz w:val="20"/>
          </w:rPr>
          <w:t xml:space="preserve"> </w:t>
        </w:r>
      </w:ins>
      <w:ins w:id="2" w:author="David Minns" w:date="1999-11-22T10:13:00Z">
        <w:r>
          <w:rPr>
            <w:sz w:val="22"/>
          </w:rPr>
          <w:t xml:space="preserve">Australia Finance Pty. Ltd (ACN 082 245 921) </w:t>
        </w:r>
      </w:ins>
      <w:ins w:id="3" w:author="David Minns" w:date="1999-11-22T10:13:00Z">
        <w:r>
          <w:rPr>
            <w:sz w:val="20"/>
          </w:rPr>
          <w:t xml:space="preserve"> </w:t>
        </w:r>
      </w:ins>
      <w:r>
        <w:rPr>
          <w:sz w:val="22"/>
        </w:rPr>
        <w:t xml:space="preserve">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widowControl/>
        <w:jc w:val="both"/>
        <w:rPr>
          <w:sz w:val="22"/>
        </w:rPr>
      </w:pPr>
      <w:r>
        <w:rPr>
          <w:sz w:val="22"/>
        </w:rPr>
      </w:r>
    </w:p>
    <w:p>
      <w:pPr>
        <w:pStyle w:val="Normal"/>
        <w:widowControl/>
        <w:ind w:firstLine="1440" w:end="0"/>
        <w:jc w:val="both"/>
        <w:rPr/>
      </w:pPr>
      <w:r>
        <w:rPr>
          <w:sz w:val="22"/>
        </w:rPr>
        <w:t>WHEREAS, you (“Counterparty”) and Enron have entered into a Password Application (“Password Application”), pursuant to which Enron has agreed to provide Counterparty with access to the Website and Counterparty has agreed to access and utili</w:t>
      </w:r>
      <w:del w:id="4" w:author="David Minns" w:date="1999-11-22T10:16:00Z">
        <w:r>
          <w:rPr>
            <w:sz w:val="22"/>
          </w:rPr>
          <w:delText>z</w:delText>
        </w:r>
      </w:del>
      <w:ins w:id="5" w:author="David Minns" w:date="1999-11-22T10:16:00Z">
        <w:r>
          <w:rPr>
            <w:sz w:val="22"/>
          </w:rPr>
          <w:t>s</w:t>
        </w:r>
      </w:ins>
      <w:r>
        <w:rPr>
          <w:sz w:val="22"/>
        </w:rPr>
        <w:t>e the Website solely in accordance with the terms and conditions of the Password Application and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w:t>
      </w:r>
      <w:del w:id="6" w:author="David Minns" w:date="1999-11-22T10:13:00Z">
        <w:r>
          <w:rPr>
            <w:sz w:val="22"/>
          </w:rPr>
          <w:delText>z</w:delText>
        </w:r>
      </w:del>
      <w:ins w:id="7" w:author="David Minns" w:date="1999-11-22T10:13:00Z">
        <w:r>
          <w:rPr>
            <w:sz w:val="22"/>
          </w:rPr>
          <w:t>s</w:t>
        </w:r>
      </w:ins>
      <w:r>
        <w:rPr>
          <w:sz w:val="22"/>
        </w:rPr>
        <w:t>ation of the Website and (iii) other terms and conditions specified or referred to on the Website from time to time) will govern the access and utili</w:t>
      </w:r>
      <w:del w:id="8" w:author="David Minns" w:date="1999-11-22T10:16:00Z">
        <w:r>
          <w:rPr>
            <w:sz w:val="22"/>
          </w:rPr>
          <w:delText>z</w:delText>
        </w:r>
      </w:del>
      <w:ins w:id="9" w:author="David Minns" w:date="1999-11-22T10:16:00Z">
        <w:r>
          <w:rPr>
            <w:sz w:val="22"/>
          </w:rPr>
          <w:t>s</w:t>
        </w:r>
      </w:ins>
      <w:r>
        <w:rPr>
          <w:sz w:val="22"/>
        </w:rPr>
        <w:t>ation of the Website and any and all Transactions entered into by Counterparty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widowControl/>
        <w:jc w:val="both"/>
        <w:rPr>
          <w:sz w:val="22"/>
        </w:rPr>
      </w:pPr>
      <w:r>
        <w:rPr>
          <w:sz w:val="22"/>
        </w:rPr>
      </w:r>
    </w:p>
    <w:p>
      <w:pPr>
        <w:pStyle w:val="Normal"/>
        <w:widowControl/>
        <w:ind w:firstLine="1440" w:end="0"/>
        <w:jc w:val="both"/>
        <w:rPr/>
      </w:pPr>
      <w:r>
        <w:rPr>
          <w:sz w:val="22"/>
        </w:rPr>
        <w:t>(a)</w:t>
        <w:tab/>
        <w:t>Counterparty will access and utili</w:t>
      </w:r>
      <w:del w:id="10" w:author="David Minns" w:date="1999-11-22T10:16:00Z">
        <w:r>
          <w:rPr>
            <w:sz w:val="22"/>
          </w:rPr>
          <w:delText>z</w:delText>
        </w:r>
      </w:del>
      <w:ins w:id="11" w:author="David Minns" w:date="1999-11-22T10:16:00Z">
        <w:r>
          <w:rPr>
            <w:sz w:val="22"/>
          </w:rPr>
          <w:t>s</w:t>
        </w:r>
      </w:ins>
      <w:r>
        <w:rPr>
          <w:sz w:val="22"/>
        </w:rPr>
        <w:t>e the Website (including but not limited to the execution of Transactions) solely for its own internal business and commercial purposes and in accordance with the terms and conditions of this Agreement, any procedures established by Enron with respect to the access and utili</w:t>
      </w:r>
      <w:del w:id="12" w:author="David Minns" w:date="1999-11-22T10:16:00Z">
        <w:r>
          <w:rPr>
            <w:sz w:val="22"/>
          </w:rPr>
          <w:delText>z</w:delText>
        </w:r>
      </w:del>
      <w:ins w:id="13" w:author="David Minns" w:date="1999-11-22T10:16:00Z">
        <w:r>
          <w:rPr>
            <w:sz w:val="22"/>
          </w:rPr>
          <w:t>s</w:t>
        </w:r>
      </w:ins>
      <w:r>
        <w:rPr>
          <w:sz w:val="22"/>
        </w:rPr>
        <w:t>ation of the Website and any other terms and conditions specified or referred to on the Website from time to time.  Counterparty will not utili</w:t>
      </w:r>
      <w:del w:id="14" w:author="David Minns" w:date="1999-11-22T10:16:00Z">
        <w:r>
          <w:rPr>
            <w:sz w:val="22"/>
          </w:rPr>
          <w:delText>z</w:delText>
        </w:r>
      </w:del>
      <w:ins w:id="15" w:author="David Minns" w:date="1999-11-22T10:16:00Z">
        <w:r>
          <w:rPr>
            <w:sz w:val="22"/>
          </w:rPr>
          <w:t>s</w:t>
        </w:r>
      </w:ins>
      <w:r>
        <w:rPr>
          <w:sz w:val="22"/>
        </w:rPr>
        <w:t xml:space="preserve">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jc w:val="both"/>
        <w:rPr>
          <w:sz w:val="22"/>
        </w:rPr>
      </w:pPr>
      <w:r>
        <w:rPr>
          <w:sz w:val="22"/>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jc w:val="both"/>
        <w:rPr/>
      </w:pPr>
      <w:r>
        <w:rPr>
          <w:sz w:val="22"/>
        </w:rPr>
        <w:t>(b)</w:t>
        <w:tab/>
        <w:t>Enron may, in its sole discretion, with or without notice to Counterparty, temporarily or permanently cease to provide the Website or suspend, terminate or restrict Counterparty’s access to and utili</w:t>
      </w:r>
      <w:del w:id="19" w:author="David Minns" w:date="1999-11-22T10:16:00Z">
        <w:r>
          <w:rPr>
            <w:sz w:val="22"/>
          </w:rPr>
          <w:delText>z</w:delText>
        </w:r>
      </w:del>
      <w:ins w:id="20" w:author="David Minns" w:date="1999-11-22T10:16:00Z">
        <w:r>
          <w:rPr>
            <w:sz w:val="22"/>
          </w:rPr>
          <w:t>s</w:t>
        </w:r>
      </w:ins>
      <w:r>
        <w:rPr>
          <w:sz w:val="22"/>
        </w:rPr>
        <w:t>ation of the Website.  Counterparty shall supply Enron with all information reasonably requested by Enron concerning Counterparty and its access to and utili</w:t>
      </w:r>
      <w:del w:id="21" w:author="David Minns" w:date="1999-11-22T10:16:00Z">
        <w:r>
          <w:rPr>
            <w:sz w:val="22"/>
          </w:rPr>
          <w:delText>z</w:delText>
        </w:r>
      </w:del>
      <w:ins w:id="22" w:author="David Minns" w:date="1999-11-22T10:16:00Z">
        <w:r>
          <w:rPr>
            <w:sz w:val="22"/>
          </w:rPr>
          <w:t>s</w:t>
        </w:r>
      </w:ins>
      <w:r>
        <w:rPr>
          <w:sz w:val="22"/>
        </w:rPr>
        <w:t>ation of the Website.  Counterparty acknowledges that its access to and utili</w:t>
      </w:r>
      <w:del w:id="23" w:author="David Minns" w:date="1999-11-22T10:16:00Z">
        <w:r>
          <w:rPr>
            <w:sz w:val="22"/>
          </w:rPr>
          <w:delText>z</w:delText>
        </w:r>
      </w:del>
      <w:ins w:id="24" w:author="David Minns" w:date="1999-11-22T10:16:00Z">
        <w:r>
          <w:rPr>
            <w:sz w:val="22"/>
          </w:rPr>
          <w:t>s</w:t>
        </w:r>
      </w:ins>
      <w:r>
        <w:rPr>
          <w:sz w:val="22"/>
        </w:rPr>
        <w:t>ation of the Website may be monitored by Enron for Enron’s own purposes, and not for the benefit of Counterparty, and that the resultant information may be utili</w:t>
      </w:r>
      <w:del w:id="25" w:author="David Minns" w:date="1999-11-22T10:16:00Z">
        <w:r>
          <w:rPr>
            <w:sz w:val="22"/>
          </w:rPr>
          <w:delText>z</w:delText>
        </w:r>
      </w:del>
      <w:ins w:id="26" w:author="David Minns" w:date="1999-11-22T10:16:00Z">
        <w:r>
          <w:rPr>
            <w:sz w:val="22"/>
          </w:rPr>
          <w:t>s</w:t>
        </w:r>
      </w:ins>
      <w:r>
        <w:rPr>
          <w:sz w:val="22"/>
        </w:rPr>
        <w:t>ed by Enron.</w:t>
      </w:r>
    </w:p>
    <w:p>
      <w:pPr>
        <w:pStyle w:val="Normal"/>
        <w:widowControl/>
        <w:jc w:val="both"/>
        <w:rPr>
          <w:sz w:val="22"/>
        </w:rPr>
      </w:pPr>
      <w:r>
        <w:rPr>
          <w:sz w:val="22"/>
        </w:rPr>
      </w:r>
    </w:p>
    <w:p>
      <w:pPr>
        <w:pStyle w:val="Normal"/>
        <w:widowControl/>
        <w:ind w:firstLine="1440" w:end="0"/>
        <w:jc w:val="both"/>
        <w:rPr>
          <w:sz w:val="22"/>
        </w:rPr>
      </w:pPr>
      <w:r>
        <w:rPr>
          <w:sz w:val="22"/>
        </w:rPr>
        <w:t>(c)</w:t>
        <w:tab/>
        <w:t>Counterparty shall comply with any and all laws, rules, regulations or orders applicable to Counterparty’s access to and use of the Website.</w:t>
      </w:r>
    </w:p>
    <w:p>
      <w:pPr>
        <w:pStyle w:val="Normal"/>
        <w:widowControl/>
        <w:jc w:val="both"/>
        <w:rPr>
          <w:sz w:val="22"/>
        </w:rPr>
      </w:pPr>
      <w:r>
        <w:rPr>
          <w:sz w:val="22"/>
        </w:rPr>
      </w:r>
    </w:p>
    <w:p>
      <w:pPr>
        <w:pStyle w:val="Normal"/>
        <w:widowControl/>
        <w:ind w:firstLine="1440" w:end="0"/>
        <w:jc w:val="both"/>
        <w:rPr>
          <w:sz w:val="22"/>
        </w:rPr>
      </w:pPr>
      <w:r>
        <w:rPr>
          <w:sz w:val="22"/>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widowControl/>
        <w:jc w:val="both"/>
        <w:rPr>
          <w:sz w:val="22"/>
        </w:rPr>
      </w:pPr>
      <w:r>
        <w:rPr>
          <w:sz w:val="22"/>
        </w:rPr>
      </w:r>
    </w:p>
    <w:p>
      <w:pPr>
        <w:pStyle w:val="Normal"/>
        <w:widowControl/>
        <w:ind w:firstLine="1440" w:end="0"/>
        <w:jc w:val="both"/>
        <w:rPr>
          <w:sz w:val="22"/>
        </w:rPr>
      </w:pPr>
      <w:r>
        <w:rPr>
          <w:sz w:val="22"/>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widowControl/>
        <w:jc w:val="both"/>
        <w:rPr>
          <w:sz w:val="22"/>
        </w:rPr>
      </w:pPr>
      <w:r>
        <w:rPr>
          <w:sz w:val="22"/>
        </w:rPr>
      </w:r>
    </w:p>
    <w:p>
      <w:pPr>
        <w:pStyle w:val="Normal"/>
        <w:widowControl/>
        <w:ind w:firstLine="1440" w:end="0"/>
        <w:jc w:val="both"/>
        <w:rPr/>
      </w:pPr>
      <w:r>
        <w:rPr>
          <w:sz w:val="22"/>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w:t>
      </w:r>
      <w:del w:id="27" w:author="David Minns" w:date="1999-11-22T10:14:00Z">
        <w:r>
          <w:rPr>
            <w:sz w:val="22"/>
          </w:rPr>
          <w:delText>z</w:delText>
        </w:r>
      </w:del>
      <w:ins w:id="28" w:author="David Minns" w:date="1999-11-22T10:14:00Z">
        <w:r>
          <w:rPr>
            <w:sz w:val="22"/>
          </w:rPr>
          <w:t>s</w:t>
        </w:r>
      </w:ins>
      <w:r>
        <w:rPr>
          <w:sz w:val="22"/>
        </w:rPr>
        <w:t>ation or sponsorship of such sites or their sponsors by Enron nor is there any affiliation between Enron and such sponsors and such sponsors do not endorse, authori</w:t>
      </w:r>
      <w:del w:id="29" w:author="David Minns" w:date="1999-11-22T10:15:00Z">
        <w:r>
          <w:rPr>
            <w:sz w:val="22"/>
          </w:rPr>
          <w:delText>z</w:delText>
        </w:r>
      </w:del>
      <w:ins w:id="30" w:author="David Minns" w:date="1999-11-22T10:15:00Z">
        <w:r>
          <w:rPr>
            <w:sz w:val="22"/>
          </w:rPr>
          <w:t>s</w:t>
        </w:r>
      </w:ins>
      <w:r>
        <w:rPr>
          <w:sz w:val="22"/>
        </w:rPr>
        <w:t>e or sponsor the Website.  Counterparty understands and agrees that it will use or rely on such sites solely at its own risk and that Enron does not grant the Counterparty any rights in respect of such sites.</w:t>
      </w:r>
    </w:p>
    <w:p>
      <w:pPr>
        <w:pStyle w:val="Normal"/>
        <w:widowControl/>
        <w:jc w:val="both"/>
        <w:rPr>
          <w:sz w:val="22"/>
        </w:rPr>
      </w:pPr>
      <w:r>
        <w:rPr>
          <w:sz w:val="22"/>
        </w:rPr>
      </w:r>
    </w:p>
    <w:p>
      <w:pPr>
        <w:pStyle w:val="Normal"/>
        <w:widowControl/>
        <w:ind w:firstLine="1440" w:end="0"/>
        <w:jc w:val="both"/>
        <w:rPr>
          <w:sz w:val="22"/>
        </w:rPr>
      </w:pPr>
      <w:r>
        <w:rPr>
          <w:sz w:val="22"/>
        </w:rPr>
        <w:t>(g)</w:t>
        <w:tab/>
        <w:t>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w:t>
      </w:r>
      <w:ins w:id="31" w:author="David Minns" w:date="1999-11-23T09:12:00Z">
        <w:r>
          <w:rPr>
            <w:rStyle w:val="FootnoteCharacters"/>
            <w:rStyle w:val="FootnoteReference"/>
            <w:sz w:val="22"/>
          </w:rPr>
          <w:footnoteReference w:id="2"/>
        </w:r>
      </w:ins>
      <w:del w:id="32" w:author="David Minns" w:date="1999-11-23T09:13:00Z">
        <w:r>
          <w:rPr>
            <w:sz w:val="22"/>
          </w:rPr>
          <w:delText xml:space="preserve"> </w:delText>
        </w:r>
      </w:del>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sz w:val="22"/>
          <w:u w:val="single"/>
        </w:rPr>
        <w:t>provided</w:t>
      </w:r>
      <w:r>
        <w:rPr>
          <w:sz w:val="22"/>
        </w:rPr>
        <w:t xml:space="preserve"> </w:t>
      </w:r>
      <w:r>
        <w:rPr>
          <w:sz w:val="22"/>
          <w:u w:val="single"/>
        </w:rPr>
        <w:t>that</w:t>
      </w:r>
      <w:r>
        <w:rPr>
          <w:sz w:val="22"/>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 Transaction will be initiated by Counterparty offering to buy from, or sell to, Enron, by “clicking” on the designated spaces on the Website.  The Website is not, and shall not be construed as, an offer to buy or sell by Enron.</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Counterparty’s offer at its sole discretion.  A Transaction shall be deemed executed at the time that Enron first signifies its acceptance of Counterparty’s offer, accessible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LIMITATION OF LIABILITY; INDEMNITY.</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sz w:val="22"/>
        </w:rPr>
      </w:pPr>
      <w:r>
        <w:rPr>
          <w:sz w:val="22"/>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ins w:id="33" w:author="David Minns" w:date="1999-11-23T09:15:00Z">
        <w:r>
          <w:rPr>
            <w:rStyle w:val="FootnoteCharacters"/>
            <w:rStyle w:val="FootnoteReference"/>
            <w:sz w:val="22"/>
          </w:rPr>
          <w:footnoteReference w:customMarkFollows="1" w:id="3"/>
          <w:t>2</w:t>
        </w:r>
      </w:ins>
    </w:p>
    <w:p>
      <w:pPr>
        <w:pStyle w:val="Normal"/>
        <w:widowControl/>
        <w:jc w:val="both"/>
        <w:rPr>
          <w:sz w:val="22"/>
        </w:rPr>
      </w:pPr>
      <w:r>
        <w:rPr>
          <w:sz w:val="22"/>
        </w:rPr>
      </w:r>
    </w:p>
    <w:p>
      <w:pPr>
        <w:pStyle w:val="Normal"/>
        <w:widowControl/>
        <w:ind w:firstLine="1440" w:end="0"/>
        <w:jc w:val="both"/>
        <w:rPr/>
      </w:pPr>
      <w:r>
        <w:rPr>
          <w:sz w:val="22"/>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w:t>
      </w:r>
      <w:del w:id="34" w:author="David Minns" w:date="1999-11-22T10:16:00Z">
        <w:r>
          <w:rPr>
            <w:sz w:val="22"/>
          </w:rPr>
          <w:delText>z</w:delText>
        </w:r>
      </w:del>
      <w:ins w:id="35" w:author="David Minns" w:date="1999-11-22T10:16:00Z">
        <w:r>
          <w:rPr>
            <w:sz w:val="22"/>
          </w:rPr>
          <w:t>s</w:t>
        </w:r>
      </w:ins>
      <w:r>
        <w:rPr>
          <w:sz w:val="22"/>
        </w:rPr>
        <w:t>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w:t>
      </w:r>
      <w:del w:id="36" w:author="David Minns" w:date="1999-11-22T10:16:00Z">
        <w:r>
          <w:rPr>
            <w:sz w:val="22"/>
          </w:rPr>
          <w:delText>z</w:delText>
        </w:r>
      </w:del>
      <w:ins w:id="37" w:author="David Minns" w:date="1999-11-22T10:16:00Z">
        <w:r>
          <w:rPr>
            <w:sz w:val="22"/>
          </w:rPr>
          <w:t>s</w:t>
        </w:r>
      </w:ins>
      <w:r>
        <w:rPr>
          <w:sz w:val="22"/>
        </w:rPr>
        <w:t>ed such access, and/or (iii) any actions taken or not taken by Counterparty as a result of or based on its access to or utili</w:t>
      </w:r>
      <w:del w:id="38" w:author="David Minns" w:date="1999-11-22T10:16:00Z">
        <w:r>
          <w:rPr>
            <w:sz w:val="22"/>
          </w:rPr>
          <w:delText>z</w:delText>
        </w:r>
      </w:del>
      <w:ins w:id="39" w:author="David Minns" w:date="1999-11-22T10:16:00Z">
        <w:r>
          <w:rPr>
            <w:sz w:val="22"/>
          </w:rPr>
          <w:t>s</w:t>
        </w:r>
      </w:ins>
      <w:r>
        <w:rPr>
          <w:sz w:val="22"/>
        </w:rPr>
        <w:t>ation of the Website.</w:t>
      </w:r>
    </w:p>
    <w:p>
      <w:pPr>
        <w:pStyle w:val="Normal"/>
        <w:widowControl/>
        <w:jc w:val="both"/>
        <w:rPr>
          <w:sz w:val="22"/>
        </w:rPr>
      </w:pPr>
      <w:r>
        <w:rPr>
          <w:sz w:val="22"/>
        </w:rPr>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pPr>
      <w:r>
        <w:rPr>
          <w:sz w:val="22"/>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Counterparty without the express prior written consent of Enron.  This Agreement shall be binding upon each party and its successors and permitted assigns in accordance with its terms.</w:t>
      </w:r>
    </w:p>
    <w:p>
      <w:pPr>
        <w:pStyle w:val="Normal"/>
        <w:widowControl/>
        <w:jc w:val="both"/>
        <w:rPr>
          <w:sz w:val="22"/>
        </w:rPr>
      </w:pPr>
      <w:r>
        <w:rPr>
          <w:sz w:val="22"/>
        </w:rPr>
      </w:r>
    </w:p>
    <w:p>
      <w:pPr>
        <w:pStyle w:val="Normal"/>
        <w:widowControl/>
        <w:ind w:firstLine="1440" w:end="0"/>
        <w:jc w:val="both"/>
        <w:rPr/>
      </w:pPr>
      <w:r>
        <w:rPr>
          <w:sz w:val="22"/>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w:t>
      </w:r>
      <w:del w:id="40" w:author="David Minns" w:date="1999-11-22T10:16:00Z">
        <w:r>
          <w:rPr>
            <w:sz w:val="22"/>
          </w:rPr>
          <w:delText>z</w:delText>
        </w:r>
      </w:del>
      <w:ins w:id="41" w:author="David Minns" w:date="1999-11-22T10:16:00Z">
        <w:r>
          <w:rPr>
            <w:sz w:val="22"/>
          </w:rPr>
          <w:t>s</w:t>
        </w:r>
      </w:ins>
      <w:r>
        <w:rPr>
          <w:sz w:val="22"/>
        </w:rPr>
        <w:t>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spacing w:lineRule="exact" w:line="240" w:before="240" w:after="0"/>
        <w:ind w:hanging="709" w:start="709" w:end="0"/>
        <w:jc w:val="both"/>
        <w:rPr>
          <w:ins w:id="47" w:author="David Minns" w:date="1999-11-22T10:04:00Z"/>
        </w:rPr>
      </w:pPr>
      <w:r>
        <w:rPr>
          <w:sz w:val="22"/>
        </w:rPr>
        <w:t>(f)</w:t>
        <w:tab/>
      </w:r>
      <w:del w:id="42" w:author="David Minns" w:date="1999-11-22T10:04:00Z">
        <w:r>
          <w:rPr>
            <w:sz w:val="22"/>
          </w:rPr>
          <w:delTex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delText>
        </w:r>
      </w:del>
      <w:ins w:id="43" w:author="David Minns" w:date="1999-11-22T10:04:00Z">
        <w:r>
          <w:rPr>
            <w:b/>
            <w:sz w:val="22"/>
          </w:rPr>
          <w:t xml:space="preserve"> </w:t>
        </w:r>
      </w:ins>
      <w:ins w:id="44" w:author="David Minns" w:date="1999-11-22T10:04:00Z">
        <w:r>
          <w:rPr>
            <w:sz w:val="22"/>
          </w:rPr>
          <w:t>This Agreement will be governed by and construed in accordance with the laws in force in the State of New South Wales</w:t>
        </w:r>
      </w:ins>
      <w:ins w:id="45" w:author="David Minns" w:date="1999-11-22T10:04:00Z">
        <w:r>
          <w:rPr/>
          <w:t xml:space="preserve"> </w:t>
        </w:r>
      </w:ins>
      <w:ins w:id="46" w:author="David Minns" w:date="1999-11-22T10:04:00Z">
        <w:r>
          <w:rPr>
            <w:sz w:val="22"/>
          </w:rPr>
          <w:t xml:space="preserve">and each party submits to the non-exclusive jurisdiction of the courts of New South Wales, and the courts of appeal from them. </w:t>
        </w:r>
      </w:ins>
    </w:p>
    <w:p>
      <w:pPr>
        <w:pStyle w:val="Normal"/>
        <w:widowControl/>
        <w:ind w:firstLine="1440" w:end="0"/>
        <w:jc w:val="both"/>
        <w:rPr>
          <w:sz w:val="22"/>
        </w:rPr>
      </w:pPr>
      <w:r>
        <w:rPr>
          <w:sz w:val="22"/>
        </w:rPr>
      </w:r>
    </w:p>
    <w:p>
      <w:pPr>
        <w:pStyle w:val="Normal"/>
        <w:widowControl/>
        <w:rPr>
          <w:sz w:val="22"/>
        </w:rPr>
      </w:pPr>
      <w:r>
        <w:rPr>
          <w:sz w:val="22"/>
        </w:rPr>
      </w:r>
    </w:p>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p>
  <w:p>
    <w:pPr>
      <w:pStyle w:val="Normal"/>
      <w:rPr>
        <w:sz w:val="16"/>
      </w:rPr>
    </w:pPr>
    <w:r>
      <w:rPr>
        <w:sz w:val="16"/>
      </w:rPr>
      <w:t>NY12532: 259016.2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48" w:author="David Minns" w:date="1999-11-23T09:12:00Z">
        <w:r>
          <w:rPr>
            <w:rStyle w:val="FootnoteCharacters"/>
          </w:rPr>
          <w:footnoteRef/>
        </w:r>
      </w:ins>
      <w:ins w:id="49" w:author="David Minns" w:date="1999-11-23T09:12:00Z">
        <w:r>
          <w:rPr/>
          <w:t xml:space="preserve"> </w:t>
        </w:r>
      </w:ins>
      <w:ins w:id="50" w:author="David Minns" w:date="1999-11-23T09:12:00Z">
        <w:r>
          <w:rPr/>
          <w:t xml:space="preserve">Any qualification needed for statutory warranties in Trade practices Act? </w:t>
        </w:r>
      </w:ins>
    </w:p>
  </w:footnote>
  <w:footnote w:id="3">
    <w:p>
      <w:pPr>
        <w:pStyle w:val="FootnoteText"/>
        <w:rPr/>
      </w:pPr>
      <w:ins w:id="51" w:author="David Minns" w:date="1999-11-23T09:15:00Z">
        <w:r>
          <w:rPr>
            <w:rStyle w:val="FootnoteCharacters"/>
          </w:rPr>
          <w:t>2</w:t>
        </w:r>
      </w:ins>
      <w:ins w:id="52" w:author="David Minns" w:date="1999-11-23T09:15:00Z">
        <w:r>
          <w:rPr/>
          <w:t xml:space="preserve"> </w:t>
        </w:r>
      </w:ins>
      <w:ins w:id="53" w:author="David Minns" w:date="1999-11-23T09:15:00Z">
        <w:r>
          <w:rPr/>
          <w:t>Is the reference to “special damages” defensible in Australia; ie all damages except general damages appropriate?</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del w:id="17" w:author="David Minns" w:date="1999-11-22T10:32:00Z"/>
      </w:rPr>
    </w:pPr>
    <w:del w:id="16" w:author="David Minns" w:date="1999-11-22T10:32:00Z">
      <w:r>
        <w:rPr/>
        <w:delText>Version 1</w:delText>
      </w:r>
    </w:del>
  </w:p>
  <w:p>
    <w:pPr>
      <w:pStyle w:val="Normal"/>
      <w:spacing w:lineRule="exact" w:line="241"/>
      <w:jc w:val="end"/>
      <w:rPr/>
    </w:pPr>
    <w:del w:id="18" w:author="David Minns" w:date="1999-11-22T10:32:00Z">
      <w:r>
        <w:rPr/>
        <w:delText>August 10, 199</w:delText>
      </w:r>
    </w:del>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90"/>
  <w:trackRevisions/>
  <w:defaultTabStop w:val="720"/>
  <w:autoHyphenation w:val="true"/>
  <w:hyphenationZone w:val="0"/>
  <w:footnotePr>
    <w:numFmt w:val="decimal"/>
    <w:numRestart w:val="eachPage"/>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1999-11-21T20:35:00Z</dcterms:created>
  <dc:creator>mtaylo1</dc:creator>
  <dc:description/>
  <dc:language>en-CA</dc:language>
  <cp:lastModifiedBy>David Minns</cp:lastModifiedBy>
  <cp:lastPrinted>1999-07-29T17:30:00Z</cp:lastPrinted>
  <dcterms:modified xsi:type="dcterms:W3CDTF">1999-11-22T19:46:00Z</dcterms:modified>
  <cp:revision>4</cp:revision>
  <dc:subject/>
  <dc:title/>
</cp:coreProperties>
</file>