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DRAFT</w:t>
      </w:r>
    </w:p>
    <w:tbl>
      <w:tblPr>
        <w:tblW w:w="9900" w:type="dxa"/>
        <w:jc w:val="start"/>
        <w:tblInd w:w="108" w:type="dxa"/>
        <w:tblLayout w:type="fixed"/>
        <w:tblCellMar>
          <w:top w:w="0" w:type="dxa"/>
          <w:start w:w="108" w:type="dxa"/>
          <w:bottom w:w="0" w:type="dxa"/>
          <w:end w:w="108" w:type="dxa"/>
        </w:tblCellMar>
      </w:tblPr>
      <w:tblGrid>
        <w:gridCol w:w="2790"/>
        <w:gridCol w:w="4140"/>
        <w:gridCol w:w="2970"/>
      </w:tblGrid>
      <w:tr>
        <w:trPr/>
        <w:tc>
          <w:tcPr>
            <w:tcW w:w="2790" w:type="dxa"/>
            <w:tcBorders/>
          </w:tcPr>
          <w:p>
            <w:pPr>
              <w:pStyle w:val="Normal"/>
              <w:spacing w:before="20" w:after="0"/>
              <w:rPr>
                <w:rFonts w:ascii="Arial" w:hAnsi="Arial" w:cs="Arial"/>
                <w:sz w:val="18"/>
              </w:rPr>
            </w:pPr>
            <w:r>
              <w:rPr>
                <w:rFonts w:cs="Arial" w:ascii="Arial" w:hAnsi="Arial"/>
                <w:sz w:val="18"/>
              </w:rPr>
              <w:drawing>
                <wp:inline distT="0" distB="0" distL="0" distR="0">
                  <wp:extent cx="744855" cy="7575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44855" cy="757555"/>
                          </a:xfrm>
                          <a:prstGeom prst="rect">
                            <a:avLst/>
                          </a:prstGeom>
                          <a:noFill/>
                        </pic:spPr>
                      </pic:pic>
                    </a:graphicData>
                  </a:graphic>
                </wp:inline>
              </w:drawing>
            </w:r>
          </w:p>
        </w:tc>
        <w:tc>
          <w:tcPr>
            <w:tcW w:w="4140" w:type="dxa"/>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b/>
                <w:sz w:val="18"/>
              </w:rPr>
            </w:pPr>
            <w:bookmarkStart w:id="0" w:name="_1064560518"/>
            <w:bookmarkStart w:id="1" w:name="_1064560389"/>
            <w:bookmarkEnd w:id="0"/>
            <w:bookmarkEnd w:id="1"/>
            <w:r>
              <w:rPr>
                <w:rFonts w:cs="Arial" w:ascii="Arial" w:hAnsi="Arial"/>
                <w:b/>
                <w:sz w:val="18"/>
              </w:rPr>
              <w:object w:dxaOrig="1558" w:dyaOrig="1246">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55.45pt;height:44.4pt" filled="f" o:ole="">
                  <v:imagedata r:id="rId4" o:title=""/>
                </v:shape>
                <o:OLEObject Type="Embed" ProgID="" ShapeID="ole_rId3" DrawAspect="Content" ObjectID="_565442878" r:id="rId3"/>
              </w:object>
            </w:r>
          </w:p>
        </w:tc>
        <w:tc>
          <w:tcPr>
            <w:tcW w:w="2970" w:type="dxa"/>
            <w:tcBorders/>
          </w:tcPr>
          <w:p>
            <w:pPr>
              <w:pStyle w:val="Heading5"/>
              <w:ind w:hanging="0" w:start="0"/>
              <w:rPr>
                <w:rFonts w:ascii="Arial" w:hAnsi="Arial" w:cs="Arial"/>
                <w:sz w:val="18"/>
              </w:rPr>
            </w:pPr>
            <w:r>
              <w:rPr>
                <w:rFonts w:cs="Arial" w:ascii="Arial" w:hAnsi="Arial"/>
                <w:sz w:val="18"/>
              </w:rPr>
              <w:t>Enron Energy Services</w:t>
            </w: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LEGAL DEPARTMENT</w:t>
            </w:r>
          </w:p>
        </w:tc>
      </w:tr>
    </w:tbl>
    <w:p>
      <w:pPr>
        <w:pStyle w:val="Normal"/>
        <w:rPr>
          <w:rFonts w:ascii="Arial" w:hAnsi="Arial" w:cs="Arial"/>
          <w:sz w:val="18"/>
        </w:rPr>
      </w:pPr>
      <w:r>
        <w:rPr>
          <w:rFonts w:cs="Arial" w:ascii="Arial" w:hAnsi="Arial"/>
          <w:sz w:val="18"/>
        </w:rPr>
      </w:r>
    </w:p>
    <w:p>
      <w:pPr>
        <w:pStyle w:val="Justified"/>
        <w:spacing w:before="0" w:after="0"/>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tbl>
      <w:tblPr>
        <w:tblW w:w="10080" w:type="dxa"/>
        <w:jc w:val="start"/>
        <w:tblInd w:w="18" w:type="dxa"/>
        <w:tblLayout w:type="fixed"/>
        <w:tblCellMar>
          <w:top w:w="0" w:type="dxa"/>
          <w:start w:w="108" w:type="dxa"/>
          <w:bottom w:w="0" w:type="dxa"/>
          <w:end w:w="108" w:type="dxa"/>
        </w:tblCellMar>
      </w:tblPr>
      <w:tblGrid>
        <w:gridCol w:w="1170"/>
        <w:gridCol w:w="8910"/>
      </w:tblGrid>
      <w:tr>
        <w:trPr/>
        <w:tc>
          <w:tcPr>
            <w:tcW w:w="1170" w:type="dxa"/>
            <w:tcBorders/>
          </w:tcPr>
          <w:p>
            <w:pPr>
              <w:pStyle w:val="Normal"/>
              <w:rPr>
                <w:rFonts w:ascii="Arial" w:hAnsi="Arial" w:cs="Arial"/>
                <w:sz w:val="18"/>
              </w:rPr>
            </w:pPr>
            <w:r>
              <w:rPr>
                <w:rFonts w:cs="Arial" w:ascii="Arial" w:hAnsi="Arial"/>
                <w:b/>
                <w:sz w:val="18"/>
              </w:rPr>
              <w:t>TO:</w:t>
            </w:r>
          </w:p>
        </w:tc>
        <w:tc>
          <w:tcPr>
            <w:tcW w:w="8910" w:type="dxa"/>
            <w:tcBorders/>
          </w:tcPr>
          <w:p>
            <w:pPr>
              <w:pStyle w:val="Normal"/>
              <w:rPr>
                <w:rFonts w:ascii="Arial" w:hAnsi="Arial" w:cs="Arial"/>
                <w:sz w:val="18"/>
              </w:rPr>
            </w:pPr>
            <w:r>
              <w:rPr>
                <w:rFonts w:cs="Arial" w:ascii="Arial" w:hAnsi="Arial"/>
                <w:sz w:val="18"/>
              </w:rPr>
              <w:t>Dave Delainey, Scott Gahn, Ron Bertasi, Tim Beldon, Rogers Herndon, Dan Leff, Vicki Sharp and Jim Keller</w:t>
            </w:r>
          </w:p>
        </w:tc>
      </w:tr>
      <w:tr>
        <w:trPr/>
        <w:tc>
          <w:tcPr>
            <w:tcW w:w="1170" w:type="dxa"/>
            <w:tcBorders/>
          </w:tcPr>
          <w:p>
            <w:pPr>
              <w:pStyle w:val="Normal"/>
              <w:snapToGrid w:val="false"/>
              <w:rPr>
                <w:rFonts w:ascii="Arial" w:hAnsi="Arial" w:cs="Arial"/>
                <w:b/>
                <w:sz w:val="18"/>
              </w:rPr>
            </w:pPr>
            <w:r>
              <w:rPr>
                <w:rFonts w:cs="Arial" w:ascii="Arial" w:hAnsi="Arial"/>
                <w:b/>
                <w:sz w:val="18"/>
              </w:rPr>
            </w:r>
          </w:p>
        </w:tc>
        <w:tc>
          <w:tcPr>
            <w:tcW w:w="8910" w:type="dxa"/>
            <w:tcBorders/>
          </w:tcPr>
          <w:p>
            <w:pPr>
              <w:pStyle w:val="Justified"/>
              <w:snapToGrid w:val="false"/>
              <w:spacing w:before="0" w:after="0"/>
              <w:rPr>
                <w:rFonts w:ascii="Arial" w:hAnsi="Arial" w:cs="Arial"/>
                <w:b/>
                <w:sz w:val="18"/>
              </w:rPr>
            </w:pPr>
            <w:r>
              <w:rPr>
                <w:rFonts w:cs="Arial" w:ascii="Arial" w:hAnsi="Arial"/>
                <w:b/>
                <w:sz w:val="18"/>
              </w:rPr>
            </w:r>
          </w:p>
        </w:tc>
      </w:tr>
      <w:tr>
        <w:trPr/>
        <w:tc>
          <w:tcPr>
            <w:tcW w:w="1170" w:type="dxa"/>
            <w:tcBorders/>
          </w:tcPr>
          <w:p>
            <w:pPr>
              <w:pStyle w:val="Normal"/>
              <w:rPr>
                <w:rFonts w:ascii="Arial" w:hAnsi="Arial" w:cs="Arial"/>
                <w:b/>
                <w:sz w:val="18"/>
              </w:rPr>
            </w:pPr>
            <w:r>
              <w:rPr>
                <w:rFonts w:cs="Arial" w:ascii="Arial" w:hAnsi="Arial"/>
                <w:b/>
                <w:sz w:val="18"/>
              </w:rPr>
              <w:t>FROM:</w:t>
            </w:r>
          </w:p>
        </w:tc>
        <w:tc>
          <w:tcPr>
            <w:tcW w:w="8910" w:type="dxa"/>
            <w:tcBorders/>
          </w:tcPr>
          <w:p>
            <w:pPr>
              <w:pStyle w:val="Normal"/>
              <w:rPr>
                <w:rFonts w:ascii="Arial" w:hAnsi="Arial" w:cs="Arial"/>
                <w:sz w:val="18"/>
              </w:rPr>
            </w:pPr>
            <w:r>
              <w:rPr>
                <w:rFonts w:cs="Arial" w:ascii="Arial" w:hAnsi="Arial"/>
                <w:sz w:val="18"/>
              </w:rPr>
              <w:t>Sarah Dietrich</w:t>
            </w:r>
          </w:p>
        </w:tc>
      </w:tr>
      <w:tr>
        <w:trPr/>
        <w:tc>
          <w:tcPr>
            <w:tcW w:w="1170" w:type="dxa"/>
            <w:tcBorders/>
          </w:tcPr>
          <w:p>
            <w:pPr>
              <w:pStyle w:val="Normal"/>
              <w:snapToGrid w:val="false"/>
              <w:rPr>
                <w:rFonts w:ascii="Arial" w:hAnsi="Arial" w:cs="Arial"/>
                <w:b/>
                <w:sz w:val="18"/>
              </w:rPr>
            </w:pPr>
            <w:r>
              <w:rPr>
                <w:rFonts w:cs="Arial" w:ascii="Arial" w:hAnsi="Arial"/>
                <w:b/>
                <w:sz w:val="18"/>
              </w:rPr>
            </w:r>
          </w:p>
        </w:tc>
        <w:tc>
          <w:tcPr>
            <w:tcW w:w="8910" w:type="dxa"/>
            <w:tcBorders/>
          </w:tcPr>
          <w:p>
            <w:pPr>
              <w:pStyle w:val="Normal"/>
              <w:snapToGrid w:val="false"/>
              <w:rPr>
                <w:rFonts w:ascii="Arial" w:hAnsi="Arial" w:cs="Arial"/>
                <w:b/>
                <w:sz w:val="18"/>
              </w:rPr>
            </w:pPr>
            <w:r>
              <w:rPr>
                <w:rFonts w:cs="Arial" w:ascii="Arial" w:hAnsi="Arial"/>
                <w:b/>
                <w:sz w:val="18"/>
              </w:rPr>
            </w:r>
          </w:p>
        </w:tc>
      </w:tr>
      <w:tr>
        <w:trPr/>
        <w:tc>
          <w:tcPr>
            <w:tcW w:w="1170" w:type="dxa"/>
            <w:tcBorders/>
          </w:tcPr>
          <w:p>
            <w:pPr>
              <w:pStyle w:val="Normal"/>
              <w:rPr>
                <w:rFonts w:ascii="Arial" w:hAnsi="Arial" w:cs="Arial"/>
                <w:b/>
                <w:sz w:val="18"/>
              </w:rPr>
            </w:pPr>
            <w:r>
              <w:rPr>
                <w:rFonts w:cs="Arial" w:ascii="Arial" w:hAnsi="Arial"/>
                <w:b/>
                <w:sz w:val="18"/>
              </w:rPr>
              <w:t>DATE:</w:t>
            </w:r>
          </w:p>
        </w:tc>
        <w:tc>
          <w:tcPr>
            <w:tcW w:w="8910" w:type="dxa"/>
            <w:tcBorders/>
          </w:tcPr>
          <w:p>
            <w:pPr>
              <w:pStyle w:val="Normal"/>
              <w:rPr>
                <w:rFonts w:ascii="Arial" w:hAnsi="Arial" w:cs="Arial"/>
                <w:sz w:val="18"/>
              </w:rPr>
            </w:pPr>
            <w:r>
              <w:rPr>
                <w:rFonts w:cs="Arial" w:ascii="Arial" w:hAnsi="Arial"/>
                <w:sz w:val="18"/>
              </w:rPr>
              <w:t>October 15, 2001</w:t>
            </w:r>
          </w:p>
        </w:tc>
      </w:tr>
      <w:tr>
        <w:trPr/>
        <w:tc>
          <w:tcPr>
            <w:tcW w:w="1170" w:type="dxa"/>
            <w:tcBorders/>
          </w:tcPr>
          <w:p>
            <w:pPr>
              <w:pStyle w:val="Normal"/>
              <w:snapToGrid w:val="false"/>
              <w:rPr>
                <w:rFonts w:ascii="Arial" w:hAnsi="Arial" w:cs="Arial"/>
                <w:b/>
                <w:sz w:val="18"/>
              </w:rPr>
            </w:pPr>
            <w:r>
              <w:rPr>
                <w:rFonts w:cs="Arial" w:ascii="Arial" w:hAnsi="Arial"/>
                <w:b/>
                <w:sz w:val="18"/>
              </w:rPr>
            </w:r>
          </w:p>
        </w:tc>
        <w:tc>
          <w:tcPr>
            <w:tcW w:w="8910" w:type="dxa"/>
            <w:tcBorders/>
          </w:tcPr>
          <w:p>
            <w:pPr>
              <w:pStyle w:val="Normal"/>
              <w:snapToGrid w:val="false"/>
              <w:rPr>
                <w:rFonts w:ascii="Arial" w:hAnsi="Arial" w:cs="Arial"/>
                <w:b/>
                <w:sz w:val="18"/>
              </w:rPr>
            </w:pPr>
            <w:r>
              <w:rPr>
                <w:rFonts w:cs="Arial" w:ascii="Arial" w:hAnsi="Arial"/>
                <w:b/>
                <w:sz w:val="18"/>
              </w:rPr>
            </w:r>
          </w:p>
        </w:tc>
      </w:tr>
      <w:tr>
        <w:trPr/>
        <w:tc>
          <w:tcPr>
            <w:tcW w:w="1170" w:type="dxa"/>
            <w:tcBorders/>
          </w:tcPr>
          <w:p>
            <w:pPr>
              <w:pStyle w:val="Normal"/>
              <w:rPr>
                <w:rFonts w:ascii="Arial" w:hAnsi="Arial" w:cs="Arial"/>
                <w:b/>
                <w:sz w:val="18"/>
              </w:rPr>
            </w:pPr>
            <w:r>
              <w:rPr>
                <w:rFonts w:cs="Arial" w:ascii="Arial" w:hAnsi="Arial"/>
                <w:b/>
                <w:sz w:val="18"/>
              </w:rPr>
              <w:t>SUBJECT:</w:t>
            </w:r>
          </w:p>
        </w:tc>
        <w:tc>
          <w:tcPr>
            <w:tcW w:w="8910" w:type="dxa"/>
            <w:tcBorders/>
          </w:tcPr>
          <w:p>
            <w:pPr>
              <w:pStyle w:val="Normal"/>
              <w:rPr>
                <w:rFonts w:ascii="Arial" w:hAnsi="Arial" w:cs="Arial"/>
                <w:sz w:val="18"/>
              </w:rPr>
            </w:pPr>
            <w:r>
              <w:rPr>
                <w:rFonts w:cs="Arial" w:ascii="Arial" w:hAnsi="Arial"/>
                <w:sz w:val="18"/>
              </w:rPr>
              <w:t>Electronic Signatures on Enron Direct Mass Market Agreements</w:t>
            </w:r>
          </w:p>
        </w:tc>
      </w:tr>
    </w:tbl>
    <w:p>
      <w:pPr>
        <w:pStyle w:val="Normal"/>
        <w:pBdr>
          <w:bottom w:val="double" w:sz="12" w:space="1" w:color="000000"/>
        </w:pBdr>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ind w:hanging="1440" w:start="1440" w:end="0"/>
        <w:jc w:val="both"/>
        <w:rPr/>
      </w:pPr>
      <w:r>
        <w:rPr>
          <w:rFonts w:cs="Arial" w:ascii="Arial" w:hAnsi="Arial"/>
          <w:caps/>
          <w:sz w:val="18"/>
          <w:u w:val="single"/>
        </w:rPr>
        <w:t>SITUATION</w:t>
      </w:r>
      <w:r>
        <w:rPr>
          <w:rFonts w:cs="Arial" w:ascii="Arial" w:hAnsi="Arial"/>
          <w:sz w:val="18"/>
        </w:rPr>
        <w:t>:</w:t>
        <w:tab/>
        <w:t xml:space="preserve">Current telemarketing efforts require that customers manually sign and return a written agreement.  Many customers indicate that they wish to accept our deal, but fail to sign and return the agreement.  This requires numerous follow-up calls and lengthens the sales process. </w:t>
      </w:r>
    </w:p>
    <w:p>
      <w:pPr>
        <w:pStyle w:val="Normal"/>
        <w:ind w:hanging="1440" w:start="1440" w:end="0"/>
        <w:jc w:val="both"/>
        <w:rPr>
          <w:rFonts w:ascii="Arial" w:hAnsi="Arial" w:cs="Arial"/>
          <w:caps/>
          <w:sz w:val="18"/>
          <w:u w:val="single"/>
        </w:rPr>
      </w:pPr>
      <w:r>
        <w:rPr>
          <w:rFonts w:cs="Arial" w:ascii="Arial" w:hAnsi="Arial"/>
          <w:caps/>
          <w:sz w:val="18"/>
          <w:u w:val="single"/>
        </w:rPr>
      </w:r>
    </w:p>
    <w:p>
      <w:pPr>
        <w:pStyle w:val="Normal"/>
        <w:ind w:hanging="1440" w:start="1440" w:end="0"/>
        <w:jc w:val="both"/>
        <w:rPr/>
      </w:pPr>
      <w:r>
        <w:rPr>
          <w:rFonts w:cs="Arial" w:ascii="Arial" w:hAnsi="Arial"/>
          <w:caps/>
          <w:sz w:val="18"/>
          <w:u w:val="single"/>
        </w:rPr>
        <w:t>Goal</w:t>
      </w:r>
      <w:r>
        <w:rPr>
          <w:rFonts w:cs="Arial" w:ascii="Arial" w:hAnsi="Arial"/>
          <w:sz w:val="18"/>
        </w:rPr>
        <w:t>:</w:t>
        <w:tab/>
        <w:t>Obtain enforceable contracts that satisfy legal requirement for a signed written agreement without the requirement that customers manually sign and return our agreements.</w:t>
      </w:r>
    </w:p>
    <w:p>
      <w:pPr>
        <w:pStyle w:val="Normal"/>
        <w:ind w:hanging="1440" w:start="1440" w:end="0"/>
        <w:jc w:val="both"/>
        <w:rPr>
          <w:rFonts w:ascii="Arial" w:hAnsi="Arial" w:cs="Arial"/>
          <w:sz w:val="18"/>
        </w:rPr>
      </w:pPr>
      <w:r>
        <w:rPr>
          <w:rFonts w:cs="Arial" w:ascii="Arial" w:hAnsi="Arial"/>
          <w:sz w:val="18"/>
        </w:rPr>
      </w:r>
    </w:p>
    <w:p>
      <w:pPr>
        <w:pStyle w:val="BodyTextIndent"/>
        <w:rPr/>
      </w:pPr>
      <w:r>
        <w:rPr>
          <w:rFonts w:cs="Arial" w:ascii="Arial" w:hAnsi="Arial"/>
          <w:caps/>
          <w:sz w:val="18"/>
          <w:u w:val="single"/>
        </w:rPr>
        <w:t>Process</w:t>
      </w:r>
      <w:r>
        <w:rPr>
          <w:rFonts w:cs="Arial" w:ascii="Arial" w:hAnsi="Arial"/>
          <w:sz w:val="18"/>
        </w:rPr>
        <w:t>:</w:t>
        <w:tab/>
        <w:t>Prior to sales call, potential customers will be faxed a contract.  During the sales call, key contract terms (price, volume, term) will be discussed.  Customer will be given additional opportunity to review agreement.  If customer accepts deal, customer will key into telephone touch pad a unique identifier indicated on contract and, for example touch 1 to accept.  At a minimum, acceptance portion of calls will be recorded and third-party verified (also recorded).</w:t>
      </w:r>
    </w:p>
    <w:p>
      <w:pPr>
        <w:pStyle w:val="Normal"/>
        <w:ind w:hanging="1440" w:start="1440" w:end="0"/>
        <w:jc w:val="both"/>
        <w:rPr>
          <w:rFonts w:ascii="Arial" w:hAnsi="Arial" w:cs="Arial"/>
          <w:caps/>
          <w:sz w:val="18"/>
          <w:u w:val="single"/>
        </w:rPr>
      </w:pPr>
      <w:r>
        <w:rPr>
          <w:rFonts w:cs="Arial" w:ascii="Arial" w:hAnsi="Arial"/>
          <w:caps/>
          <w:sz w:val="18"/>
          <w:u w:val="single"/>
        </w:rPr>
      </w:r>
    </w:p>
    <w:p>
      <w:pPr>
        <w:pStyle w:val="Normal"/>
        <w:ind w:hanging="1440" w:start="1440" w:end="0"/>
        <w:jc w:val="both"/>
        <w:rPr/>
      </w:pPr>
      <w:r>
        <w:rPr>
          <w:rFonts w:cs="Arial" w:ascii="Arial" w:hAnsi="Arial"/>
          <w:caps/>
          <w:sz w:val="18"/>
          <w:u w:val="single"/>
        </w:rPr>
        <w:t>Issue</w:t>
      </w:r>
      <w:r>
        <w:rPr>
          <w:rFonts w:cs="Arial" w:ascii="Arial" w:hAnsi="Arial"/>
          <w:sz w:val="18"/>
        </w:rPr>
        <w:t>:</w:t>
        <w:tab/>
        <w:t>While current law does allow for electronic signatures, there is no case law interpreting what constitutes an electronic signature.</w:t>
      </w:r>
    </w:p>
    <w:p>
      <w:pPr>
        <w:pStyle w:val="Normal"/>
        <w:ind w:hanging="1440" w:start="1440" w:end="0"/>
        <w:jc w:val="both"/>
        <w:rPr>
          <w:rFonts w:ascii="Arial" w:hAnsi="Arial" w:cs="Arial"/>
          <w:sz w:val="18"/>
        </w:rPr>
      </w:pPr>
      <w:r>
        <w:rPr>
          <w:rFonts w:cs="Arial" w:ascii="Arial" w:hAnsi="Arial"/>
          <w:sz w:val="18"/>
        </w:rPr>
      </w:r>
    </w:p>
    <w:p>
      <w:pPr>
        <w:pStyle w:val="Normal"/>
        <w:ind w:hanging="1440" w:start="1440" w:end="0"/>
        <w:jc w:val="both"/>
        <w:rPr/>
      </w:pPr>
      <w:r>
        <w:rPr>
          <w:rFonts w:cs="Arial" w:ascii="Arial" w:hAnsi="Arial"/>
          <w:caps/>
          <w:sz w:val="18"/>
          <w:u w:val="single"/>
        </w:rPr>
        <w:t>Assesment</w:t>
      </w:r>
      <w:r>
        <w:rPr>
          <w:rFonts w:cs="Arial" w:ascii="Arial" w:hAnsi="Arial"/>
          <w:sz w:val="18"/>
        </w:rPr>
        <w:t>:</w:t>
        <w:tab/>
        <w:t>While it is uncertain whether all courts would hold that the above process would create an enforceable agreement, this method of electronic signatures should constitute a signed writing.</w:t>
      </w:r>
    </w:p>
    <w:p>
      <w:pPr>
        <w:pStyle w:val="Normal"/>
        <w:ind w:hanging="1440" w:start="1440" w:end="0"/>
        <w:jc w:val="both"/>
        <w:rPr>
          <w:rFonts w:ascii="Arial" w:hAnsi="Arial" w:cs="Arial"/>
          <w:caps/>
          <w:sz w:val="18"/>
          <w:u w:val="single"/>
        </w:rPr>
      </w:pPr>
      <w:r>
        <w:rPr>
          <w:rFonts w:cs="Arial" w:ascii="Arial" w:hAnsi="Arial"/>
          <w:caps/>
          <w:sz w:val="18"/>
          <w:u w:val="single"/>
        </w:rPr>
      </w:r>
    </w:p>
    <w:p>
      <w:pPr>
        <w:pStyle w:val="Normal"/>
        <w:ind w:hanging="1440" w:start="1440" w:end="0"/>
        <w:jc w:val="both"/>
        <w:rPr/>
      </w:pPr>
      <w:r>
        <w:rPr>
          <w:rFonts w:cs="Arial" w:ascii="Arial" w:hAnsi="Arial"/>
          <w:caps/>
          <w:sz w:val="18"/>
          <w:u w:val="single"/>
        </w:rPr>
        <w:t>RiskS</w:t>
      </w:r>
      <w:r>
        <w:rPr>
          <w:rFonts w:cs="Arial" w:ascii="Arial" w:hAnsi="Arial"/>
          <w:sz w:val="18"/>
        </w:rPr>
        <w:t>:</w:t>
        <w:tab/>
        <w:t>Potential claims of undue pressure to sign agreement without sufficient time to review due to:</w:t>
      </w:r>
    </w:p>
    <w:p>
      <w:pPr>
        <w:pStyle w:val="Normal"/>
        <w:numPr>
          <w:ilvl w:val="0"/>
          <w:numId w:val="2"/>
        </w:numPr>
        <w:tabs>
          <w:tab w:val="clear" w:pos="720"/>
        </w:tabs>
        <w:spacing w:before="60" w:after="0"/>
        <w:ind w:hanging="720" w:start="2160" w:end="0"/>
        <w:jc w:val="both"/>
        <w:rPr>
          <w:rFonts w:ascii="Arial" w:hAnsi="Arial" w:cs="Arial"/>
          <w:sz w:val="18"/>
        </w:rPr>
      </w:pPr>
      <w:r>
        <w:rPr>
          <w:rFonts w:cs="Arial" w:ascii="Arial" w:hAnsi="Arial"/>
          <w:sz w:val="18"/>
        </w:rPr>
        <w:t>telemarketer holding on line waiting for customer to review; and</w:t>
      </w:r>
    </w:p>
    <w:p>
      <w:pPr>
        <w:pStyle w:val="Normal"/>
        <w:numPr>
          <w:ilvl w:val="0"/>
          <w:numId w:val="2"/>
        </w:numPr>
        <w:tabs>
          <w:tab w:val="clear" w:pos="720"/>
        </w:tabs>
        <w:spacing w:before="60" w:after="0"/>
        <w:ind w:hanging="720" w:start="2160" w:end="0"/>
        <w:jc w:val="both"/>
        <w:rPr>
          <w:rFonts w:ascii="Arial" w:hAnsi="Arial" w:cs="Arial"/>
          <w:sz w:val="18"/>
        </w:rPr>
      </w:pPr>
      <w:r>
        <w:rPr>
          <w:rFonts w:cs="Arial" w:ascii="Arial" w:hAnsi="Arial"/>
          <w:sz w:val="18"/>
        </w:rPr>
        <w:t>Customer concern that if they don’t sign immediately they will risk price increase.</w:t>
      </w:r>
    </w:p>
    <w:p>
      <w:pPr>
        <w:pStyle w:val="Normal"/>
        <w:ind w:start="1440" w:end="0"/>
        <w:jc w:val="both"/>
        <w:rPr>
          <w:rFonts w:ascii="Arial" w:hAnsi="Arial" w:cs="Arial"/>
          <w:sz w:val="18"/>
        </w:rPr>
      </w:pPr>
      <w:r>
        <w:rPr>
          <w:rFonts w:cs="Arial" w:ascii="Arial" w:hAnsi="Arial"/>
          <w:sz w:val="18"/>
        </w:rPr>
      </w:r>
    </w:p>
    <w:p>
      <w:pPr>
        <w:pStyle w:val="BodyTextIndent2"/>
        <w:rPr/>
      </w:pPr>
      <w:r>
        <w:rPr/>
        <w:t>Financial risks from either (i) single customers avoiding contract on argument it is unenforceable or (ii) mass defections by customers.  Possible risk of class action.</w:t>
      </w:r>
    </w:p>
    <w:p>
      <w:pPr>
        <w:pStyle w:val="Normal"/>
        <w:jc w:val="both"/>
        <w:rPr>
          <w:rFonts w:ascii="Arial" w:hAnsi="Arial" w:cs="Arial"/>
          <w:sz w:val="18"/>
        </w:rPr>
      </w:pPr>
      <w:r>
        <w:rPr>
          <w:rFonts w:cs="Arial" w:ascii="Arial" w:hAnsi="Arial"/>
          <w:sz w:val="18"/>
        </w:rPr>
      </w:r>
    </w:p>
    <w:p>
      <w:pPr>
        <w:pStyle w:val="Heading1"/>
        <w:ind w:hanging="0" w:start="0"/>
        <w:rPr>
          <w:rFonts w:ascii="Arial" w:hAnsi="Arial" w:cs="Arial"/>
          <w:sz w:val="18"/>
        </w:rPr>
      </w:pPr>
      <w:r>
        <w:rPr>
          <w:rFonts w:cs="Arial" w:ascii="Arial" w:hAnsi="Arial"/>
          <w:sz w:val="18"/>
        </w:rPr>
        <w:t>Mitigation</w:t>
      </w:r>
    </w:p>
    <w:p>
      <w:pPr>
        <w:pStyle w:val="Justified"/>
        <w:spacing w:before="0" w:after="0"/>
        <w:rPr/>
      </w:pPr>
      <w:r>
        <w:rPr>
          <w:rFonts w:cs="Arial" w:ascii="Arial" w:hAnsi="Arial"/>
          <w:caps/>
          <w:sz w:val="18"/>
          <w:u w:val="single"/>
        </w:rPr>
        <w:t>Of Risk</w:t>
      </w:r>
      <w:r>
        <w:rPr>
          <w:rFonts w:cs="Arial" w:ascii="Arial" w:hAnsi="Arial"/>
          <w:sz w:val="18"/>
        </w:rPr>
        <w:t>:</w:t>
        <w:tab/>
        <w:t>Ensure customers have time to review agreement and call them back later, if necessary.</w:t>
      </w:r>
    </w:p>
    <w:p>
      <w:pPr>
        <w:pStyle w:val="BodyTextIndent2"/>
        <w:spacing w:before="60" w:after="0"/>
        <w:rPr/>
      </w:pPr>
      <w:r>
        <w:rPr/>
        <w:t>Limit e-sign option to: (1) terms of 1-2 years and/or (2) predefined total exposure</w:t>
      </w:r>
    </w:p>
    <w:p>
      <w:pPr>
        <w:pStyle w:val="Normal"/>
        <w:spacing w:before="60" w:after="0"/>
        <w:ind w:start="1440" w:end="0"/>
        <w:jc w:val="both"/>
        <w:rPr>
          <w:rFonts w:ascii="Arial" w:hAnsi="Arial" w:cs="Arial"/>
          <w:sz w:val="18"/>
        </w:rPr>
      </w:pPr>
      <w:r>
        <w:rPr>
          <w:rFonts w:cs="Arial" w:ascii="Arial" w:hAnsi="Arial"/>
          <w:sz w:val="18"/>
        </w:rPr>
        <w:t>Formulate and follow detailed e-sign process incorporating all legal protections.</w:t>
      </w:r>
    </w:p>
    <w:p>
      <w:pPr>
        <w:pStyle w:val="Justified"/>
        <w:spacing w:before="0" w:after="0"/>
        <w:rPr>
          <w:rFonts w:ascii="Arial" w:hAnsi="Arial" w:cs="Arial"/>
          <w:sz w:val="18"/>
        </w:rPr>
      </w:pPr>
      <w:r>
        <w:rPr>
          <w:rFonts w:cs="Arial" w:ascii="Arial" w:hAnsi="Arial"/>
          <w:sz w:val="18"/>
        </w:rPr>
      </w:r>
    </w:p>
    <w:p>
      <w:pPr>
        <w:pStyle w:val="Normal"/>
        <w:jc w:val="both"/>
        <w:rPr/>
      </w:pPr>
      <w:r>
        <w:rPr>
          <w:rFonts w:cs="Arial" w:ascii="Arial" w:hAnsi="Arial"/>
          <w:sz w:val="18"/>
          <w:u w:val="single"/>
        </w:rPr>
        <w:t>RISK LEVEL</w:t>
      </w:r>
      <w:r>
        <w:rPr>
          <w:rFonts w:cs="Arial" w:ascii="Arial" w:hAnsi="Arial"/>
          <w:sz w:val="18"/>
        </w:rPr>
        <w:t>:</w:t>
        <w:tab/>
        <w:tab/>
        <w:t>2.5</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cc:</w:t>
        <w:tab/>
        <w:t>Jeff Hodge</w:t>
      </w:r>
    </w:p>
    <w:p>
      <w:pPr>
        <w:pStyle w:val="Normal"/>
        <w:jc w:val="both"/>
        <w:rPr>
          <w:rFonts w:ascii="Arial" w:hAnsi="Arial" w:cs="Arial"/>
          <w:sz w:val="18"/>
        </w:rPr>
      </w:pPr>
      <w:r>
        <w:rPr>
          <w:rFonts w:cs="Arial" w:ascii="Arial" w:hAnsi="Arial"/>
          <w:sz w:val="18"/>
        </w:rPr>
        <w:tab/>
        <w:t>Mark Taylor</w:t>
      </w:r>
    </w:p>
    <w:p>
      <w:pPr>
        <w:pStyle w:val="Normal"/>
        <w:ind w:start="1440" w:end="0"/>
        <w:jc w:val="both"/>
        <w:rPr>
          <w:rFonts w:ascii="Arial" w:hAnsi="Arial" w:cs="Arial"/>
          <w:sz w:val="18"/>
        </w:rPr>
      </w:pPr>
      <w:r>
        <w:rPr>
          <w:rFonts w:cs="Arial" w:ascii="Arial" w:hAnsi="Arial"/>
          <w:sz w:val="18"/>
        </w:rPr>
      </w:r>
    </w:p>
    <w:sectPr>
      <w:footerReference w:type="default" r:id="rId5"/>
      <w:footerReference w:type="first" r:id="rId6"/>
      <w:type w:val="nextPage"/>
      <w:pgSz w:w="12240" w:h="15840"/>
      <w:pgMar w:left="1152" w:right="1152" w:gutter="0" w:header="0" w:top="1152" w:footer="720" w:bottom="79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pPr>
    <w:r>
      <w:rPr/>
    </w:r>
  </w:p>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/mnt/main-storage/datasets/enron-docs/doc/ESignature_Risk_Memo.doc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/mnt/main-storage/datasets/enron-docs/doc/ESignature_Risk_Memo.doc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240"/>
        </w:tabs>
        <w:ind w:start="324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caps/>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5">
    <w:name w:val="heading 5"/>
    <w:basedOn w:val="Normal"/>
    <w:next w:val="Normal"/>
    <w:qFormat/>
    <w:pPr>
      <w:keepNext w:val="true"/>
      <w:numPr>
        <w:ilvl w:val="4"/>
        <w:numId w:val="1"/>
      </w:numPr>
      <w:jc w:val="center"/>
      <w:outlineLvl w:val="4"/>
    </w:pPr>
    <w:rPr>
      <w:b/>
      <w:i/>
    </w:rPr>
  </w:style>
  <w:style w:type="character" w:styleId="WW8Num1z0">
    <w:name w:val="WW8Num1z0"/>
    <w:qFormat/>
    <w:rPr>
      <w:rFonts w:ascii="Symbol" w:hAnsi="Symbol" w:cs="Symbol"/>
      <w:spacing w:val="0"/>
      <w:position w:val="0"/>
      <w:sz w:val="24"/>
      <w:vertAlign w:val="baseline"/>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spacing w:val="0"/>
      <w:position w:val="0"/>
      <w:sz w:val="24"/>
      <w:vertAlign w:val="baseline"/>
    </w:rPr>
  </w:style>
  <w:style w:type="character" w:styleId="WW8Num5z0">
    <w:name w:val="WW8Num5z0"/>
    <w:qFormat/>
    <w:rPr/>
  </w:style>
  <w:style w:type="character" w:styleId="WW8Num6z0">
    <w:name w:val="WW8Num6z0"/>
    <w:qFormat/>
    <w:rPr>
      <w:rFonts w:ascii="Symbol" w:hAnsi="Symbol" w:cs="Symbol"/>
      <w:spacing w:val="0"/>
      <w:position w:val="0"/>
      <w:sz w:val="24"/>
      <w:vertAlign w:val="baseline"/>
    </w:rPr>
  </w:style>
  <w:style w:type="character" w:styleId="WW8Num7z0">
    <w:name w:val="WW8Num7z0"/>
    <w:qFormat/>
    <w:rPr>
      <w:rFonts w:ascii="Wingdings" w:hAnsi="Wingdings" w:cs="Wingdings"/>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BodyTextIndent">
    <w:name w:val="Body Text Indent"/>
    <w:basedOn w:val="Normal"/>
    <w:pPr>
      <w:ind w:hanging="1440" w:start="144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1440" w:end="0"/>
      <w:jc w:val="both"/>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2001-10-14T18:32:00Z</dcterms:created>
  <dc:creator>Patricia O'Neal</dc:creator>
  <dc:description/>
  <dc:language>en-CA</dc:language>
  <cp:lastModifiedBy>sdietric</cp:lastModifiedBy>
  <cp:lastPrinted>2001-10-12T13:43:00Z</cp:lastPrinted>
  <dcterms:modified xsi:type="dcterms:W3CDTF">2001-10-14T18:38:00Z</dcterms:modified>
  <cp:revision>3</cp:revision>
  <dc:subject/>
  <dc:title> </dc:title>
</cp:coreProperties>
</file>