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rFonts w:ascii="Tahoma" w:hAnsi="Tahoma" w:cs="Tahoma"/>
          <w:b/>
          <w:bCs/>
          <w:sz w:val="28"/>
          <w:u w:val="single"/>
        </w:rPr>
      </w:pPr>
      <w:r>
        <w:rPr>
          <w:rFonts w:cs="Tahoma" w:ascii="Tahoma" w:hAnsi="Tahoma"/>
          <w:b/>
          <w:bCs/>
          <w:sz w:val="28"/>
          <w:u w:val="single"/>
        </w:rPr>
        <w:t>ECT Strategic Value Corp.</w:t>
      </w:r>
    </w:p>
    <w:p>
      <w:pPr>
        <w:pStyle w:val="Normal"/>
        <w:rPr>
          <w:rFonts w:ascii="Tahoma" w:hAnsi="Tahoma" w:cs="Tahoma"/>
          <w:b/>
          <w:bCs/>
          <w:sz w:val="28"/>
          <w:u w:val="single"/>
        </w:rPr>
      </w:pPr>
      <w:r>
        <w:rPr>
          <w:rFonts w:cs="Tahoma" w:ascii="Tahoma" w:hAnsi="Tahoma"/>
          <w:b/>
          <w:bCs/>
          <w:sz w:val="28"/>
          <w:u w:val="single"/>
        </w:rPr>
      </w:r>
    </w:p>
    <w:p>
      <w:pPr>
        <w:pStyle w:val="Normal"/>
        <w:rPr>
          <w:rFonts w:ascii="Tahoma" w:hAnsi="Tahoma" w:cs="Tahoma"/>
        </w:rPr>
      </w:pPr>
      <w:r>
        <w:rPr>
          <w:rFonts w:cs="Tahoma" w:ascii="Tahoma" w:hAnsi="Tahoma"/>
        </w:rPr>
        <w:tab/>
        <w:tab/>
        <w:tab/>
        <w:tab/>
        <w:tab/>
        <w:tab/>
        <w:t>October 29, 2001 (5:30 pm)</w:t>
      </w:r>
    </w:p>
    <w:p>
      <w:pPr>
        <w:pStyle w:val="Normal"/>
        <w:rPr>
          <w:rFonts w:ascii="Tahoma" w:hAnsi="Tahoma" w:cs="Tahoma"/>
          <w:sz w:val="28"/>
        </w:rPr>
      </w:pPr>
      <w:r>
        <w:rPr>
          <w:rFonts w:cs="Tahoma" w:ascii="Tahoma" w:hAnsi="Tahoma"/>
          <w:sz w:val="28"/>
        </w:rPr>
      </w:r>
    </w:p>
    <w:p>
      <w:pPr>
        <w:pStyle w:val="BodyTextIndent"/>
        <w:rPr/>
      </w:pPr>
      <w:r>
        <w:rPr/>
        <w:t>Enron North America Corp. (“ENA”) is among the most active trading companies in the world and transacts thousands of times daily with a wide array of counterparties.  The trading positions entered into by ENA are marked-to-market (i.e., valued and reported either positively or negatively) on a daily basis in order to clearly report the most up-to-date position of the ENA trading business to ENA’s senior management.  In connection with the daily mark of the ENA trading business, a portion of the otherwise positive trading positions are maintained as “reserves” against which counterparty defaults and other negative trading events may be subtracted (“Reserves”).  Reserves taken against any particular position are subsequently reversed as the contingencies for which they were taken are resolved in favor on ENA.</w:t>
      </w:r>
    </w:p>
    <w:p>
      <w:pPr>
        <w:pStyle w:val="BodyTextIndent"/>
        <w:rPr/>
      </w:pPr>
      <w:r>
        <w:rPr/>
      </w:r>
    </w:p>
    <w:p>
      <w:pPr>
        <w:pStyle w:val="BodyTextIndent"/>
        <w:rPr/>
      </w:pPr>
      <w:r>
        <w:rPr/>
        <w:t>In line with ENA’s performance based compensation philosophy, ECT Strategic Value Corp. (“ESVC”) was established in 1996 and a portion of the liabilities leading to the establishment of Reserves by ENA (“Liabilities”) were, in turn, transferred to ESVC.  Further, members of ENA management with expertise in the resolution of Liabilities were permitted to purchase a class of “tracking equity” in ESVC that would provide them with a return in the event that the Liabilities transferred to ESVC were resolved favorably.  In short, ESVC served to compensate certain management in favorably resolving Liabilities and, ultimately, increasing the profitability of ENA.  A list of those managers that purchased Special Value Equity in ESVC, the amount invested by such persons and the terms to their potential return to be earned on such Special Value Equity is attached hereto (See Attachment 1).</w:t>
      </w:r>
    </w:p>
    <w:p>
      <w:pPr>
        <w:pStyle w:val="BodyTextIndent"/>
        <w:rPr/>
      </w:pPr>
      <w:r>
        <w:rPr/>
      </w:r>
    </w:p>
    <w:p>
      <w:pPr>
        <w:pStyle w:val="BodyTextIndent"/>
        <w:rPr/>
      </w:pPr>
      <w:r>
        <w:rPr/>
        <w:t>Finally, as with all legal entities established by ENA, ESVC adopted a slate of officers and directors (the “Slate”) legally charged to manage and represent ESVC.  The Slate comprised the standard officers and directors otherwise constituting the officers and directors of ENA companies at the time that ESVC was organized.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2001-10-29T21:12:00Z</dcterms:created>
  <dc:creator>sdougla</dc:creator>
  <dc:description/>
  <dc:language>en-CA</dc:language>
  <cp:lastModifiedBy>sdougla</cp:lastModifiedBy>
  <dcterms:modified xsi:type="dcterms:W3CDTF">2001-10-29T21:12:00Z</dcterms:modified>
  <cp:revision>2</cp:revision>
  <dc:subject/>
  <dc:title>ECT Strategic Value Corp</dc:title>
</cp:coreProperties>
</file>