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October 12, 2001</w:t>
      </w:r>
    </w:p>
    <w:p>
      <w:pPr>
        <w:pStyle w:val="Normal"/>
        <w:jc w:val="both"/>
        <w:rPr/>
      </w:pPr>
      <w:r>
        <w:rPr/>
      </w:r>
    </w:p>
    <w:p>
      <w:pPr>
        <w:pStyle w:val="BodyText"/>
        <w:jc w:val="both"/>
        <w:rPr/>
      </w:pPr>
      <w:r>
        <w:rPr/>
        <w:t>MEMORANDUM FOR STEVE KEAN</w:t>
      </w:r>
    </w:p>
    <w:p>
      <w:pPr>
        <w:pStyle w:val="BodyText"/>
        <w:jc w:val="both"/>
        <w:rPr/>
      </w:pPr>
      <w:r>
        <w:rPr/>
        <w:tab/>
        <w:tab/>
        <w:tab/>
        <w:tab/>
        <w:t>RICHARD SHAPIRO</w:t>
      </w:r>
    </w:p>
    <w:p>
      <w:pPr>
        <w:pStyle w:val="Normal"/>
        <w:jc w:val="both"/>
        <w:rPr/>
      </w:pPr>
      <w:r>
        <w:rPr/>
      </w:r>
    </w:p>
    <w:p>
      <w:pPr>
        <w:pStyle w:val="Normal"/>
        <w:jc w:val="both"/>
        <w:rPr/>
      </w:pPr>
      <w:r>
        <w:rPr>
          <w:b/>
        </w:rPr>
        <w:t>THROUGH</w:t>
      </w:r>
      <w:r>
        <w:rPr/>
        <w:t>:</w:t>
        <w:tab/>
        <w:tab/>
        <w:t>Linda L. Robertson</w:t>
      </w:r>
    </w:p>
    <w:p>
      <w:pPr>
        <w:pStyle w:val="Normal"/>
        <w:jc w:val="both"/>
        <w:rPr/>
      </w:pPr>
      <w:r>
        <w:rPr/>
      </w:r>
    </w:p>
    <w:p>
      <w:pPr>
        <w:pStyle w:val="Normal"/>
        <w:jc w:val="both"/>
        <w:rPr/>
      </w:pPr>
      <w:r>
        <w:rPr>
          <w:b/>
        </w:rPr>
        <w:t>FROM</w:t>
      </w:r>
      <w:r>
        <w:rPr/>
        <w:t>:</w:t>
        <w:tab/>
        <w:tab/>
        <w:t>Chris Long</w:t>
      </w:r>
    </w:p>
    <w:p>
      <w:pPr>
        <w:pStyle w:val="Normal"/>
        <w:jc w:val="both"/>
        <w:rPr/>
      </w:pPr>
      <w:r>
        <w:rPr/>
        <w:tab/>
        <w:tab/>
        <w:tab/>
        <w:t>Larry Decker</w:t>
      </w:r>
    </w:p>
    <w:p>
      <w:pPr>
        <w:pStyle w:val="Normal"/>
        <w:jc w:val="both"/>
        <w:rPr/>
      </w:pPr>
      <w:r>
        <w:rPr/>
      </w:r>
    </w:p>
    <w:p>
      <w:pPr>
        <w:pStyle w:val="Normal"/>
        <w:jc w:val="both"/>
        <w:rPr/>
      </w:pPr>
      <w:r>
        <w:rPr>
          <w:b/>
        </w:rPr>
        <w:t>CC</w:t>
      </w:r>
      <w:r>
        <w:rPr/>
        <w:t>:</w:t>
        <w:tab/>
        <w:tab/>
        <w:tab/>
        <w:t xml:space="preserve">Ed Coats, Vice President of Tax </w:t>
      </w:r>
    </w:p>
    <w:p>
      <w:pPr>
        <w:pStyle w:val="Normal"/>
        <w:jc w:val="both"/>
        <w:rPr/>
      </w:pPr>
      <w:r>
        <w:rPr/>
      </w:r>
    </w:p>
    <w:p>
      <w:pPr>
        <w:pStyle w:val="Normal"/>
        <w:jc w:val="both"/>
        <w:rPr/>
      </w:pPr>
      <w:r>
        <w:rPr>
          <w:b/>
        </w:rPr>
        <w:t>SUBJECT</w:t>
      </w:r>
      <w:r>
        <w:rPr/>
        <w:t>:</w:t>
        <w:tab/>
        <w:tab/>
        <w:t>Economic Stimulus Package</w:t>
      </w:r>
    </w:p>
    <w:p>
      <w:pPr>
        <w:pStyle w:val="Normal"/>
        <w:jc w:val="both"/>
        <w:rPr/>
      </w:pPr>
      <w:r>
        <w:rPr/>
      </w:r>
    </w:p>
    <w:p>
      <w:pPr>
        <w:pStyle w:val="Normal"/>
        <w:jc w:val="both"/>
        <w:rPr/>
      </w:pPr>
      <w:r>
        <w:rPr/>
      </w:r>
    </w:p>
    <w:p>
      <w:pPr>
        <w:pStyle w:val="Heading1"/>
        <w:ind w:hanging="0" w:start="0"/>
        <w:jc w:val="both"/>
        <w:rPr/>
      </w:pPr>
      <w:r>
        <w:rPr/>
        <w:t>BACKGROUND</w:t>
      </w:r>
    </w:p>
    <w:p>
      <w:pPr>
        <w:pStyle w:val="Normal"/>
        <w:jc w:val="both"/>
        <w:rPr/>
      </w:pPr>
      <w:r>
        <w:rPr/>
        <w:t>Earlier today and by a party-line vote, the House Ways and Means Committee marked up and favorably reported out of Committee, H.R. 3090, the Economic Security and Recovery Act of 2001.</w:t>
      </w:r>
    </w:p>
    <w:p>
      <w:pPr>
        <w:pStyle w:val="Normal"/>
        <w:jc w:val="both"/>
        <w:rPr/>
      </w:pPr>
      <w:r>
        <w:rPr/>
      </w:r>
    </w:p>
    <w:p>
      <w:pPr>
        <w:pStyle w:val="Normal"/>
        <w:jc w:val="both"/>
        <w:rPr/>
      </w:pPr>
      <w:r>
        <w:rPr/>
        <w:t>Since the terrorist attacks on September 11</w:t>
      </w:r>
      <w:r>
        <w:rPr>
          <w:vertAlign w:val="superscript"/>
        </w:rPr>
        <w:t>th</w:t>
      </w:r>
      <w:r>
        <w:rPr/>
        <w:t xml:space="preserve">, Congressional leaders and White House officials have been more aggressively considering a stimulus package designed to help spur domestic economic growth, and speed recovery from the current economic recession.  </w:t>
      </w:r>
    </w:p>
    <w:p>
      <w:pPr>
        <w:pStyle w:val="Normal"/>
        <w:jc w:val="both"/>
        <w:rPr/>
      </w:pPr>
      <w:r>
        <w:rPr/>
      </w:r>
    </w:p>
    <w:p>
      <w:pPr>
        <w:pStyle w:val="Normal"/>
        <w:jc w:val="both"/>
        <w:rPr/>
      </w:pPr>
      <w:r>
        <w:rPr/>
        <w:t>The President, House and Senate leadership, and the leaders of the House and Senate tax-writing committees vowed that the economic stimulus package would be a bipartisan bill.  The entire process, until yesterday, was being touted as a bipartisan, bicameral process.  Yesterday's final leadership meeting followed by today's markup proved otherwise, however, and we are now left with what will be a very partisan bill and subsequent partisan debate.</w:t>
      </w:r>
    </w:p>
    <w:p>
      <w:pPr>
        <w:pStyle w:val="Normal"/>
        <w:jc w:val="both"/>
        <w:rPr/>
      </w:pPr>
      <w:r>
        <w:rPr/>
      </w:r>
    </w:p>
    <w:p>
      <w:pPr>
        <w:pStyle w:val="Normal"/>
        <w:jc w:val="both"/>
        <w:rPr/>
      </w:pPr>
      <w:r>
        <w:rPr/>
        <w:t xml:space="preserve">Several weeks ago, the White House and Congressional leaders agreed upon a ballpark figure of $60-75 billion in additional economic surplus.  The bill that was marked up today contained proposals worth an estimated $100 billion.  The counteroffer from Ways and Means Democrats totaled nearly $120 billion, which included an increase in spending items, less tax credits for corporations, and a package that would provide a tax refund to individuals who were not eligible for a tax rebate earlier this year.  </w:t>
      </w:r>
    </w:p>
    <w:p>
      <w:pPr>
        <w:pStyle w:val="Normal"/>
        <w:jc w:val="both"/>
        <w:rPr/>
      </w:pPr>
      <w:r>
        <w:rPr/>
      </w:r>
    </w:p>
    <w:p>
      <w:pPr>
        <w:pStyle w:val="Normal"/>
        <w:jc w:val="both"/>
        <w:rPr/>
      </w:pPr>
      <w:r>
        <w:rPr/>
        <w:t>H.R. 3090 contains a number of provisions of importance to Enron, specifically, a repeal of the corporate Alternative Minimum Tax (AMT) (a more detailed description follows).  More specifically, the bill contains:</w:t>
      </w:r>
    </w:p>
    <w:p>
      <w:pPr>
        <w:pStyle w:val="Normal"/>
        <w:jc w:val="both"/>
        <w:rPr/>
      </w:pPr>
      <w:r>
        <w:rPr/>
      </w:r>
    </w:p>
    <w:p>
      <w:pPr>
        <w:pStyle w:val="Normal"/>
        <w:numPr>
          <w:ilvl w:val="0"/>
          <w:numId w:val="7"/>
        </w:numPr>
        <w:jc w:val="both"/>
        <w:rPr>
          <w:i/>
          <w:i/>
        </w:rPr>
      </w:pPr>
      <w:r>
        <w:rPr>
          <w:i/>
        </w:rPr>
        <w:t>Cost Recovery Provisions</w:t>
      </w:r>
    </w:p>
    <w:p>
      <w:pPr>
        <w:pStyle w:val="Normal"/>
        <w:numPr>
          <w:ilvl w:val="0"/>
          <w:numId w:val="5"/>
        </w:numPr>
        <w:tabs>
          <w:tab w:val="left" w:pos="720" w:leader="none"/>
        </w:tabs>
        <w:ind w:hanging="360" w:start="720" w:end="0"/>
        <w:jc w:val="both"/>
        <w:rPr/>
      </w:pPr>
      <w:r>
        <w:rPr/>
        <w:t xml:space="preserve">Includes special depreciation allowances for certain property, a temporary increase in Sec. 179 expensing, and deals with ways the tax code currently treats leasehold improvements. </w:t>
      </w:r>
    </w:p>
    <w:p>
      <w:pPr>
        <w:pStyle w:val="Normal"/>
        <w:jc w:val="both"/>
        <w:rPr/>
      </w:pPr>
      <w:r>
        <w:rPr/>
      </w:r>
    </w:p>
    <w:p>
      <w:pPr>
        <w:pStyle w:val="Normal"/>
        <w:numPr>
          <w:ilvl w:val="0"/>
          <w:numId w:val="8"/>
        </w:numPr>
        <w:jc w:val="both"/>
        <w:rPr>
          <w:i/>
          <w:i/>
        </w:rPr>
      </w:pPr>
      <w:r>
        <w:rPr>
          <w:i/>
        </w:rPr>
        <w:t>Net Operating Loss (NOL) Provisions</w:t>
      </w:r>
    </w:p>
    <w:p>
      <w:pPr>
        <w:pStyle w:val="Normal"/>
        <w:numPr>
          <w:ilvl w:val="0"/>
          <w:numId w:val="3"/>
        </w:numPr>
        <w:tabs>
          <w:tab w:val="left" w:pos="720" w:leader="none"/>
        </w:tabs>
        <w:ind w:hanging="360" w:start="720" w:end="0"/>
        <w:jc w:val="both"/>
        <w:rPr/>
      </w:pPr>
      <w:r>
        <w:rPr/>
        <w:t>Includes a five-year carryback of Net Operating Losses.</w:t>
      </w:r>
    </w:p>
    <w:p>
      <w:pPr>
        <w:pStyle w:val="Normal"/>
        <w:jc w:val="both"/>
        <w:rPr/>
      </w:pPr>
      <w:r>
        <w:rPr/>
      </w:r>
    </w:p>
    <w:p>
      <w:pPr>
        <w:pStyle w:val="Normal"/>
        <w:numPr>
          <w:ilvl w:val="0"/>
          <w:numId w:val="10"/>
        </w:numPr>
        <w:jc w:val="both"/>
        <w:rPr>
          <w:i/>
          <w:i/>
        </w:rPr>
      </w:pPr>
      <w:r>
        <w:rPr>
          <w:i/>
        </w:rPr>
        <w:t>Alternative Minimum Tax</w:t>
      </w:r>
    </w:p>
    <w:p>
      <w:pPr>
        <w:pStyle w:val="Normal"/>
        <w:numPr>
          <w:ilvl w:val="0"/>
          <w:numId w:val="9"/>
        </w:numPr>
        <w:tabs>
          <w:tab w:val="left" w:pos="720" w:leader="none"/>
        </w:tabs>
        <w:ind w:hanging="360" w:start="720" w:end="0"/>
        <w:jc w:val="both"/>
        <w:rPr/>
      </w:pPr>
      <w:r>
        <w:rPr/>
        <w:t>Includes repealing the Corporate Alternative Minimum Tax and making the AMT credit for corporations refundable.</w:t>
      </w:r>
    </w:p>
    <w:p>
      <w:pPr>
        <w:pStyle w:val="Normal"/>
        <w:jc w:val="both"/>
        <w:rPr/>
      </w:pPr>
      <w:r>
        <w:rPr/>
      </w:r>
    </w:p>
    <w:p>
      <w:pPr>
        <w:pStyle w:val="Normal"/>
        <w:numPr>
          <w:ilvl w:val="0"/>
          <w:numId w:val="6"/>
        </w:numPr>
        <w:jc w:val="both"/>
        <w:rPr>
          <w:i/>
          <w:i/>
        </w:rPr>
      </w:pPr>
      <w:r>
        <w:rPr>
          <w:i/>
        </w:rPr>
        <w:t>Deferral of Multinational Business Income</w:t>
      </w:r>
    </w:p>
    <w:p>
      <w:pPr>
        <w:pStyle w:val="Normal"/>
        <w:numPr>
          <w:ilvl w:val="0"/>
          <w:numId w:val="11"/>
        </w:numPr>
        <w:tabs>
          <w:tab w:val="left" w:pos="720" w:leader="none"/>
        </w:tabs>
        <w:ind w:hanging="360" w:start="720" w:end="0"/>
        <w:jc w:val="both"/>
        <w:rPr/>
      </w:pPr>
      <w:r>
        <w:rPr/>
        <w:t>Includes extending exceptions under Subpart F (IRC) for active finance income.</w:t>
      </w:r>
    </w:p>
    <w:p>
      <w:pPr>
        <w:pStyle w:val="Normal"/>
        <w:jc w:val="both"/>
        <w:rPr/>
      </w:pPr>
      <w:r>
        <w:rPr/>
      </w:r>
    </w:p>
    <w:p>
      <w:pPr>
        <w:pStyle w:val="Normal"/>
        <w:numPr>
          <w:ilvl w:val="0"/>
          <w:numId w:val="12"/>
        </w:numPr>
        <w:jc w:val="both"/>
        <w:rPr>
          <w:i/>
          <w:i/>
        </w:rPr>
      </w:pPr>
      <w:r>
        <w:rPr>
          <w:i/>
        </w:rPr>
        <w:t>Provisions Affecting Individual Taxpayers</w:t>
      </w:r>
    </w:p>
    <w:p>
      <w:pPr>
        <w:pStyle w:val="Normal"/>
        <w:numPr>
          <w:ilvl w:val="0"/>
          <w:numId w:val="4"/>
        </w:numPr>
        <w:tabs>
          <w:tab w:val="left" w:pos="720" w:leader="none"/>
        </w:tabs>
        <w:ind w:hanging="360" w:start="720" w:end="0"/>
        <w:jc w:val="both"/>
        <w:rPr/>
      </w:pPr>
      <w:r>
        <w:rPr/>
        <w:t>Includes a supplemental rebate, an exemption of the AMT for individuals, and increase of deduction of capital losses, and a means to simplify individual capital gains rates.</w:t>
      </w:r>
    </w:p>
    <w:p>
      <w:pPr>
        <w:pStyle w:val="Normal"/>
        <w:jc w:val="both"/>
        <w:rPr/>
      </w:pPr>
      <w:r>
        <w:rPr/>
      </w:r>
    </w:p>
    <w:p>
      <w:pPr>
        <w:pStyle w:val="Normal"/>
        <w:numPr>
          <w:ilvl w:val="0"/>
          <w:numId w:val="2"/>
        </w:numPr>
        <w:jc w:val="both"/>
        <w:rPr/>
      </w:pPr>
      <w:r>
        <w:rPr/>
        <w:t>Additionally, the measure includes provisions to extend by two-years current provisions set to expire in 2001.</w:t>
      </w:r>
    </w:p>
    <w:p>
      <w:pPr>
        <w:pStyle w:val="Normal"/>
        <w:jc w:val="both"/>
        <w:rPr/>
      </w:pPr>
      <w:r>
        <w:rPr/>
      </w:r>
    </w:p>
    <w:p>
      <w:pPr>
        <w:pStyle w:val="Normal"/>
        <w:jc w:val="both"/>
        <w:rPr>
          <w:b/>
        </w:rPr>
      </w:pPr>
      <w:r>
        <w:rPr>
          <w:b/>
        </w:rPr>
        <w:t xml:space="preserve">Corporate AMT Repeal </w:t>
      </w:r>
    </w:p>
    <w:p>
      <w:pPr>
        <w:pStyle w:val="Normal"/>
        <w:jc w:val="both"/>
        <w:rPr/>
      </w:pPr>
      <w:r>
        <w:rPr/>
        <w:t xml:space="preserve">As you know, corporate AMT repeal has been a major objective of Enron for the past several years.  Enron currently chairs the National Association of Manufacturers' (NAM) Coalition for Corporate Alternative Minimum Tax Repeal.  </w:t>
      </w:r>
    </w:p>
    <w:p>
      <w:pPr>
        <w:pStyle w:val="Normal"/>
        <w:jc w:val="both"/>
        <w:rPr/>
      </w:pPr>
      <w:r>
        <w:rPr/>
      </w:r>
    </w:p>
    <w:p>
      <w:pPr>
        <w:pStyle w:val="Normal"/>
        <w:jc w:val="both"/>
        <w:rPr/>
      </w:pPr>
      <w:r>
        <w:rPr/>
        <w:t>In general, present law imposes an alternative minimum tax on a corporate to the extent that the corporation's tentative minimum tax exceeds its regular tax.  This tentative minimum tax is computed at the rate of 20 percent on the alternative minimum taxable income (AMTI).</w:t>
      </w:r>
    </w:p>
    <w:p>
      <w:pPr>
        <w:pStyle w:val="Normal"/>
        <w:jc w:val="both"/>
        <w:rPr/>
      </w:pPr>
      <w:r>
        <w:rPr/>
      </w:r>
    </w:p>
    <w:p>
      <w:pPr>
        <w:pStyle w:val="Normal"/>
        <w:jc w:val="both"/>
        <w:rPr/>
      </w:pPr>
      <w:r>
        <w:rPr/>
        <w:t>AMTI is the taxpayer's taxable income increased by certain preference items and adjusted by determining the tax treatment of certain items in a manner that negates the deferral of income resulting from the regular tax treatment of those items.</w:t>
      </w:r>
    </w:p>
    <w:p>
      <w:pPr>
        <w:pStyle w:val="Normal"/>
        <w:jc w:val="both"/>
        <w:rPr/>
      </w:pPr>
      <w:r>
        <w:rPr/>
      </w:r>
    </w:p>
    <w:p>
      <w:pPr>
        <w:pStyle w:val="Normal"/>
        <w:jc w:val="both"/>
        <w:rPr/>
      </w:pPr>
      <w:r>
        <w:rPr/>
        <w:t xml:space="preserve">Enron has been subject to the Corporate AMT primarily as a combination of our net operating loss carryover and foreign tax credits which cannot reduce our liability by more than 90 percent of the amount determined without these items.  Additional various nonrefundable business credits allowed under the regular tax are generally not allowed against the AMT.  We currently have over $280 million in alternative minimum tax credits, which we would be able to use if the vehicle that will repeal the corporate AMT is repealed and the tax credits refundable.  The proposal would apply to taxable years beginning after December 31, 2000. </w:t>
      </w:r>
    </w:p>
    <w:p>
      <w:pPr>
        <w:pStyle w:val="Normal"/>
        <w:jc w:val="both"/>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bC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288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2001-10-12T10:50:00Z</dcterms:created>
  <dc:creator>ldecker2</dc:creator>
  <dc:description/>
  <dc:language>en-CA</dc:language>
  <cp:lastModifiedBy>clong</cp:lastModifiedBy>
  <dcterms:modified xsi:type="dcterms:W3CDTF">2001-10-12T19:47:00Z</dcterms:modified>
  <cp:revision>3</cp:revision>
  <dc:subject/>
  <dc:title/>
</cp:coreProperties>
</file>