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0" w:after="0"/>
        <w:jc w:val="center"/>
        <w:rPr>
          <w:rFonts w:ascii="Arial" w:hAnsi="Arial" w:cs="Arial"/>
          <w:b/>
          <w:color w:val="000000"/>
          <w:sz w:val="32"/>
        </w:rPr>
      </w:pPr>
      <w:r>
        <w:rPr>
          <w:rFonts w:cs="Arial" w:ascii="Arial" w:hAnsi="Arial"/>
          <w:b/>
          <w:color w:val="000000"/>
          <w:sz w:val="32"/>
        </w:rPr>
        <w:t>Electronic Scheduling Collaborative (ESC)</w:t>
      </w:r>
    </w:p>
    <w:p>
      <w:pPr>
        <w:pStyle w:val="Heading5"/>
        <w:ind w:hanging="0" w:start="0"/>
        <w:rPr>
          <w:rFonts w:ascii="Arial" w:hAnsi="Arial" w:cs="Arial"/>
          <w:b w:val="false"/>
          <w:color w:val="000000"/>
          <w:sz w:val="28"/>
        </w:rPr>
      </w:pPr>
      <w:r>
        <w:rPr>
          <w:rFonts w:cs="Arial" w:ascii="Arial" w:hAnsi="Arial"/>
          <w:color w:val="000000"/>
          <w:sz w:val="32"/>
        </w:rPr>
        <w:t>Scheduling and Approval Practices</w:t>
      </w:r>
    </w:p>
    <w:p>
      <w:pPr>
        <w:pStyle w:val="Normal"/>
        <w:autoSpaceDE w:val="false"/>
        <w:spacing w:before="0" w:after="0"/>
        <w:rPr>
          <w:rFonts w:ascii="Arial" w:hAnsi="Arial" w:cs="Arial"/>
          <w:b/>
          <w:color w:val="000000"/>
          <w:sz w:val="28"/>
        </w:rPr>
      </w:pPr>
      <w:r>
        <w:rPr>
          <w:rFonts w:cs="Arial" w:ascii="Arial" w:hAnsi="Arial"/>
          <w:b/>
          <w:color w:val="000000"/>
          <w:sz w:val="28"/>
        </w:rPr>
      </w:r>
    </w:p>
    <w:p>
      <w:pPr>
        <w:pStyle w:val="Heading1"/>
        <w:autoSpaceDE w:val="false"/>
        <w:spacing w:before="0" w:after="0"/>
        <w:ind w:hanging="0" w:start="0"/>
        <w:rPr>
          <w:kern w:val="0"/>
        </w:rPr>
      </w:pPr>
      <w:r>
        <w:rPr>
          <w:kern w:val="0"/>
        </w:rPr>
        <w:t>I) Overview of Current Work</w:t>
      </w:r>
    </w:p>
    <w:p>
      <w:pPr>
        <w:pStyle w:val="Normal"/>
        <w:autoSpaceDE w:val="false"/>
        <w:spacing w:before="0" w:after="0"/>
        <w:rPr>
          <w:rFonts w:ascii="Arial" w:hAnsi="Arial" w:cs="Arial"/>
          <w:kern w:val="0"/>
          <w:sz w:val="28"/>
        </w:rPr>
      </w:pPr>
      <w:r>
        <w:rPr>
          <w:rFonts w:cs="Arial" w:ascii="Arial" w:hAnsi="Arial"/>
          <w:kern w:val="0"/>
          <w:sz w:val="28"/>
        </w:rPr>
      </w:r>
    </w:p>
    <w:p>
      <w:pPr>
        <w:pStyle w:val="Heading31"/>
        <w:keepNext w:val="false"/>
        <w:autoSpaceDE w:val="false"/>
        <w:spacing w:before="0" w:after="0"/>
        <w:rPr>
          <w:rFonts w:ascii="Times New Roman" w:hAnsi="Times New Roman" w:cs="Times New Roman"/>
        </w:rPr>
      </w:pPr>
      <w:r>
        <w:rPr>
          <w:rFonts w:cs="Times New Roman" w:ascii="Times New Roman" w:hAnsi="Times New Roman"/>
        </w:rPr>
        <w:t xml:space="preserve">This paper includes a compilation of the work of the Scheduling Process, Approval, Schedule Timing, Granularity and Ramping Task Groups.  As discussed in the May 8-9 ESC meeting, these groups related and overlapped to the extent that individual papers were not found feasible. </w:t>
      </w:r>
    </w:p>
    <w:p>
      <w:pPr>
        <w:pStyle w:val="Heading31"/>
        <w:keepNext w:val="false"/>
        <w:autoSpaceDE w:val="false"/>
        <w:spacing w:before="0" w:after="0"/>
        <w:rPr>
          <w:rFonts w:ascii="Times New Roman" w:hAnsi="Times New Roman" w:cs="Times New Roman"/>
        </w:rPr>
      </w:pPr>
      <w:r>
        <w:rPr>
          <w:rFonts w:cs="Times New Roman" w:ascii="Times New Roman" w:hAnsi="Times New Roman"/>
        </w:rPr>
      </w:r>
    </w:p>
    <w:p>
      <w:pPr>
        <w:pStyle w:val="Heading31"/>
        <w:keepNext w:val="false"/>
        <w:autoSpaceDE w:val="false"/>
        <w:spacing w:before="0" w:after="0"/>
        <w:rPr>
          <w:rFonts w:ascii="Times New Roman" w:hAnsi="Times New Roman" w:cs="Times New Roman"/>
        </w:rPr>
      </w:pPr>
      <w:r>
        <w:rPr>
          <w:rFonts w:cs="Times New Roman" w:ascii="Times New Roman" w:hAnsi="Times New Roman"/>
        </w:rPr>
        <w:t>Scheduling Process: Our goal is to obtain a straightforward and efficient method of implementing new schedules and modifications/adjustments to existing schedules under operation scenarios.  The Scheduling Process Task Group will recommend standardization in the business process for requesting and approving schedules in different regions.  The goal will be accomplished without compromising reliability or the market transactional process.</w:t>
      </w:r>
    </w:p>
    <w:p>
      <w:pPr>
        <w:pStyle w:val="Normal"/>
        <w:rPr>
          <w:rFonts w:ascii="Times New Roman" w:hAnsi="Times New Roman" w:cs="Times New Roman"/>
          <w:sz w:val="24"/>
        </w:rPr>
      </w:pPr>
      <w:r>
        <w:rPr>
          <w:rFonts w:cs="Times New Roman"/>
          <w:sz w:val="24"/>
        </w:rPr>
      </w:r>
    </w:p>
    <w:p>
      <w:pPr>
        <w:pStyle w:val="Normal"/>
        <w:rPr>
          <w:sz w:val="24"/>
        </w:rPr>
      </w:pPr>
      <w:r>
        <w:rPr>
          <w:sz w:val="24"/>
        </w:rPr>
        <w:t xml:space="preserve">Schedule Approval: </w:t>
      </w:r>
    </w:p>
    <w:p>
      <w:pPr>
        <w:pStyle w:val="Normal"/>
        <w:rPr>
          <w:sz w:val="24"/>
        </w:rPr>
      </w:pPr>
      <w:r>
        <w:rPr>
          <w:sz w:val="24"/>
        </w:rPr>
        <w:t>Schedule Timing: The goal is to provide a simple and equitable set of guidelines to facilitate the reliable and economic scheduling of transactions.</w:t>
      </w:r>
    </w:p>
    <w:p>
      <w:pPr>
        <w:pStyle w:val="Normal"/>
        <w:rPr>
          <w:sz w:val="24"/>
        </w:rPr>
      </w:pPr>
      <w:r>
        <w:rPr>
          <w:sz w:val="24"/>
        </w:rPr>
        <w:t>Schedule Granularity: The goal is to provide standard intervals during which interchange can conveniently be adjusted to meet market needs.</w:t>
      </w:r>
    </w:p>
    <w:p>
      <w:pPr>
        <w:pStyle w:val="Normal"/>
        <w:rPr>
          <w:sz w:val="24"/>
        </w:rPr>
      </w:pPr>
      <w:r>
        <w:rPr>
          <w:sz w:val="24"/>
        </w:rPr>
        <w:t>Ramping: The goal is to provide a uniform standard for when ramp starts, how long it takes, how it might be accounted, and a suggested practice to avoid the penalization of participants reacting to reliability issues.</w:t>
      </w:r>
    </w:p>
    <w:p>
      <w:pPr>
        <w:pStyle w:val="Normal"/>
        <w:autoSpaceDE w:val="false"/>
        <w:spacing w:before="0" w:after="0"/>
        <w:rPr>
          <w:rFonts w:ascii="Arial" w:hAnsi="Arial" w:cs="Arial"/>
          <w:color w:val="0000FF"/>
          <w:sz w:val="28"/>
        </w:rPr>
      </w:pPr>
      <w:r>
        <w:rPr>
          <w:rFonts w:cs="Arial" w:ascii="Arial" w:hAnsi="Arial"/>
          <w:color w:val="0000FF"/>
          <w:sz w:val="28"/>
        </w:rPr>
      </w:r>
    </w:p>
    <w:p>
      <w:pPr>
        <w:pStyle w:val="Normal"/>
        <w:autoSpaceDE w:val="false"/>
        <w:spacing w:before="0" w:after="0"/>
        <w:rPr>
          <w:rFonts w:ascii="Arial" w:hAnsi="Arial" w:cs="Arial"/>
          <w:b/>
          <w:color w:val="0000FF"/>
          <w:sz w:val="28"/>
        </w:rPr>
      </w:pPr>
      <w:r>
        <w:rPr>
          <w:rFonts w:cs="Arial" w:ascii="Arial" w:hAnsi="Arial"/>
          <w:b/>
          <w:color w:val="0000FF"/>
          <w:sz w:val="28"/>
        </w:rPr>
      </w:r>
    </w:p>
    <w:p>
      <w:pPr>
        <w:pStyle w:val="Heading6"/>
        <w:ind w:hanging="0" w:start="0"/>
        <w:rPr>
          <w:b/>
          <w:color w:val="000000"/>
        </w:rPr>
      </w:pPr>
      <w:r>
        <w:rPr>
          <w:b/>
          <w:color w:val="000000"/>
          <w:rPrChange w:id="0" w:author="ADVENA" w:date="2001-05-08T14:41:00Z"/>
        </w:rPr>
        <w:t>III</w:t>
      </w:r>
      <w:r>
        <w:rPr>
          <w:b/>
          <w:color w:val="000000"/>
          <w:rPrChange w:id="0" w:author="Unknown" w:date="0-00-00T00:00:00Z"/>
        </w:rPr>
        <w:t>) Proposal</w:t>
        <w:rPrChange w:id="0" w:author="ADVENA" w:date="2001-05-08T14:41:00Z"/>
      </w:r>
    </w:p>
    <w:p>
      <w:pPr>
        <w:pStyle w:val="Heading6"/>
        <w:ind w:hanging="0" w:start="0"/>
        <w:rPr/>
      </w:pPr>
      <w:r>
        <w:rPr>
          <w:rPrChange w:id="0" w:author="Unknown" w:date="0-00-00T00:00:00Z"/>
        </w:rPr>
        <w:t>Scheduling Process:</w:t>
      </w:r>
    </w:p>
    <w:p>
      <w:pPr>
        <w:pStyle w:val="Heading8"/>
        <w:rPr/>
      </w:pPr>
      <w:r>
        <w:rPr/>
        <w:t>General Requirements</w:t>
      </w:r>
    </w:p>
    <w:p>
      <w:pPr>
        <w:pStyle w:val="Normal"/>
        <w:numPr>
          <w:ilvl w:val="0"/>
          <w:numId w:val="4"/>
        </w:numPr>
        <w:tabs>
          <w:tab w:val="clear" w:pos="720"/>
          <w:tab w:val="left" w:pos="1080" w:leader="none"/>
        </w:tabs>
        <w:ind w:hanging="360" w:start="1080" w:end="0"/>
        <w:rPr>
          <w:sz w:val="24"/>
        </w:rPr>
      </w:pPr>
      <w:r>
        <w:rPr>
          <w:sz w:val="24"/>
        </w:rPr>
        <w:t>Transactions can be made either on the basis of an individual generator (resource specific offer) or an aggregate of generation supply (which may require multiple frags in some regions).  Slice of system generation supply requires only one frag.</w:t>
      </w:r>
    </w:p>
    <w:p>
      <w:pPr>
        <w:pStyle w:val="Normal"/>
        <w:numPr>
          <w:ilvl w:val="0"/>
          <w:numId w:val="4"/>
        </w:numPr>
        <w:tabs>
          <w:tab w:val="clear" w:pos="720"/>
          <w:tab w:val="left" w:pos="1080" w:leader="none"/>
        </w:tabs>
        <w:ind w:hanging="360" w:start="1080" w:end="0"/>
        <w:rPr>
          <w:rFonts w:ascii="Times-Roman" w:hAnsi="Times-Roman" w:cs="Times-Roman"/>
          <w:sz w:val="24"/>
        </w:rPr>
      </w:pPr>
      <w:r>
        <w:rPr>
          <w:rFonts w:cs="Times-Roman" w:ascii="Times-Roman" w:hAnsi="Times-Roman"/>
          <w:sz w:val="24"/>
        </w:rPr>
        <w:t>A Participant must be in possession of the power to deliver it to another participant.</w:t>
      </w:r>
    </w:p>
    <w:p>
      <w:pPr>
        <w:pStyle w:val="Normal"/>
        <w:numPr>
          <w:ilvl w:val="0"/>
          <w:numId w:val="4"/>
        </w:numPr>
        <w:tabs>
          <w:tab w:val="clear" w:pos="720"/>
          <w:tab w:val="left" w:pos="1080" w:leader="none"/>
        </w:tabs>
        <w:ind w:hanging="360" w:start="1080" w:end="0"/>
        <w:rPr>
          <w:rFonts w:ascii="Times-Roman" w:hAnsi="Times-Roman" w:cs="Times-Roman"/>
          <w:sz w:val="24"/>
        </w:rPr>
      </w:pPr>
      <w:r>
        <w:rPr>
          <w:rFonts w:cs="Times-Roman" w:ascii="Times-Roman" w:hAnsi="Times-Roman"/>
          <w:sz w:val="24"/>
        </w:rPr>
        <w:t>Transactions scheduled for delivery to native load must be approved by the Market Participant that reserved the Transmission Service and the LSE.</w:t>
      </w:r>
    </w:p>
    <w:p>
      <w:pPr>
        <w:pStyle w:val="Normal"/>
        <w:numPr>
          <w:ilvl w:val="0"/>
          <w:numId w:val="4"/>
        </w:numPr>
        <w:tabs>
          <w:tab w:val="clear" w:pos="720"/>
          <w:tab w:val="left" w:pos="1080" w:leader="none"/>
        </w:tabs>
        <w:ind w:hanging="360" w:start="1080" w:end="0"/>
        <w:rPr/>
      </w:pPr>
      <w:r>
        <w:rPr>
          <w:rFonts w:cs="Times-Roman" w:ascii="Times-Roman" w:hAnsi="Times-Roman"/>
          <w:sz w:val="24"/>
        </w:rPr>
        <w:t>A transaction is not valid if the ultimate source and sink are identical.  Example: AP-AEP-FE-AP.</w:t>
      </w:r>
    </w:p>
    <w:p>
      <w:pPr>
        <w:pStyle w:val="Normal"/>
        <w:numPr>
          <w:ilvl w:val="0"/>
          <w:numId w:val="22"/>
        </w:numPr>
        <w:tabs>
          <w:tab w:val="clear" w:pos="720"/>
          <w:tab w:val="left" w:pos="1080" w:leader="none"/>
        </w:tabs>
        <w:ind w:hanging="360" w:start="1080" w:end="0"/>
        <w:rPr/>
      </w:pPr>
      <w:r>
        <w:rPr>
          <w:rFonts w:cs="Times-Roman" w:ascii="Times-Roman" w:hAnsi="Times-Roman"/>
          <w:sz w:val="24"/>
        </w:rPr>
        <w:t>Transactions are subject to RTO scheduling rules put in place to maintain reliability.  Example: NY delta net interchange, transfer limit.</w:t>
      </w:r>
    </w:p>
    <w:p>
      <w:pPr>
        <w:pStyle w:val="Normal"/>
        <w:numPr>
          <w:ilvl w:val="0"/>
          <w:numId w:val="3"/>
        </w:numPr>
        <w:tabs>
          <w:tab w:val="clear" w:pos="720"/>
          <w:tab w:val="left" w:pos="1080" w:leader="none"/>
        </w:tabs>
        <w:ind w:hanging="360" w:start="1080" w:end="0"/>
        <w:rPr/>
      </w:pPr>
      <w:r>
        <w:rPr>
          <w:rFonts w:cs="Times-Roman" w:ascii="Times-Roman" w:hAnsi="Times-Roman"/>
          <w:sz w:val="24"/>
        </w:rPr>
        <w:t>Transactions not properly submitted are rejected. The Market Participant is notified of the reason for rejection and the Market Participant may then take action to submit a new request.  The request is subject to the standard timing requirements for a new request.</w:t>
      </w:r>
    </w:p>
    <w:p>
      <w:pPr>
        <w:pStyle w:val="Normal"/>
        <w:numPr>
          <w:ilvl w:val="0"/>
          <w:numId w:val="3"/>
        </w:numPr>
        <w:tabs>
          <w:tab w:val="clear" w:pos="720"/>
          <w:tab w:val="left" w:pos="1080" w:leader="none"/>
        </w:tabs>
        <w:ind w:hanging="360" w:start="1080" w:end="0"/>
        <w:rPr/>
      </w:pPr>
      <w:r>
        <w:rPr>
          <w:rFonts w:cs="Times-Roman" w:ascii="Times-Roman" w:hAnsi="Times-Roman"/>
          <w:sz w:val="24"/>
        </w:rPr>
        <w:t>Scheduling to/ from a generator, bus, hub or zone is valid.  The detail required to schedule may differ regionally.</w:t>
      </w:r>
    </w:p>
    <w:p>
      <w:pPr>
        <w:pStyle w:val="Heading8"/>
        <w:rPr/>
      </w:pPr>
      <w:r>
        <w:rPr/>
        <w:t xml:space="preserve">General Concepts </w:t>
      </w:r>
    </w:p>
    <w:p>
      <w:pPr>
        <w:pStyle w:val="Heading9"/>
        <w:ind w:start="1440" w:end="0"/>
        <w:rPr/>
      </w:pPr>
      <w:r>
        <w:rPr/>
        <w:t>Request for a schedule fragment (frag)</w:t>
      </w:r>
    </w:p>
    <w:p>
      <w:pPr>
        <w:pStyle w:val="Normal"/>
        <w:ind w:start="720" w:end="0"/>
        <w:jc w:val="both"/>
        <w:rPr>
          <w:sz w:val="24"/>
        </w:rPr>
      </w:pPr>
      <w:r>
        <w:rPr>
          <w:sz w:val="24"/>
        </w:rPr>
        <w:t>The Market Participant creates a frag to be evaluated by the Provider(s) of Transmission (POT), RTO(s), Gen. Co. and/or Load Serving Entity (LSE).  The appropriate parties are those in the contract path for the specific frag.  A frag may be a generation position, a transmission segment, a load, or a Market Turn.  A frag may span multiple RTOs provided the “owner” does not change.</w:t>
      </w:r>
    </w:p>
    <w:p>
      <w:pPr>
        <w:pStyle w:val="Heading9"/>
        <w:ind w:start="1440" w:end="0"/>
        <w:rPr/>
      </w:pPr>
      <w:r>
        <w:rPr/>
        <w:t>Request for modification to a frag before it is part of a composite transaction</w:t>
      </w:r>
    </w:p>
    <w:p>
      <w:pPr>
        <w:pStyle w:val="Normal"/>
        <w:ind w:start="720" w:end="0"/>
        <w:jc w:val="both"/>
        <w:rPr>
          <w:sz w:val="24"/>
        </w:rPr>
      </w:pPr>
      <w:r>
        <w:rPr>
          <w:sz w:val="24"/>
        </w:rPr>
        <w:t>A request for modification to a frag may only be initiated by the “owner” company of the frag (or agent party with the appropriate certificate).</w:t>
      </w:r>
    </w:p>
    <w:p>
      <w:pPr>
        <w:pStyle w:val="Heading9"/>
        <w:ind w:start="1440" w:end="0"/>
        <w:rPr/>
      </w:pPr>
      <w:r>
        <w:rPr/>
        <w:t>Request to withdrawal a frag before it is part of a composite transaction</w:t>
      </w:r>
    </w:p>
    <w:p>
      <w:pPr>
        <w:pStyle w:val="Normal"/>
        <w:ind w:start="720" w:end="0"/>
        <w:jc w:val="both"/>
        <w:rPr>
          <w:sz w:val="24"/>
        </w:rPr>
      </w:pPr>
      <w:r>
        <w:rPr>
          <w:sz w:val="24"/>
        </w:rPr>
        <w:t>A frag can be withdrawn any time prior to its approval by the RTO.  The Schedule Timing Task Group will address when specific events may occur.</w:t>
      </w:r>
    </w:p>
    <w:p>
      <w:pPr>
        <w:pStyle w:val="Heading9"/>
        <w:ind w:start="1440" w:end="0"/>
        <w:rPr/>
      </w:pPr>
      <w:r>
        <w:rPr/>
        <w:t>Request to modify or withdrawal a frag after it is part of a composite transaction</w:t>
      </w:r>
    </w:p>
    <w:p>
      <w:pPr>
        <w:pStyle w:val="Normal"/>
        <w:ind w:start="720" w:end="0"/>
        <w:jc w:val="both"/>
        <w:rPr>
          <w:sz w:val="24"/>
        </w:rPr>
      </w:pPr>
      <w:r>
        <w:rPr>
          <w:sz w:val="24"/>
        </w:rPr>
        <w:t>A composite transaction, or simply transaction, is a complete compilation of frags from source to sink.  The transaction may be modified by adding, removing or modifying frags.  For the purpose of approval, any of these modifications affect the TP and RTO and possibly the Gen. Co. or LSE in the region of that frag.  Frags for other regions, even if part of the same composite schedule, are not affected when a single frag within the transaction is modified.  The composite status of the transaction will regress to an earlier status if already approved.</w:t>
      </w:r>
    </w:p>
    <w:p>
      <w:pPr>
        <w:pStyle w:val="Normal"/>
        <w:ind w:start="720" w:end="0"/>
        <w:jc w:val="both"/>
        <w:rPr>
          <w:sz w:val="24"/>
        </w:rPr>
      </w:pPr>
      <w:r>
        <w:rPr>
          <w:sz w:val="24"/>
        </w:rPr>
        <w:t>The rejection of a modified or adjusted frag will not invalidate the previous and shall not affect the status of the transaction.</w:t>
      </w:r>
    </w:p>
    <w:p>
      <w:pPr>
        <w:pStyle w:val="Heading9"/>
        <w:rPr/>
      </w:pPr>
      <w:r>
        <w:rPr/>
        <w:t>Request for new composite transaction after it is part of a composite transaction</w:t>
      </w:r>
    </w:p>
    <w:p>
      <w:pPr>
        <w:pStyle w:val="Normal"/>
        <w:ind w:start="720" w:end="0"/>
        <w:jc w:val="both"/>
        <w:rPr>
          <w:sz w:val="24"/>
        </w:rPr>
      </w:pPr>
      <w:r>
        <w:rPr>
          <w:sz w:val="24"/>
        </w:rPr>
        <w:t xml:space="preserve">This should be the automatic result of the approval of all frags.  The approval of the source and sink frags, as marked by the Gen. Co. and LSE, and all intermediary frags will result in the automatic approval of the composite transaction.  </w:t>
      </w:r>
    </w:p>
    <w:p>
      <w:pPr>
        <w:pStyle w:val="Heading8"/>
        <w:rPr/>
      </w:pPr>
      <w:r>
        <w:rPr/>
        <w:t>Upon this modification, the frag must be re-approved by the TP and RTO. Recommended Scheduling Process for a Normal Transaction.</w:t>
      </w:r>
    </w:p>
    <w:p>
      <w:pPr>
        <w:pStyle w:val="Normal"/>
        <w:ind w:start="720" w:end="0"/>
        <w:rPr>
          <w:sz w:val="24"/>
        </w:rPr>
      </w:pPr>
      <w:r>
        <w:rPr>
          <w:sz w:val="24"/>
        </w:rPr>
        <w:t>See Process Flow on next page to accompany these descriptions.</w:t>
      </w:r>
    </w:p>
    <w:p>
      <w:pPr>
        <w:pStyle w:val="Heading9"/>
        <w:rPr/>
      </w:pPr>
      <w:r>
        <w:rPr/>
        <w:t>Deal</w:t>
      </w:r>
    </w:p>
    <w:p>
      <w:pPr>
        <w:pStyle w:val="Normal"/>
        <w:ind w:start="720" w:end="0"/>
        <w:rPr>
          <w:sz w:val="24"/>
        </w:rPr>
      </w:pPr>
      <w:r>
        <w:rPr>
          <w:sz w:val="24"/>
        </w:rPr>
        <w:t>Market Participants work negotiate a deal or simply create a frag for a potential deal.</w:t>
      </w:r>
    </w:p>
    <w:p>
      <w:pPr>
        <w:pStyle w:val="Heading9"/>
        <w:rPr/>
      </w:pPr>
      <w:r>
        <w:rPr/>
        <w:t>Frags</w:t>
      </w:r>
    </w:p>
    <w:p>
      <w:pPr>
        <w:pStyle w:val="Normal"/>
        <w:ind w:start="720" w:end="0"/>
        <w:rPr/>
      </w:pPr>
      <w:r>
        <w:rPr/>
        <w:t>Remark:  Frags do not have to be linked, to be approved.  Approval may be made prior to the linking of any frags, after a complete transaction is linked from source to sink, or at any point in between.</w:t>
      </w:r>
    </w:p>
    <w:p>
      <w:pPr>
        <w:pStyle w:val="Normal"/>
        <w:numPr>
          <w:ilvl w:val="0"/>
          <w:numId w:val="10"/>
        </w:numPr>
        <w:tabs>
          <w:tab w:val="clear" w:pos="720"/>
          <w:tab w:val="left" w:pos="1080" w:leader="none"/>
        </w:tabs>
        <w:ind w:hanging="360" w:start="1080" w:end="0"/>
        <w:rPr/>
      </w:pPr>
      <w:r>
        <w:rPr/>
        <w:t xml:space="preserve">There are four frag types, as explained in the schedule composition paper.  </w:t>
      </w:r>
    </w:p>
    <w:p>
      <w:pPr>
        <w:pStyle w:val="Normal"/>
        <w:numPr>
          <w:ilvl w:val="0"/>
          <w:numId w:val="10"/>
        </w:numPr>
        <w:tabs>
          <w:tab w:val="clear" w:pos="720"/>
          <w:tab w:val="left" w:pos="1440" w:leader="none"/>
        </w:tabs>
        <w:ind w:hanging="360" w:start="1440" w:end="0"/>
        <w:rPr/>
      </w:pPr>
      <w:r>
        <w:rPr/>
        <w:t>Gen. Frag: Represents generation from a unit or system.  A gen. frag can be linked directly to Ts Frags or Mkt Frags, not Load Frags or other Gen. Frags.  Gen. Frags must be linked to at least one downstream transaction to be part of a complete transaction.</w:t>
      </w:r>
    </w:p>
    <w:p>
      <w:pPr>
        <w:pStyle w:val="Normal"/>
        <w:numPr>
          <w:ilvl w:val="0"/>
          <w:numId w:val="10"/>
        </w:numPr>
        <w:tabs>
          <w:tab w:val="clear" w:pos="720"/>
          <w:tab w:val="left" w:pos="1440" w:leader="none"/>
        </w:tabs>
        <w:ind w:hanging="360" w:start="1440" w:end="0"/>
        <w:rPr/>
      </w:pPr>
      <w:r>
        <w:rPr/>
        <w:t>Ts Frags: represent the use of transmission rights as appropriated on an OASIS reservation.  Ts Frags can be linked to any other frags. Ts Frags must be linked to at least two other frags, one up stream and one downstream to be part of a complete transaction.</w:t>
      </w:r>
    </w:p>
    <w:p>
      <w:pPr>
        <w:pStyle w:val="Normal"/>
        <w:numPr>
          <w:ilvl w:val="0"/>
          <w:numId w:val="10"/>
        </w:numPr>
        <w:tabs>
          <w:tab w:val="clear" w:pos="720"/>
          <w:tab w:val="left" w:pos="1440" w:leader="none"/>
        </w:tabs>
        <w:ind w:hanging="360" w:start="1440" w:end="0"/>
        <w:rPr/>
      </w:pPr>
      <w:r>
        <w:rPr/>
        <w:t>Mkt Frags: Represent market turns.  Mkt Frags can be linked to any other frags.  Mkt Frags must be linked to at least two other frags, one upstream and one downstream to be part of a complete transaction.  A market frag may be modified to become a gen. or load frag.</w:t>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numPr>
          <w:ilvl w:val="0"/>
          <w:numId w:val="10"/>
        </w:numPr>
        <w:tabs>
          <w:tab w:val="clear" w:pos="720"/>
          <w:tab w:val="left" w:pos="1440" w:leader="none"/>
        </w:tabs>
        <w:ind w:hanging="360" w:start="1440" w:end="0"/>
        <w:rPr/>
      </w:pPr>
      <w:r>
        <w:rPr/>
        <w:t>Load Frags: represent the ultimate sink of a transaction.  Load Frags can be linked directly to Ts Frags or Mkt Frags, not Gen. Frags or other Load Frags.  Load Frags must be linked to at least one downstream frag to be part of a complete transaction.</w:t>
      </w:r>
    </w:p>
    <w:p>
      <w:pPr>
        <w:sectPr>
          <w:type w:val="nextPage"/>
          <w:pgSz w:orient="landscape" w:w="15840" w:h="12240"/>
          <w:pgMar w:left="1440" w:right="1440" w:gutter="0" w:header="0" w:top="1440" w:footer="0" w:bottom="1440"/>
          <w:pgNumType w:fmt="decimal"/>
          <w:formProt w:val="false"/>
          <w:titlePg/>
          <w:textDirection w:val="lrTb"/>
          <w:docGrid w:type="default" w:linePitch="360" w:charSpace="0"/>
        </w:sectPr>
        <w:pStyle w:val="Normal"/>
        <w:rPr/>
      </w:pPr>
      <w:r>
        <w:rPr/>
        <w:object w:dxaOrig="12001" w:dyaOrig="916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8.4pt;margin-top:0pt;width:600pt;height:458.4pt;mso-wrap-distance-left:9.05pt;mso-wrap-distance-right:9.05pt;mso-position-horizontal-relative:text;mso-position-vertical-relative:text" filled="f" o:ole="">
            <v:imagedata r:id="rId3" o:title=""/>
            <w10:wrap type="topAndBottom"/>
          </v:shape>
          <o:OLEObject Type="Embed" ProgID="" ShapeID="ole_rId2" DrawAspect="Content" ObjectID="_1037686093" r:id="rId2"/>
        </w:object>
      </w:r>
    </w:p>
    <w:p>
      <w:pPr>
        <w:pStyle w:val="Normal"/>
        <w:rPr/>
      </w:pPr>
      <w:r>
        <w:rPr/>
      </w:r>
    </w:p>
    <w:p>
      <w:pPr>
        <w:pStyle w:val="Heading9"/>
        <w:rPr/>
      </w:pPr>
      <w:r>
        <w:rPr/>
        <w:t>Linking</w:t>
      </w:r>
    </w:p>
    <w:p>
      <w:pPr>
        <w:pStyle w:val="Normal"/>
        <w:ind w:start="720" w:end="0"/>
        <w:rPr>
          <w:sz w:val="24"/>
        </w:rPr>
      </w:pPr>
      <w:r>
        <w:rPr>
          <w:sz w:val="24"/>
        </w:rPr>
        <w:t>Confirmation</w:t>
      </w:r>
    </w:p>
    <w:p>
      <w:pPr>
        <w:pStyle w:val="Normal"/>
        <w:ind w:start="720" w:end="0"/>
        <w:rPr>
          <w:sz w:val="24"/>
        </w:rPr>
      </w:pPr>
      <w:r>
        <w:rPr>
          <w:sz w:val="24"/>
        </w:rPr>
        <w:t>Frags are linked and frag links are confirmed through the same process.  Each frag references the other.  It is the mechanism for linking and confirmation.</w:t>
      </w:r>
    </w:p>
    <w:p>
      <w:pPr>
        <w:pStyle w:val="Normal"/>
        <w:ind w:start="720" w:end="0"/>
        <w:rPr>
          <w:sz w:val="24"/>
        </w:rPr>
      </w:pPr>
      <w:r>
        <w:rPr>
          <w:sz w:val="24"/>
        </w:rPr>
        <w:t>Example:  Generation sells to market participant</w:t>
      </w:r>
    </w:p>
    <w:p>
      <w:pPr>
        <w:pStyle w:val="Normal"/>
        <w:numPr>
          <w:ilvl w:val="0"/>
          <w:numId w:val="18"/>
        </w:numPr>
        <w:rPr>
          <w:sz w:val="24"/>
        </w:rPr>
      </w:pPr>
      <w:r>
        <w:rPr>
          <w:sz w:val="24"/>
        </w:rPr>
        <w:t>Generation owner Mkt1 sells 50 MW from 0700 to 2300 to Market Participant Mkt2.</w:t>
      </w:r>
    </w:p>
    <w:p>
      <w:pPr>
        <w:pStyle w:val="Normal"/>
        <w:numPr>
          <w:ilvl w:val="0"/>
          <w:numId w:val="18"/>
        </w:numPr>
        <w:rPr>
          <w:sz w:val="24"/>
        </w:rPr>
      </w:pPr>
      <w:r>
        <w:rPr>
          <w:sz w:val="24"/>
        </w:rPr>
        <w:t>Mkt1 creates Gen. Frag A for 50 MW 0700 to 2300 as slice of system.</w:t>
        <w:br/>
        <w:t>Mkt2 creates Mkt Frag B for 50 MW 0700 to 2300 with self as owner.</w:t>
      </w:r>
    </w:p>
    <w:p>
      <w:pPr>
        <w:pStyle w:val="Normal"/>
        <w:numPr>
          <w:ilvl w:val="0"/>
          <w:numId w:val="18"/>
        </w:numPr>
        <w:rPr>
          <w:sz w:val="24"/>
        </w:rPr>
      </w:pPr>
      <w:r>
        <w:rPr>
          <w:sz w:val="24"/>
        </w:rPr>
        <w:t xml:space="preserve">Mkt1 adds Frag B to it’s downstream to confirm intent to supply.  While linking, Mkt1 also specifies that the entire Frag is being offered </w:t>
      </w:r>
      <w:r>
        <w:rPr>
          <w:sz w:val="24"/>
          <w:highlight w:val="yellow"/>
        </w:rPr>
        <w:t>(It is possible to offer partial frags, or to split frags to create separate transactions).</w:t>
      </w:r>
      <w:r>
        <w:rPr>
          <w:sz w:val="24"/>
        </w:rPr>
        <w:br/>
        <w:t>Mkt2 adds Frag A to it’s upstream to confirm intent to purchase.  While linking, Mkt2 also specified the purchase amount desired.</w:t>
      </w:r>
    </w:p>
    <w:p>
      <w:pPr>
        <w:pStyle w:val="Normal"/>
        <w:ind w:start="720" w:end="0"/>
        <w:rPr>
          <w:sz w:val="24"/>
        </w:rPr>
      </w:pPr>
      <w:r>
        <w:rPr>
          <w:sz w:val="24"/>
        </w:rPr>
        <w:t>Because each participant entered the ID of the other frag, the frag linkage can be confirmed two ways.  By supplying the other Market Participants Frag ID, each company confirmed their intent to transact with the other participant.</w:t>
      </w:r>
    </w:p>
    <w:p>
      <w:pPr>
        <w:pStyle w:val="Normal"/>
        <w:ind w:start="720" w:end="0"/>
        <w:rPr>
          <w:sz w:val="24"/>
        </w:rPr>
      </w:pPr>
      <w:r>
        <w:rPr>
          <w:sz w:val="24"/>
        </w:rPr>
        <w:t>Example: One Mkt Frag linked to 2 Ts Frags</w:t>
      </w:r>
    </w:p>
    <w:p>
      <w:pPr>
        <w:pStyle w:val="Normal"/>
        <w:numPr>
          <w:ilvl w:val="0"/>
          <w:numId w:val="8"/>
        </w:numPr>
        <w:rPr>
          <w:sz w:val="24"/>
        </w:rPr>
      </w:pPr>
      <w:r>
        <w:rPr>
          <w:sz w:val="24"/>
        </w:rPr>
        <w:t>Mkt Frag B is owned by Mkt2 and represents 50 MW from 0700 to 2300.  Mkt2 wants to deliver from the transmission provider where the generation is supplied to two separate transmission providers at 25 MW each.  Mkt2 has two Ts Frags, C and D, which each have sufficient capacity for the 25 MW legs. Mkt2 adds Ts Frag C (100 MW frag from 0700 to 2300) to Frag B.  While linking, Mkt 1 also specifies that the Frag wants to use 25 MW of capacity from Frag B for 0700 to 2300.</w:t>
      </w:r>
    </w:p>
    <w:p>
      <w:pPr>
        <w:pStyle w:val="Normal"/>
        <w:numPr>
          <w:ilvl w:val="0"/>
          <w:numId w:val="8"/>
        </w:numPr>
        <w:rPr>
          <w:sz w:val="24"/>
        </w:rPr>
      </w:pPr>
      <w:r>
        <w:rPr>
          <w:sz w:val="24"/>
        </w:rPr>
        <w:t>Mkt 2 adds Mkt Frag B to Frag C.  While linking, Mkt 1 also specifies that Frag C will make any amount of transmission available to Frag B.  Because Mkt2 owns both frags, this is a simple way to do it.</w:t>
      </w:r>
    </w:p>
    <w:p>
      <w:pPr>
        <w:pStyle w:val="Normal"/>
        <w:numPr>
          <w:ilvl w:val="0"/>
          <w:numId w:val="8"/>
        </w:numPr>
        <w:rPr>
          <w:sz w:val="24"/>
        </w:rPr>
      </w:pPr>
      <w:r>
        <w:rPr>
          <w:sz w:val="24"/>
        </w:rPr>
        <w:t>Mkt2 adds Ts Frag D (10 MW frag from 0700 to 2300) to Frag B.  While linking, Mkt 1 also specifies that the Frag wants to use 10 MW of capacity from Frag B for 0700 to 2300.</w:t>
      </w:r>
    </w:p>
    <w:p>
      <w:pPr>
        <w:pStyle w:val="Normal"/>
        <w:numPr>
          <w:ilvl w:val="0"/>
          <w:numId w:val="8"/>
        </w:numPr>
        <w:rPr>
          <w:sz w:val="24"/>
        </w:rPr>
      </w:pPr>
      <w:r>
        <w:rPr>
          <w:sz w:val="24"/>
        </w:rPr>
        <w:t>Mkt 2 adds Mkt Frag B to Ts Frag D.  While linking, Mkt 1 also specifies that Frag D will make any amount of transmission available to Frag B.  Because Mkt2 owns both frags, this is a simple way to do it.</w:t>
      </w:r>
    </w:p>
    <w:p>
      <w:pPr>
        <w:pStyle w:val="Normal"/>
        <w:ind w:start="720" w:end="0"/>
        <w:rPr>
          <w:sz w:val="24"/>
        </w:rPr>
      </w:pPr>
      <w:r>
        <w:rPr>
          <w:sz w:val="24"/>
        </w:rPr>
        <w:t>Notice 15 MW of Frag B have not yet been assigned for delivery anywhere.  This should not prohibit the approval of any frags.  Also, 75 MW of Ts Frag C are currently unused.</w:t>
      </w:r>
    </w:p>
    <w:p>
      <w:pPr>
        <w:pStyle w:val="Heading9"/>
        <w:rPr/>
      </w:pPr>
      <w:r>
        <w:rPr/>
        <w:t>Linking</w:t>
      </w:r>
    </w:p>
    <w:p>
      <w:pPr>
        <w:pStyle w:val="Normal"/>
        <w:numPr>
          <w:ilvl w:val="0"/>
          <w:numId w:val="17"/>
        </w:numPr>
        <w:tabs>
          <w:tab w:val="clear" w:pos="720"/>
          <w:tab w:val="left" w:pos="1080" w:leader="none"/>
        </w:tabs>
        <w:ind w:hanging="360" w:start="1080" w:end="0"/>
        <w:rPr/>
      </w:pPr>
      <w:r>
        <w:rPr/>
        <w:t xml:space="preserve">Approval of one frag does not cause the denial of any other frag.  Other frags’ statuses do not change (until the approval deadline passes). </w:t>
      </w:r>
    </w:p>
    <w:p>
      <w:pPr>
        <w:pStyle w:val="Normal"/>
        <w:numPr>
          <w:ilvl w:val="0"/>
          <w:numId w:val="17"/>
        </w:numPr>
        <w:tabs>
          <w:tab w:val="clear" w:pos="720"/>
          <w:tab w:val="left" w:pos="1080" w:leader="none"/>
        </w:tabs>
        <w:ind w:hanging="360" w:start="1080" w:end="0"/>
        <w:rPr/>
      </w:pPr>
      <w:r>
        <w:rPr/>
        <w:t>Approving a frag results in the acting parties’ approval of any resultant transaction(s).  The Acting party can elect to wait for a transaction to be completely assembled before approving a frag if it so elects.</w:t>
        <w:br/>
        <w:t>Note:  If there is, for example, a one month Ts Frag that is part of a one day transaction and if the Transmission Provider (TP) only wants to approve one day of the frag, the TP can deny the frag and request the creation of a daily frag.  This does not affect the status of other frags (unless the approval deadline passes).</w:t>
      </w:r>
    </w:p>
    <w:p>
      <w:pPr>
        <w:pStyle w:val="Normal"/>
        <w:numPr>
          <w:ilvl w:val="0"/>
          <w:numId w:val="17"/>
        </w:numPr>
        <w:tabs>
          <w:tab w:val="clear" w:pos="720"/>
          <w:tab w:val="left" w:pos="1080" w:leader="none"/>
        </w:tabs>
        <w:ind w:hanging="360" w:start="1080" w:end="0"/>
        <w:rPr/>
      </w:pPr>
      <w:r>
        <w:rPr/>
        <w:t>If a Frag is denied, the entity that denied the frag is responsible for notifying the market participant who created the frag.  In the case of a denied frag, the Market Participant has three options:</w:t>
      </w:r>
    </w:p>
    <w:p>
      <w:pPr>
        <w:pStyle w:val="Normal"/>
        <w:numPr>
          <w:ilvl w:val="0"/>
          <w:numId w:val="17"/>
        </w:numPr>
        <w:tabs>
          <w:tab w:val="clear" w:pos="720"/>
          <w:tab w:val="left" w:pos="1440" w:leader="none"/>
        </w:tabs>
        <w:ind w:hanging="360" w:start="1440" w:end="0"/>
        <w:rPr/>
      </w:pPr>
      <w:r>
        <w:rPr/>
        <w:t>Do Nothing: A complete transaction will not result (e.g. a book-out).</w:t>
      </w:r>
    </w:p>
    <w:p>
      <w:pPr>
        <w:pStyle w:val="Normal"/>
        <w:numPr>
          <w:ilvl w:val="0"/>
          <w:numId w:val="17"/>
        </w:numPr>
        <w:tabs>
          <w:tab w:val="clear" w:pos="720"/>
          <w:tab w:val="left" w:pos="1440" w:leader="none"/>
        </w:tabs>
        <w:ind w:hanging="360" w:start="1440" w:end="0"/>
        <w:rPr/>
      </w:pPr>
      <w:r>
        <w:rPr/>
        <w:t>Revise:  A market participant can revise the frag.  The denied frag does not lose any links to other frags.  The approval status of the denying party is cleared and the approval process resumes as if a new frag had been created.</w:t>
      </w:r>
    </w:p>
    <w:p>
      <w:pPr>
        <w:pStyle w:val="Normal"/>
        <w:numPr>
          <w:ilvl w:val="0"/>
          <w:numId w:val="17"/>
        </w:numPr>
        <w:tabs>
          <w:tab w:val="clear" w:pos="720"/>
          <w:tab w:val="left" w:pos="1440" w:leader="none"/>
        </w:tabs>
        <w:ind w:hanging="360" w:start="1440" w:end="0"/>
        <w:rPr/>
      </w:pPr>
      <w:r>
        <w:rPr/>
        <w:t>Replace: The market participant unlinks the old frag and links a new frag.  A new transaction ID is created.  The approval process takes place as usual for a new transaction.</w:t>
      </w:r>
    </w:p>
    <w:p>
      <w:pPr>
        <w:pStyle w:val="Normal"/>
        <w:numPr>
          <w:ilvl w:val="0"/>
          <w:numId w:val="6"/>
        </w:numPr>
        <w:tabs>
          <w:tab w:val="clear" w:pos="720"/>
          <w:tab w:val="left" w:pos="1080" w:leader="none"/>
        </w:tabs>
        <w:ind w:hanging="360" w:start="1080" w:end="0"/>
        <w:rPr>
          <w:sz w:val="24"/>
        </w:rPr>
      </w:pPr>
      <w:r>
        <w:rPr>
          <w:sz w:val="24"/>
        </w:rPr>
        <w:t>Each frag is submitted, not necessarily at the same time but by 20 minutes prior to start (15 minutes prior to ramping).</w:t>
      </w:r>
    </w:p>
    <w:p>
      <w:pPr>
        <w:pStyle w:val="Normal"/>
        <w:numPr>
          <w:ilvl w:val="0"/>
          <w:numId w:val="6"/>
        </w:numPr>
        <w:tabs>
          <w:tab w:val="clear" w:pos="720"/>
          <w:tab w:val="left" w:pos="1080" w:leader="none"/>
        </w:tabs>
        <w:ind w:hanging="360" w:start="1080" w:end="0"/>
        <w:rPr>
          <w:sz w:val="24"/>
        </w:rPr>
      </w:pPr>
      <w:r>
        <w:rPr>
          <w:sz w:val="24"/>
        </w:rPr>
        <w:t>Each frag is approved, denied or ignored by the appropriate approval entities (RTO, TP, Generator, and LSE).  These entities can approve the frag before or after the entire transaction is compiled.  Approved frags can not be denied.</w:t>
      </w:r>
    </w:p>
    <w:p>
      <w:pPr>
        <w:pStyle w:val="Normal"/>
        <w:numPr>
          <w:ilvl w:val="0"/>
          <w:numId w:val="6"/>
        </w:numPr>
        <w:tabs>
          <w:tab w:val="clear" w:pos="720"/>
          <w:tab w:val="left" w:pos="1080" w:leader="none"/>
        </w:tabs>
        <w:ind w:hanging="360" w:start="1080" w:end="0"/>
        <w:rPr>
          <w:sz w:val="24"/>
        </w:rPr>
      </w:pPr>
      <w:r>
        <w:rPr>
          <w:sz w:val="24"/>
        </w:rPr>
        <w:t>If a fragment is denied prior to the transaction compilation, it may be revised or replaced and resubmitted prior to the submittal deadline.</w:t>
      </w:r>
    </w:p>
    <w:p>
      <w:pPr>
        <w:pStyle w:val="Normal"/>
        <w:numPr>
          <w:ilvl w:val="0"/>
          <w:numId w:val="6"/>
        </w:numPr>
        <w:tabs>
          <w:tab w:val="clear" w:pos="720"/>
          <w:tab w:val="left" w:pos="1080" w:leader="none"/>
        </w:tabs>
        <w:ind w:hanging="360" w:start="1080" w:end="0"/>
        <w:rPr>
          <w:sz w:val="24"/>
        </w:rPr>
      </w:pPr>
      <w:r>
        <w:rPr>
          <w:sz w:val="24"/>
        </w:rPr>
        <w:t>The transaction is compiled automatically by virtue of having the gen., load and intermediate frags.  The frags must all be received by 20 min. prior to start to be “On-Time” or the transaction becomes “Late.”   Once all frags have been compiled into a transaction, any frag owner in the path may mark the frags as a complete transaction request.  This will kick-off a transaction approval process.</w:t>
      </w:r>
    </w:p>
    <w:p>
      <w:pPr>
        <w:pStyle w:val="Normal"/>
        <w:numPr>
          <w:ilvl w:val="0"/>
          <w:numId w:val="6"/>
        </w:numPr>
        <w:tabs>
          <w:tab w:val="clear" w:pos="720"/>
          <w:tab w:val="left" w:pos="1080" w:leader="none"/>
        </w:tabs>
        <w:ind w:hanging="360" w:start="1440" w:end="0"/>
        <w:rPr>
          <w:sz w:val="24"/>
        </w:rPr>
      </w:pPr>
      <w:r>
        <w:rPr>
          <w:sz w:val="24"/>
        </w:rPr>
        <w:t>If all frags are approved by the deadline after compilation (min 10 minutes), the transaction is approved.</w:t>
      </w:r>
    </w:p>
    <w:p>
      <w:pPr>
        <w:pStyle w:val="Normal"/>
        <w:numPr>
          <w:ilvl w:val="0"/>
          <w:numId w:val="6"/>
        </w:numPr>
        <w:tabs>
          <w:tab w:val="clear" w:pos="720"/>
          <w:tab w:val="left" w:pos="1080" w:leader="none"/>
        </w:tabs>
        <w:ind w:hanging="360" w:start="1440" w:end="0"/>
        <w:rPr>
          <w:sz w:val="24"/>
        </w:rPr>
      </w:pPr>
      <w:r>
        <w:rPr>
          <w:sz w:val="24"/>
        </w:rPr>
        <w:t>If any frag is still denied or not received at the 20 min. submittal deadline, the transaction is “Late.”  The transaction is passively denied by 10 of start (5 minutes prior to ramp).</w:t>
      </w:r>
    </w:p>
    <w:p>
      <w:pPr>
        <w:pStyle w:val="Heading9"/>
        <w:rPr/>
      </w:pPr>
      <w:r>
        <w:rPr/>
        <w:t>Frag Approval Process:</w:t>
      </w:r>
    </w:p>
    <w:p>
      <w:pPr>
        <w:pStyle w:val="Normal"/>
        <w:numPr>
          <w:ilvl w:val="0"/>
          <w:numId w:val="20"/>
        </w:numPr>
        <w:tabs>
          <w:tab w:val="clear" w:pos="720"/>
          <w:tab w:val="left" w:pos="1800" w:leader="none"/>
        </w:tabs>
        <w:ind w:hanging="360" w:start="1800" w:end="0"/>
        <w:rPr/>
      </w:pPr>
      <w:r>
        <w:rPr/>
        <w:t>Once a set of frags are linked from Gen. Frag to Load Frag, the approval process is started.   There are two possibilities that can occur once the transaction is complete: 1) all frags have previously been approved or 2) not all frags have been previously approved.</w:t>
      </w:r>
    </w:p>
    <w:p>
      <w:pPr>
        <w:pStyle w:val="Normal"/>
        <w:numPr>
          <w:ilvl w:val="0"/>
          <w:numId w:val="16"/>
        </w:numPr>
        <w:rPr/>
      </w:pPr>
      <w:r>
        <w:rPr/>
        <w:t>All frags have been approved. – If all frags have been previously approved, the transaction is automatically approved.</w:t>
      </w:r>
    </w:p>
    <w:p>
      <w:pPr>
        <w:pStyle w:val="Normal"/>
        <w:numPr>
          <w:ilvl w:val="0"/>
          <w:numId w:val="16"/>
        </w:numPr>
        <w:rPr/>
      </w:pPr>
      <w:r>
        <w:rPr/>
        <w:t>Not all frags have been approved – If not all frags have been previously approved, the individual frags will be evaluated by the appropriate approval entities until all frags are approved.  Once this occurs, the transaction is approved.</w:t>
      </w:r>
    </w:p>
    <w:p>
      <w:pPr>
        <w:pStyle w:val="Normal"/>
        <w:numPr>
          <w:ilvl w:val="0"/>
          <w:numId w:val="7"/>
        </w:numPr>
        <w:tabs>
          <w:tab w:val="clear" w:pos="720"/>
          <w:tab w:val="left" w:pos="1800" w:leader="none"/>
        </w:tabs>
        <w:ind w:hanging="360" w:start="1800" w:end="0"/>
        <w:rPr/>
      </w:pPr>
      <w:r>
        <w:rPr/>
        <w:t>In the event that a single frag that is a part of a transaction gets denied, the transaction remains in tact, and the frag “owner” has the option to modify the frag, or to link a new frag to the transaction.  In either case, the transaction starts at the beginning of the review process and must be re-submitted.  Any modifications must follow the timing requirements as determined by that working group.</w:t>
      </w:r>
    </w:p>
    <w:p>
      <w:pPr>
        <w:pStyle w:val="Normal"/>
        <w:ind w:start="720" w:end="0"/>
        <w:rPr/>
      </w:pPr>
      <w:r>
        <w:rPr/>
        <w:t>Schedule Changes</w:t>
      </w:r>
    </w:p>
    <w:p>
      <w:pPr>
        <w:pStyle w:val="Normal"/>
        <w:numPr>
          <w:ilvl w:val="0"/>
          <w:numId w:val="21"/>
        </w:numPr>
        <w:tabs>
          <w:tab w:val="clear" w:pos="720"/>
          <w:tab w:val="left" w:pos="1800" w:leader="none"/>
        </w:tabs>
        <w:ind w:hanging="360" w:start="1800" w:end="0"/>
        <w:rPr/>
      </w:pPr>
      <w:r>
        <w:rPr/>
        <w:t>There are various reasons a schedule may change after it has been implemented.  In the event that a market participant wants to change a schedule, the following scenarios apply:</w:t>
      </w:r>
    </w:p>
    <w:p>
      <w:pPr>
        <w:pStyle w:val="Normal"/>
        <w:numPr>
          <w:ilvl w:val="0"/>
          <w:numId w:val="14"/>
        </w:numPr>
        <w:rPr/>
      </w:pPr>
      <w:r>
        <w:rPr/>
        <w:t>The transaction ends.  The market participant withdraws the transaction, and the entire frag path ends.</w:t>
      </w:r>
    </w:p>
    <w:p>
      <w:pPr>
        <w:pStyle w:val="Normal"/>
        <w:numPr>
          <w:ilvl w:val="0"/>
          <w:numId w:val="14"/>
        </w:numPr>
        <w:rPr/>
      </w:pPr>
      <w:r>
        <w:rPr/>
        <w:t>The transaction changes.  In the case where a single frag changes, the rest of the frags will stay in tact and approved, and the new frag is inserted.  This will create a new transaction ID.</w:t>
      </w:r>
    </w:p>
    <w:p>
      <w:pPr>
        <w:pStyle w:val="Normal"/>
        <w:numPr>
          <w:ilvl w:val="0"/>
          <w:numId w:val="11"/>
        </w:numPr>
        <w:tabs>
          <w:tab w:val="clear" w:pos="720"/>
          <w:tab w:val="left" w:pos="3240" w:leader="none"/>
        </w:tabs>
        <w:ind w:hanging="360" w:start="3240" w:end="0"/>
        <w:rPr/>
      </w:pPr>
      <w:r>
        <w:rPr/>
        <w:t>If the frag is a transmission frag, the user may modify the frag allocation, or terminate the existing frag and create a new one.  In either case, the transaction gets a new ID, and the approval process starts at the beginning.</w:t>
      </w:r>
    </w:p>
    <w:p>
      <w:pPr>
        <w:pStyle w:val="Normal"/>
        <w:rPr/>
      </w:pPr>
      <w:r>
        <w:rPr/>
      </w:r>
    </w:p>
    <w:p>
      <w:pPr>
        <w:pStyle w:val="Heading8"/>
        <w:rPr/>
      </w:pPr>
      <w:r>
        <w:rPr/>
        <w:t>Data Requirements:</w:t>
      </w:r>
    </w:p>
    <w:p>
      <w:pPr>
        <w:pStyle w:val="BodyTextIndent"/>
        <w:rPr/>
      </w:pPr>
      <w:r>
        <w:rPr/>
        <w:t>Resource specific, dynamic, non-jurisdictional, resource specific, auction and other “special” schedules may require different or additional data.  For normal schedules, the following data is the minimum required to schedule and receive market price:</w:t>
      </w:r>
    </w:p>
    <w:p>
      <w:pPr>
        <w:pStyle w:val="Normal"/>
        <w:numPr>
          <w:ilvl w:val="0"/>
          <w:numId w:val="9"/>
        </w:numPr>
        <w:tabs>
          <w:tab w:val="clear" w:pos="720"/>
          <w:tab w:val="left" w:pos="1080" w:leader="none"/>
        </w:tabs>
        <w:ind w:hanging="360" w:start="1080" w:end="0"/>
        <w:rPr/>
      </w:pPr>
      <w:r>
        <w:rPr/>
        <w:t>Valid Transaction path</w:t>
      </w:r>
    </w:p>
    <w:p>
      <w:pPr>
        <w:pStyle w:val="Normal"/>
        <w:numPr>
          <w:ilvl w:val="0"/>
          <w:numId w:val="9"/>
        </w:numPr>
        <w:tabs>
          <w:tab w:val="clear" w:pos="720"/>
          <w:tab w:val="left" w:pos="1080" w:leader="none"/>
        </w:tabs>
        <w:ind w:hanging="360" w:start="1080" w:end="0"/>
        <w:rPr/>
      </w:pPr>
      <w:r>
        <w:rPr/>
        <w:t>MW profile</w:t>
      </w:r>
    </w:p>
    <w:p>
      <w:pPr>
        <w:pStyle w:val="Normal"/>
        <w:numPr>
          <w:ilvl w:val="0"/>
          <w:numId w:val="9"/>
        </w:numPr>
        <w:tabs>
          <w:tab w:val="clear" w:pos="720"/>
          <w:tab w:val="left" w:pos="1080" w:leader="none"/>
        </w:tabs>
        <w:ind w:hanging="360" w:start="1080" w:end="0"/>
        <w:rPr/>
      </w:pPr>
      <w:r>
        <w:rPr/>
        <w:t>Identity of sufficient transmission rights for the duration of the MW profile</w:t>
      </w:r>
    </w:p>
    <w:p>
      <w:pPr>
        <w:pStyle w:val="Normal"/>
        <w:ind w:start="720" w:end="0"/>
        <w:rPr/>
      </w:pPr>
      <w:r>
        <w:rPr/>
        <w:t>In addition to these required data elements, losses, regionally optional price information, multi-settlement bid information and other optional information provided for in the standard frag template may be supplied.</w:t>
      </w:r>
    </w:p>
    <w:p>
      <w:pPr>
        <w:pStyle w:val="Heading9"/>
        <w:ind w:start="1440" w:end="0"/>
        <w:rPr/>
      </w:pPr>
      <w:r>
        <w:rPr/>
        <w:t>Validation and Operability Tests</w:t>
      </w:r>
    </w:p>
    <w:p>
      <w:pPr>
        <w:pStyle w:val="BodyText"/>
        <w:ind w:start="720" w:end="0"/>
        <w:rPr/>
      </w:pPr>
      <w:r>
        <w:rPr/>
        <w:t>The approval entity shall record the following information upon receipt of a frag:</w:t>
      </w:r>
    </w:p>
    <w:p>
      <w:pPr>
        <w:pStyle w:val="Normal"/>
        <w:numPr>
          <w:ilvl w:val="0"/>
          <w:numId w:val="5"/>
        </w:numPr>
        <w:tabs>
          <w:tab w:val="clear" w:pos="720"/>
          <w:tab w:val="left" w:pos="1080" w:leader="none"/>
        </w:tabs>
        <w:ind w:hanging="360" w:start="1080" w:end="0"/>
        <w:rPr>
          <w:sz w:val="24"/>
        </w:rPr>
      </w:pPr>
      <w:r>
        <w:rPr>
          <w:sz w:val="24"/>
        </w:rPr>
        <w:t>Frag id</w:t>
      </w:r>
    </w:p>
    <w:p>
      <w:pPr>
        <w:pStyle w:val="Normal"/>
        <w:numPr>
          <w:ilvl w:val="0"/>
          <w:numId w:val="5"/>
        </w:numPr>
        <w:tabs>
          <w:tab w:val="clear" w:pos="720"/>
          <w:tab w:val="left" w:pos="1080" w:leader="none"/>
        </w:tabs>
        <w:ind w:hanging="360" w:start="1080" w:end="0"/>
        <w:rPr>
          <w:sz w:val="24"/>
        </w:rPr>
      </w:pPr>
      <w:r>
        <w:rPr>
          <w:sz w:val="24"/>
        </w:rPr>
        <w:t>Timestamp</w:t>
      </w:r>
    </w:p>
    <w:p>
      <w:pPr>
        <w:pStyle w:val="BodyText"/>
        <w:ind w:start="720" w:end="0"/>
        <w:rPr/>
      </w:pPr>
      <w:r>
        <w:rPr/>
        <w:t>The following validations shall be performed.</w:t>
      </w:r>
    </w:p>
    <w:p>
      <w:pPr>
        <w:pStyle w:val="Normal"/>
        <w:numPr>
          <w:ilvl w:val="0"/>
          <w:numId w:val="23"/>
        </w:numPr>
        <w:tabs>
          <w:tab w:val="clear" w:pos="720"/>
          <w:tab w:val="left" w:pos="1080" w:leader="none"/>
        </w:tabs>
        <w:ind w:hanging="360" w:start="1080" w:end="0"/>
        <w:rPr>
          <w:sz w:val="24"/>
        </w:rPr>
      </w:pPr>
      <w:r>
        <w:rPr>
          <w:sz w:val="24"/>
        </w:rPr>
        <w:t>Valid, sufficient, confirmed transmission service</w:t>
      </w:r>
    </w:p>
    <w:p>
      <w:pPr>
        <w:pStyle w:val="Normal"/>
        <w:numPr>
          <w:ilvl w:val="0"/>
          <w:numId w:val="23"/>
        </w:numPr>
        <w:tabs>
          <w:tab w:val="clear" w:pos="720"/>
          <w:tab w:val="left" w:pos="1080" w:leader="none"/>
        </w:tabs>
        <w:ind w:hanging="360" w:start="1080" w:end="0"/>
        <w:rPr>
          <w:sz w:val="24"/>
        </w:rPr>
      </w:pPr>
      <w:r>
        <w:rPr>
          <w:sz w:val="24"/>
        </w:rPr>
        <w:t>Reliability rules like delta net interchange is not violated</w:t>
      </w:r>
    </w:p>
    <w:p>
      <w:pPr>
        <w:pStyle w:val="Normal"/>
        <w:numPr>
          <w:ilvl w:val="0"/>
          <w:numId w:val="23"/>
        </w:numPr>
        <w:tabs>
          <w:tab w:val="clear" w:pos="720"/>
          <w:tab w:val="left" w:pos="1080" w:leader="none"/>
        </w:tabs>
        <w:ind w:hanging="360" w:start="1080" w:end="0"/>
        <w:rPr>
          <w:sz w:val="24"/>
        </w:rPr>
      </w:pPr>
      <w:r>
        <w:rPr>
          <w:sz w:val="24"/>
        </w:rPr>
        <w:t>Scheduling deadlines have been met</w:t>
      </w:r>
    </w:p>
    <w:p>
      <w:pPr>
        <w:pStyle w:val="Normal"/>
        <w:numPr>
          <w:ilvl w:val="0"/>
          <w:numId w:val="23"/>
        </w:numPr>
        <w:tabs>
          <w:tab w:val="clear" w:pos="720"/>
          <w:tab w:val="left" w:pos="1080" w:leader="none"/>
        </w:tabs>
        <w:ind w:hanging="360" w:start="1080" w:end="0"/>
        <w:rPr>
          <w:sz w:val="24"/>
        </w:rPr>
      </w:pPr>
      <w:r>
        <w:rPr>
          <w:sz w:val="24"/>
        </w:rPr>
        <w:t>If optional transaction information is provided for evaluation by an approval entity, the compliance of the information to the approval entity’s validation will apply.</w:t>
      </w:r>
    </w:p>
    <w:p>
      <w:pPr>
        <w:pStyle w:val="Normal"/>
        <w:ind w:start="720" w:end="0"/>
        <w:rPr>
          <w:rFonts w:ascii="Times-Roman" w:hAnsi="Times-Roman" w:cs="Times-Roman"/>
          <w:sz w:val="24"/>
        </w:rPr>
      </w:pPr>
      <w:r>
        <w:rPr>
          <w:rFonts w:cs="Times-Roman" w:ascii="Times-Roman" w:hAnsi="Times-Roman"/>
          <w:sz w:val="24"/>
        </w:rPr>
        <w:t>See the “Approval of Transmission and Schedules Business Practices” section of this document for Approval criteria.</w:t>
      </w:r>
    </w:p>
    <w:p>
      <w:pPr>
        <w:pStyle w:val="Normal"/>
        <w:ind w:start="720" w:end="0"/>
        <w:rPr>
          <w:rFonts w:ascii="Times-Roman" w:hAnsi="Times-Roman" w:cs="Times-Roman"/>
          <w:sz w:val="24"/>
        </w:rPr>
      </w:pPr>
      <w:r>
        <w:rPr>
          <w:rFonts w:cs="Times-Roman" w:ascii="Times-Roman" w:hAnsi="Times-Roman"/>
          <w:sz w:val="24"/>
        </w:rPr>
        <w:t>If the requested frag fails any of the preceding operability tests, the</w:t>
      </w:r>
    </w:p>
    <w:p>
      <w:pPr>
        <w:pStyle w:val="Normal"/>
        <w:ind w:start="720" w:end="0"/>
        <w:rPr>
          <w:rFonts w:ascii="Times-Roman" w:hAnsi="Times-Roman" w:cs="Times-Roman"/>
          <w:sz w:val="24"/>
        </w:rPr>
      </w:pPr>
      <w:r>
        <w:rPr>
          <w:rFonts w:cs="Times-Roman" w:ascii="Times-Roman" w:hAnsi="Times-Roman"/>
          <w:sz w:val="24"/>
        </w:rPr>
        <w:t>Transaction cannot be scheduled. The following actions are taken:</w:t>
      </w:r>
    </w:p>
    <w:p>
      <w:pPr>
        <w:pStyle w:val="Normal"/>
        <w:numPr>
          <w:ilvl w:val="0"/>
          <w:numId w:val="2"/>
        </w:numPr>
        <w:tabs>
          <w:tab w:val="clear" w:pos="720"/>
          <w:tab w:val="left" w:pos="1080" w:leader="none"/>
        </w:tabs>
        <w:ind w:hanging="360" w:start="1080" w:end="0"/>
        <w:rPr>
          <w:rFonts w:ascii="Times-Roman" w:hAnsi="Times-Roman" w:cs="Times-Roman"/>
          <w:sz w:val="24"/>
        </w:rPr>
      </w:pPr>
      <w:r>
        <w:rPr>
          <w:rFonts w:cs="Times-Roman" w:ascii="Times-Roman" w:hAnsi="Times-Roman"/>
          <w:sz w:val="24"/>
        </w:rPr>
        <w:t>Market Participant receives notification that the frag is not operable and why.</w:t>
      </w:r>
    </w:p>
    <w:p>
      <w:pPr>
        <w:pStyle w:val="Normal"/>
        <w:numPr>
          <w:ilvl w:val="0"/>
          <w:numId w:val="2"/>
        </w:numPr>
        <w:tabs>
          <w:tab w:val="clear" w:pos="720"/>
          <w:tab w:val="left" w:pos="1080" w:leader="none"/>
        </w:tabs>
        <w:ind w:hanging="360" w:start="1080" w:end="0"/>
        <w:rPr>
          <w:rFonts w:ascii="Times-Roman" w:hAnsi="Times-Roman" w:cs="Times-Roman"/>
          <w:sz w:val="24"/>
        </w:rPr>
      </w:pPr>
      <w:r>
        <w:rPr>
          <w:rFonts w:cs="Times-Roman" w:ascii="Times-Roman" w:hAnsi="Times-Roman"/>
          <w:sz w:val="24"/>
        </w:rPr>
        <w:t>The frag status is marked as “Denied”.</w:t>
      </w:r>
    </w:p>
    <w:p>
      <w:pPr>
        <w:pStyle w:val="Normal"/>
        <w:numPr>
          <w:ilvl w:val="0"/>
          <w:numId w:val="2"/>
        </w:numPr>
        <w:tabs>
          <w:tab w:val="clear" w:pos="720"/>
          <w:tab w:val="left" w:pos="1080" w:leader="none"/>
        </w:tabs>
        <w:ind w:hanging="360" w:start="1080" w:end="0"/>
        <w:rPr/>
      </w:pPr>
      <w:r>
        <w:rPr>
          <w:rFonts w:cs="Times-Roman" w:ascii="Times-Roman" w:hAnsi="Times-Roman"/>
          <w:sz w:val="24"/>
        </w:rPr>
        <w:t>The Market Participant may take action to correct and resubmit the frag.</w:t>
      </w:r>
    </w:p>
    <w:p>
      <w:pPr>
        <w:pStyle w:val="Heading9"/>
        <w:ind w:start="1440" w:end="0"/>
        <w:rPr/>
      </w:pPr>
      <w:r>
        <w:rPr/>
        <w:t>Confirmation</w:t>
      </w:r>
    </w:p>
    <w:p>
      <w:pPr>
        <w:pStyle w:val="Normal"/>
        <w:ind w:start="720" w:end="0"/>
        <w:rPr>
          <w:sz w:val="24"/>
        </w:rPr>
      </w:pPr>
      <w:r>
        <w:rPr>
          <w:sz w:val="24"/>
        </w:rPr>
        <w:t xml:space="preserve">Electronic scheduling will provide for electronic checkout of transactions prior to start.  </w:t>
      </w:r>
    </w:p>
    <w:p>
      <w:pPr>
        <w:pStyle w:val="Normal"/>
        <w:ind w:start="720" w:end="0"/>
        <w:rPr>
          <w:sz w:val="24"/>
        </w:rPr>
      </w:pPr>
      <w:r>
        <w:rPr>
          <w:sz w:val="24"/>
        </w:rPr>
        <w:t>The following must be confirmed: Frag id, path and MW profile must be confirmed and consistent</w:t>
      </w:r>
    </w:p>
    <w:p>
      <w:pPr>
        <w:pStyle w:val="Normal"/>
        <w:ind w:start="720" w:end="0"/>
        <w:rPr>
          <w:sz w:val="24"/>
        </w:rPr>
      </w:pPr>
      <w:r>
        <w:rPr>
          <w:sz w:val="24"/>
        </w:rPr>
        <w:t xml:space="preserve">RTOs shall be available for phone confirm of transactions with neighboring RTOs to supplement the electronic process. </w:t>
      </w:r>
    </w:p>
    <w:p>
      <w:pPr>
        <w:pStyle w:val="Normal"/>
        <w:ind w:start="720" w:end="0"/>
        <w:rPr>
          <w:sz w:val="24"/>
        </w:rPr>
      </w:pPr>
      <w:r>
        <w:rPr>
          <w:sz w:val="24"/>
        </w:rPr>
        <w:t>Frag id, path and MW profile must all be confirmable between neighboring RTOs.</w:t>
      </w:r>
    </w:p>
    <w:p>
      <w:pPr>
        <w:pStyle w:val="Normal"/>
        <w:ind w:start="720" w:end="0"/>
        <w:rPr>
          <w:sz w:val="24"/>
        </w:rPr>
      </w:pPr>
      <w:r>
        <w:rPr>
          <w:sz w:val="24"/>
        </w:rPr>
      </w:r>
    </w:p>
    <w:p>
      <w:pPr>
        <w:pStyle w:val="Heading8"/>
        <w:rPr/>
      </w:pPr>
      <w:r>
        <w:rPr/>
        <w:t>Scheduling Barriers:</w:t>
      </w:r>
    </w:p>
    <w:p>
      <w:pPr>
        <w:pStyle w:val="BodyText"/>
        <w:ind w:start="720" w:end="0"/>
        <w:rPr/>
      </w:pPr>
      <w:r>
        <w:rPr/>
        <w:t xml:space="preserve">Barring an invalid request, credit, reliability and self imposed economic limits (or price caps), a market should not be prohibited from scheduling at the hourly or real-time locational price.  If the minimum data requirements have been met and validated and barring reliability concerns (e.g., transmission limit, congestion, emergency operations, and TLR), a market participant should not be denied the right to schedule a transaction. A market participant may decide to enter an auction or otherwise apply a price that, due to economics, effectively removes their transaction from the interchange schedule.  Over extended credit and other such financial reasons might prevent a market participant from scheduling. </w:t>
      </w:r>
    </w:p>
    <w:p>
      <w:pPr>
        <w:pStyle w:val="Normal"/>
        <w:ind w:start="720" w:end="0"/>
        <w:rPr/>
      </w:pPr>
      <w:r>
        <w:rPr/>
      </w:r>
    </w:p>
    <w:p>
      <w:pPr>
        <w:pStyle w:val="Heading8"/>
        <w:rPr/>
      </w:pPr>
      <w:r>
        <w:rPr/>
        <w:t>Reliability</w:t>
      </w:r>
    </w:p>
    <w:p>
      <w:pPr>
        <w:pStyle w:val="Normal"/>
        <w:ind w:start="720" w:end="0"/>
        <w:jc w:val="both"/>
        <w:rPr>
          <w:sz w:val="24"/>
        </w:rPr>
      </w:pPr>
      <w:r>
        <w:rPr>
          <w:sz w:val="24"/>
        </w:rPr>
        <w:t>It is important that this process does not impede the current ability to implement curtailments and restorations.</w:t>
      </w:r>
    </w:p>
    <w:p>
      <w:pPr>
        <w:pStyle w:val="Heading8"/>
        <w:rPr/>
      </w:pPr>
      <w:r>
        <w:rPr/>
        <w:t>Curtailment</w:t>
      </w:r>
    </w:p>
    <w:p>
      <w:pPr>
        <w:pStyle w:val="Normal"/>
        <w:ind w:start="720" w:end="0"/>
        <w:jc w:val="both"/>
        <w:rPr>
          <w:sz w:val="24"/>
        </w:rPr>
      </w:pPr>
      <w:r>
        <w:rPr>
          <w:sz w:val="24"/>
        </w:rPr>
        <w:t>Curtailments may be initiated by any RTO.  A Gen. Co. cannot directly initiate a curtailment but may request curtailment due to loss of generation.  For example, in a transaction from RTO1 to RTO2 to RTO3, RTO2 may experience transmission problems and causing the RTO to curtail.  Curtailments are not limited to the quarters but can occur at any time.</w:t>
      </w:r>
    </w:p>
    <w:p>
      <w:pPr>
        <w:pStyle w:val="Heading8"/>
        <w:rPr/>
      </w:pPr>
      <w:r>
        <w:rPr/>
        <w:t>Restoration</w:t>
      </w:r>
    </w:p>
    <w:p>
      <w:pPr>
        <w:pStyle w:val="Normal"/>
        <w:ind w:start="720" w:end="0"/>
        <w:jc w:val="both"/>
        <w:rPr>
          <w:sz w:val="24"/>
        </w:rPr>
      </w:pPr>
      <w:r>
        <w:rPr>
          <w:sz w:val="24"/>
        </w:rPr>
        <w:t>Can be made only by the curtailing SC or RTO.  Restorations may occur on the quarters.</w:t>
      </w:r>
    </w:p>
    <w:p>
      <w:pPr>
        <w:pStyle w:val="Heading8"/>
        <w:rPr/>
      </w:pPr>
      <w:r>
        <w:rPr/>
        <w:t>Commerce</w:t>
      </w:r>
    </w:p>
    <w:p>
      <w:pPr>
        <w:pStyle w:val="Normal"/>
        <w:ind w:start="720" w:end="0"/>
        <w:jc w:val="both"/>
        <w:rPr>
          <w:b/>
          <w:sz w:val="24"/>
        </w:rPr>
      </w:pPr>
      <w:r>
        <w:rPr>
          <w:sz w:val="24"/>
        </w:rPr>
        <w:t>Increased flexibility is given to market participants by allowing schedule changes on the quarter in all RTOs.  Increased knowledge and control are afforded to participants by use of fragmented scheduling.</w:t>
      </w:r>
    </w:p>
    <w:p>
      <w:pPr>
        <w:pStyle w:val="Normal"/>
        <w:rPr>
          <w:b/>
          <w:sz w:val="24"/>
        </w:rPr>
      </w:pPr>
      <w:r>
        <w:rPr>
          <w:b/>
          <w:sz w:val="24"/>
        </w:rPr>
      </w:r>
    </w:p>
    <w:p>
      <w:pPr>
        <w:pStyle w:val="Heading6"/>
        <w:ind w:hanging="0" w:start="0"/>
        <w:rPr/>
      </w:pPr>
      <w:r>
        <w:rPr>
          <w:rPrChange w:id="0" w:author="Unknown" w:date="2001-05-08T14:41:00Z"/>
        </w:rPr>
        <w:t xml:space="preserve">Transmission and </w:t>
      </w:r>
      <w:r>
        <w:rPr>
          <w:rPrChange w:id="0" w:author="Unknown" w:date="0-00-00T00:00:00Z"/>
        </w:rPr>
        <w:t>Schedule Approval</w:t>
      </w:r>
      <w:r>
        <w:rPr>
          <w:rPrChange w:id="0" w:author="Unknown" w:date="2001-05-08T14:41:00Z"/>
        </w:rPr>
        <w:t xml:space="preserve"> Business Practices</w:t>
      </w:r>
      <w:r>
        <w:rPr>
          <w:rPrChange w:id="0" w:author="Unknown" w:date="0-00-00T00:00:00Z"/>
        </w:rPr>
        <w:t>:</w:t>
      </w:r>
    </w:p>
    <w:p>
      <w:pPr>
        <w:pStyle w:val="Normal"/>
        <w:numPr>
          <w:ilvl w:val="0"/>
          <w:numId w:val="13"/>
        </w:numPr>
        <w:rPr>
          <w:sz w:val="20"/>
        </w:rPr>
      </w:pPr>
      <w:r>
        <w:rPr>
          <w:sz w:val="20"/>
        </w:rPr>
        <w:t>Transmission Service Request</w:t>
      </w:r>
    </w:p>
    <w:p>
      <w:pPr>
        <w:pStyle w:val="Normal"/>
        <w:ind w:start="720" w:end="0"/>
        <w:rPr>
          <w:sz w:val="20"/>
        </w:rPr>
      </w:pPr>
      <w:r>
        <w:rPr>
          <w:sz w:val="20"/>
        </w:rPr>
      </w:r>
    </w:p>
    <w:p>
      <w:pPr>
        <w:pStyle w:val="Normal"/>
        <w:ind w:start="720" w:end="0"/>
        <w:rPr>
          <w:sz w:val="20"/>
        </w:rPr>
      </w:pPr>
      <w:r>
        <w:rPr>
          <w:sz w:val="20"/>
        </w:rPr>
        <w:t>The Approval rights of Transmission Providers are defined by their specific Open Access Transmission Tariffs (OATT).  The Approval Business Practice Task Group did not attempt an item by item review of every Transmission Providers OATT, but identified areas that need agreement and further definition.</w:t>
      </w:r>
    </w:p>
    <w:p>
      <w:pPr>
        <w:pStyle w:val="Normal"/>
        <w:ind w:start="720" w:end="0"/>
        <w:rPr>
          <w:sz w:val="20"/>
        </w:rPr>
      </w:pPr>
      <w:r>
        <w:rPr>
          <w:sz w:val="20"/>
        </w:rPr>
      </w:r>
    </w:p>
    <w:p>
      <w:pPr>
        <w:pStyle w:val="Normal"/>
        <w:numPr>
          <w:ilvl w:val="1"/>
          <w:numId w:val="13"/>
        </w:numPr>
        <w:rPr>
          <w:sz w:val="20"/>
        </w:rPr>
      </w:pPr>
      <w:r>
        <w:rPr>
          <w:sz w:val="20"/>
        </w:rPr>
        <w:t>Basic assumptions concerning Transmission Reservations</w:t>
      </w:r>
    </w:p>
    <w:p>
      <w:pPr>
        <w:pStyle w:val="Normal"/>
        <w:ind w:start="720" w:end="0"/>
        <w:rPr>
          <w:sz w:val="20"/>
        </w:rPr>
      </w:pPr>
      <w:r>
        <w:rPr>
          <w:sz w:val="20"/>
        </w:rPr>
      </w:r>
    </w:p>
    <w:p>
      <w:pPr>
        <w:pStyle w:val="Normal"/>
        <w:numPr>
          <w:ilvl w:val="2"/>
          <w:numId w:val="13"/>
        </w:numPr>
        <w:rPr>
          <w:sz w:val="20"/>
        </w:rPr>
      </w:pPr>
      <w:r>
        <w:rPr>
          <w:sz w:val="20"/>
        </w:rPr>
        <w:t>All energy schedules between RTOs require Transmission Reservations</w:t>
      </w:r>
    </w:p>
    <w:p>
      <w:pPr>
        <w:pStyle w:val="Normal"/>
        <w:rPr>
          <w:sz w:val="20"/>
        </w:rPr>
      </w:pPr>
      <w:r>
        <w:rPr>
          <w:sz w:val="20"/>
        </w:rPr>
      </w:r>
    </w:p>
    <w:p>
      <w:pPr>
        <w:pStyle w:val="Normal"/>
        <w:numPr>
          <w:ilvl w:val="1"/>
          <w:numId w:val="13"/>
        </w:numPr>
        <w:rPr>
          <w:sz w:val="20"/>
        </w:rPr>
      </w:pPr>
      <w:r>
        <w:rPr>
          <w:sz w:val="20"/>
        </w:rPr>
        <w:t>Primary Transmission Market.</w:t>
      </w:r>
    </w:p>
    <w:p>
      <w:pPr>
        <w:pStyle w:val="Normal"/>
        <w:rPr>
          <w:sz w:val="20"/>
        </w:rPr>
      </w:pPr>
      <w:r>
        <w:rPr>
          <w:sz w:val="20"/>
        </w:rPr>
      </w:r>
    </w:p>
    <w:p>
      <w:pPr>
        <w:pStyle w:val="Normal"/>
        <w:ind w:start="1440" w:end="0"/>
        <w:rPr>
          <w:sz w:val="20"/>
        </w:rPr>
      </w:pPr>
      <w:r>
        <w:rPr>
          <w:sz w:val="20"/>
        </w:rPr>
        <w:t>Below are Business Practices associated with Transmission Requests for Transmission Service from the original Transmission Provider.</w:t>
      </w:r>
    </w:p>
    <w:p>
      <w:pPr>
        <w:pStyle w:val="Normal"/>
        <w:ind w:start="1440" w:end="0"/>
        <w:rPr>
          <w:sz w:val="20"/>
        </w:rPr>
      </w:pPr>
      <w:r>
        <w:rPr>
          <w:sz w:val="20"/>
        </w:rPr>
        <w:t xml:space="preserve"> </w:t>
      </w:r>
    </w:p>
    <w:p>
      <w:pPr>
        <w:pStyle w:val="Normal"/>
        <w:numPr>
          <w:ilvl w:val="2"/>
          <w:numId w:val="13"/>
        </w:numPr>
        <w:rPr>
          <w:sz w:val="20"/>
        </w:rPr>
      </w:pPr>
      <w:r>
        <w:rPr>
          <w:sz w:val="20"/>
        </w:rPr>
        <w:t>Firm Requests in excess of Transmission Capability</w:t>
      </w:r>
    </w:p>
    <w:p>
      <w:pPr>
        <w:pStyle w:val="Normal"/>
        <w:ind w:start="1620" w:end="0"/>
        <w:rPr>
          <w:sz w:val="20"/>
        </w:rPr>
      </w:pPr>
      <w:r>
        <w:rPr>
          <w:sz w:val="20"/>
        </w:rPr>
      </w:r>
    </w:p>
    <w:p>
      <w:pPr>
        <w:pStyle w:val="Normal"/>
        <w:ind w:start="2160" w:end="0"/>
        <w:rPr>
          <w:sz w:val="20"/>
        </w:rPr>
      </w:pPr>
      <w:r>
        <w:rPr>
          <w:sz w:val="20"/>
        </w:rPr>
        <w:t>No firm transmission request shall be granted that creates a potential operating security limit violation under reasonably expected conditions according to NERC planning guidelines unless the following conditions are met.</w:t>
      </w:r>
    </w:p>
    <w:p>
      <w:pPr>
        <w:pStyle w:val="Normal"/>
        <w:ind w:start="2160" w:end="0"/>
        <w:rPr>
          <w:sz w:val="20"/>
        </w:rPr>
      </w:pPr>
      <w:r>
        <w:rPr>
          <w:sz w:val="20"/>
        </w:rPr>
      </w:r>
    </w:p>
    <w:p>
      <w:pPr>
        <w:pStyle w:val="Normal"/>
        <w:numPr>
          <w:ilvl w:val="3"/>
          <w:numId w:val="13"/>
        </w:numPr>
        <w:rPr>
          <w:sz w:val="20"/>
        </w:rPr>
      </w:pPr>
      <w:r>
        <w:rPr>
          <w:sz w:val="20"/>
        </w:rPr>
        <w:t>System improvements can be made to accommodate the request prior to the requested service period and the incremental cost of such improvements is less than the average system tariff.</w:t>
      </w:r>
    </w:p>
    <w:p>
      <w:pPr>
        <w:pStyle w:val="Normal"/>
        <w:numPr>
          <w:ilvl w:val="3"/>
          <w:numId w:val="13"/>
        </w:numPr>
        <w:rPr>
          <w:sz w:val="20"/>
        </w:rPr>
      </w:pPr>
      <w:r>
        <w:rPr>
          <w:sz w:val="20"/>
        </w:rPr>
        <w:t>System improvements can be made to accommodate the request prior to the requested service period, the incremental cost of such improvements is greater than the average system tariff rate, and the customer is willing to pay the incremental cost of making the improvements.</w:t>
      </w:r>
    </w:p>
    <w:p>
      <w:pPr>
        <w:pStyle w:val="Normal"/>
        <w:numPr>
          <w:ilvl w:val="3"/>
          <w:numId w:val="13"/>
        </w:numPr>
        <w:rPr>
          <w:sz w:val="20"/>
        </w:rPr>
      </w:pPr>
      <w:r>
        <w:rPr>
          <w:sz w:val="20"/>
        </w:rPr>
        <w:t>Transmission service can be granted contingent upon available operating procedures that will alleviate the operating security limit violation and the customer is willing to bear the directly assignable cost of such operating procedures.  These costs to be identified and agreed to in advance.</w:t>
      </w:r>
    </w:p>
    <w:p>
      <w:pPr>
        <w:pStyle w:val="Normal"/>
        <w:numPr>
          <w:ilvl w:val="3"/>
          <w:numId w:val="13"/>
        </w:numPr>
        <w:rPr>
          <w:sz w:val="20"/>
        </w:rPr>
      </w:pPr>
      <w:r>
        <w:rPr>
          <w:sz w:val="20"/>
        </w:rPr>
        <w:t xml:space="preserve">Partial transmission service can be granted to requests that are comprised of multiple periods where transmission capability is available for some but not all of the requested periods.  The transmission customer is permitted to accept some or all of the requested periods that have Available Transmission Capability. </w:t>
      </w:r>
    </w:p>
    <w:p>
      <w:pPr>
        <w:pStyle w:val="BodyTextIndent"/>
        <w:ind w:start="0" w:end="0"/>
        <w:rPr>
          <w:sz w:val="20"/>
        </w:rPr>
      </w:pPr>
      <w:r>
        <w:rPr>
          <w:sz w:val="20"/>
        </w:rPr>
      </w:r>
    </w:p>
    <w:p>
      <w:pPr>
        <w:pStyle w:val="Normal"/>
        <w:ind w:start="2160" w:end="0"/>
        <w:rPr>
          <w:sz w:val="20"/>
        </w:rPr>
      </w:pPr>
      <w:r>
        <w:rPr>
          <w:sz w:val="20"/>
        </w:rPr>
      </w:r>
    </w:p>
    <w:p>
      <w:pPr>
        <w:pStyle w:val="Normal"/>
        <w:numPr>
          <w:ilvl w:val="2"/>
          <w:numId w:val="13"/>
        </w:numPr>
        <w:rPr>
          <w:sz w:val="20"/>
        </w:rPr>
      </w:pPr>
      <w:r>
        <w:rPr>
          <w:sz w:val="20"/>
        </w:rPr>
        <w:t>Non-Firm Requests in excess of Transmission Capability</w:t>
      </w:r>
    </w:p>
    <w:p>
      <w:pPr>
        <w:pStyle w:val="Normal"/>
        <w:ind w:start="2160" w:end="0"/>
        <w:rPr>
          <w:sz w:val="20"/>
        </w:rPr>
      </w:pPr>
      <w:r>
        <w:rPr>
          <w:sz w:val="20"/>
        </w:rPr>
      </w:r>
    </w:p>
    <w:p>
      <w:pPr>
        <w:pStyle w:val="BodyTextIndent"/>
        <w:rPr/>
      </w:pPr>
      <w:r>
        <w:rPr/>
        <w:t>No non-firm transmission request shall be granted that creates a potential operating security limit violation under reasonably expected conditions according to NERC planning guidelines unless the customer is willing to pay his/her share of operating procedure costs associated with alleviating the operating security limit violation.</w:t>
      </w:r>
    </w:p>
    <w:p>
      <w:pPr>
        <w:pStyle w:val="BodyTextIndent"/>
        <w:rPr/>
      </w:pPr>
      <w:r>
        <w:rPr/>
      </w:r>
    </w:p>
    <w:p>
      <w:pPr>
        <w:pStyle w:val="Normal"/>
        <w:numPr>
          <w:ilvl w:val="2"/>
          <w:numId w:val="13"/>
        </w:numPr>
        <w:rPr>
          <w:sz w:val="20"/>
        </w:rPr>
      </w:pPr>
      <w:r>
        <w:rPr>
          <w:sz w:val="20"/>
        </w:rPr>
        <w:t>Source/Sink Requirements</w:t>
      </w:r>
    </w:p>
    <w:p>
      <w:pPr>
        <w:pStyle w:val="Normal"/>
        <w:ind w:start="2160" w:end="0"/>
        <w:rPr>
          <w:sz w:val="20"/>
        </w:rPr>
      </w:pPr>
      <w:r>
        <w:rPr>
          <w:sz w:val="20"/>
        </w:rPr>
      </w:r>
    </w:p>
    <w:p>
      <w:pPr>
        <w:pStyle w:val="BodyTextIndent"/>
        <w:rPr/>
      </w:pPr>
      <w:r>
        <w:rPr/>
        <w:t>All transmission service requests shall be granted based on security evaluations using the source and sink supplied in the transmission service request application.  Source and Sink requirements are specified by the specific Transmission Providers OATT.  In the event that source and sink information is not required and omitted from the application, it shall be assumed that the source is associated with the generator zone of the stated point of receipt and the load is associated with the load zone of the stated point of delivery.</w:t>
      </w:r>
    </w:p>
    <w:p>
      <w:pPr>
        <w:pStyle w:val="Normal"/>
        <w:rPr>
          <w:sz w:val="20"/>
        </w:rPr>
      </w:pPr>
      <w:r>
        <w:rPr>
          <w:sz w:val="20"/>
        </w:rPr>
      </w:r>
    </w:p>
    <w:p>
      <w:pPr>
        <w:pStyle w:val="Normal"/>
        <w:numPr>
          <w:ilvl w:val="1"/>
          <w:numId w:val="13"/>
        </w:numPr>
        <w:rPr>
          <w:sz w:val="20"/>
        </w:rPr>
      </w:pPr>
      <w:r>
        <w:rPr>
          <w:sz w:val="20"/>
        </w:rPr>
        <w:t>Secondary Transmission Market</w:t>
      </w:r>
    </w:p>
    <w:p>
      <w:pPr>
        <w:pStyle w:val="Normal"/>
        <w:ind w:start="1440" w:end="0"/>
        <w:rPr>
          <w:sz w:val="20"/>
        </w:rPr>
      </w:pPr>
      <w:r>
        <w:rPr>
          <w:sz w:val="20"/>
        </w:rPr>
      </w:r>
    </w:p>
    <w:p>
      <w:pPr>
        <w:pStyle w:val="Normal"/>
        <w:ind w:start="1440" w:end="0"/>
        <w:rPr>
          <w:sz w:val="20"/>
        </w:rPr>
      </w:pPr>
      <w:r>
        <w:rPr>
          <w:sz w:val="20"/>
        </w:rPr>
        <w:t>Below are Business Practices associated with the Re-Sale/Re-Assignment of transmission rights by the original Transmission Customer.</w:t>
      </w:r>
    </w:p>
    <w:p>
      <w:pPr>
        <w:pStyle w:val="Normal"/>
        <w:ind w:start="1440" w:end="0"/>
        <w:rPr>
          <w:sz w:val="20"/>
        </w:rPr>
      </w:pPr>
      <w:r>
        <w:rPr>
          <w:sz w:val="20"/>
        </w:rPr>
      </w:r>
    </w:p>
    <w:p>
      <w:pPr>
        <w:pStyle w:val="Normal"/>
        <w:ind w:start="1440" w:end="0"/>
        <w:rPr>
          <w:sz w:val="20"/>
        </w:rPr>
      </w:pPr>
      <w:r>
        <w:rPr>
          <w:sz w:val="20"/>
        </w:rPr>
        <w:t>All sales of transmission service on the secondary transmission market will be subject to the same terms, conditions, and business practices associated with primary sales of transmission service.</w:t>
      </w:r>
    </w:p>
    <w:p>
      <w:pPr>
        <w:pStyle w:val="Normal"/>
        <w:ind w:start="1440" w:end="0"/>
        <w:rPr>
          <w:sz w:val="20"/>
        </w:rPr>
      </w:pPr>
      <w:r>
        <w:rPr>
          <w:sz w:val="20"/>
        </w:rPr>
      </w:r>
    </w:p>
    <w:p>
      <w:pPr>
        <w:pStyle w:val="Normal"/>
        <w:numPr>
          <w:ilvl w:val="2"/>
          <w:numId w:val="13"/>
        </w:numPr>
        <w:rPr>
          <w:sz w:val="20"/>
        </w:rPr>
      </w:pPr>
      <w:r>
        <w:rPr>
          <w:sz w:val="20"/>
        </w:rPr>
        <w:t>Re-Sale</w:t>
      </w:r>
    </w:p>
    <w:p>
      <w:pPr>
        <w:pStyle w:val="Normal"/>
        <w:ind w:start="2160" w:end="0"/>
        <w:rPr>
          <w:sz w:val="20"/>
        </w:rPr>
      </w:pPr>
      <w:r>
        <w:rPr>
          <w:sz w:val="20"/>
        </w:rPr>
      </w:r>
    </w:p>
    <w:p>
      <w:pPr>
        <w:pStyle w:val="BodyTextIndent"/>
        <w:rPr/>
      </w:pPr>
      <w:r>
        <w:rPr/>
        <w:t>A resale of transmission rights involves a two-party arrangement between the original transmission rights purchaser and the secondary transmission rights purchaser, with the original purchaser maintaining all original obligations with the primary transmission provider.</w:t>
      </w:r>
    </w:p>
    <w:p>
      <w:pPr>
        <w:pStyle w:val="Normal"/>
        <w:ind w:start="1620" w:end="0"/>
        <w:rPr>
          <w:sz w:val="20"/>
        </w:rPr>
      </w:pPr>
      <w:r>
        <w:rPr>
          <w:sz w:val="20"/>
        </w:rPr>
      </w:r>
    </w:p>
    <w:p>
      <w:pPr>
        <w:pStyle w:val="Normal"/>
        <w:numPr>
          <w:ilvl w:val="3"/>
          <w:numId w:val="13"/>
        </w:numPr>
        <w:rPr>
          <w:sz w:val="20"/>
        </w:rPr>
      </w:pPr>
      <w:r>
        <w:rPr>
          <w:sz w:val="20"/>
        </w:rPr>
        <w:t>Re-Sales of transmission rights are not posted on OASIS.</w:t>
      </w:r>
    </w:p>
    <w:p>
      <w:pPr>
        <w:pStyle w:val="Normal"/>
        <w:numPr>
          <w:ilvl w:val="3"/>
          <w:numId w:val="13"/>
        </w:numPr>
        <w:rPr>
          <w:sz w:val="20"/>
        </w:rPr>
      </w:pPr>
      <w:r>
        <w:rPr>
          <w:sz w:val="20"/>
        </w:rPr>
        <w:t>The primary transmission provider is not required to be notified of a resale of transmission rights.</w:t>
      </w:r>
    </w:p>
    <w:p>
      <w:pPr>
        <w:pStyle w:val="Normal"/>
        <w:numPr>
          <w:ilvl w:val="3"/>
          <w:numId w:val="13"/>
        </w:numPr>
        <w:rPr>
          <w:sz w:val="20"/>
        </w:rPr>
      </w:pPr>
      <w:r>
        <w:rPr>
          <w:sz w:val="20"/>
        </w:rPr>
        <w:t>The Original transmission rights purchaser retains all approval rights associated with the use the transmission rights.</w:t>
      </w:r>
    </w:p>
    <w:p>
      <w:pPr>
        <w:pStyle w:val="Normal"/>
        <w:numPr>
          <w:ilvl w:val="3"/>
          <w:numId w:val="13"/>
        </w:numPr>
        <w:rPr>
          <w:sz w:val="20"/>
        </w:rPr>
      </w:pPr>
      <w:r>
        <w:rPr>
          <w:sz w:val="20"/>
        </w:rPr>
        <w:t>The secondary transmission rights purchaser need not be a signatory to the primary transmission providers OATT.</w:t>
      </w:r>
    </w:p>
    <w:p>
      <w:pPr>
        <w:pStyle w:val="Normal"/>
        <w:rPr>
          <w:sz w:val="20"/>
        </w:rPr>
      </w:pPr>
      <w:r>
        <w:rPr>
          <w:sz w:val="20"/>
        </w:rPr>
      </w:r>
    </w:p>
    <w:p>
      <w:pPr>
        <w:pStyle w:val="Normal"/>
        <w:numPr>
          <w:ilvl w:val="2"/>
          <w:numId w:val="13"/>
        </w:numPr>
        <w:rPr>
          <w:sz w:val="20"/>
        </w:rPr>
      </w:pPr>
      <w:r>
        <w:rPr>
          <w:sz w:val="20"/>
        </w:rPr>
        <w:t>Re-Assignment</w:t>
      </w:r>
    </w:p>
    <w:p>
      <w:pPr>
        <w:pStyle w:val="Normal"/>
        <w:ind w:start="2160" w:end="0"/>
        <w:rPr>
          <w:sz w:val="20"/>
        </w:rPr>
      </w:pPr>
      <w:r>
        <w:rPr>
          <w:sz w:val="20"/>
        </w:rPr>
      </w:r>
    </w:p>
    <w:p>
      <w:pPr>
        <w:pStyle w:val="BodyTextIndent"/>
        <w:rPr/>
      </w:pPr>
      <w:r>
        <w:rPr/>
        <w:t>A re-assignment of transmission rights involves a complete removal of the original transmission rights purchaser from all obligations to the primary transmission provider, with all rights and obligations transferring to the secondary transmission rights purchaser.</w:t>
      </w:r>
    </w:p>
    <w:p>
      <w:pPr>
        <w:pStyle w:val="Normal"/>
        <w:ind w:start="2880" w:end="0"/>
        <w:rPr>
          <w:sz w:val="20"/>
        </w:rPr>
      </w:pPr>
      <w:r>
        <w:rPr>
          <w:sz w:val="20"/>
        </w:rPr>
      </w:r>
    </w:p>
    <w:p>
      <w:pPr>
        <w:pStyle w:val="Normal"/>
        <w:numPr>
          <w:ilvl w:val="3"/>
          <w:numId w:val="13"/>
        </w:numPr>
        <w:rPr>
          <w:sz w:val="20"/>
        </w:rPr>
      </w:pPr>
      <w:r>
        <w:rPr>
          <w:sz w:val="20"/>
        </w:rPr>
        <w:t>Re-Assignment of transmission rights must be posted on OASIS</w:t>
      </w:r>
    </w:p>
    <w:p>
      <w:pPr>
        <w:pStyle w:val="Normal"/>
        <w:numPr>
          <w:ilvl w:val="3"/>
          <w:numId w:val="13"/>
        </w:numPr>
        <w:rPr>
          <w:sz w:val="20"/>
        </w:rPr>
      </w:pPr>
      <w:r>
        <w:rPr>
          <w:sz w:val="20"/>
        </w:rPr>
        <w:t>The primary transmission provider must be notified of the re-assignment of transmission rights.</w:t>
      </w:r>
    </w:p>
    <w:p>
      <w:pPr>
        <w:pStyle w:val="Normal"/>
        <w:numPr>
          <w:ilvl w:val="3"/>
          <w:numId w:val="13"/>
        </w:numPr>
        <w:rPr>
          <w:sz w:val="20"/>
        </w:rPr>
      </w:pPr>
      <w:r>
        <w:rPr>
          <w:sz w:val="20"/>
        </w:rPr>
        <w:t>The secondary transmission rights purchaser receives all approval rights associated with the use the re-assigned transmission rights.</w:t>
      </w:r>
    </w:p>
    <w:p>
      <w:pPr>
        <w:pStyle w:val="Normal"/>
        <w:numPr>
          <w:ilvl w:val="3"/>
          <w:numId w:val="13"/>
        </w:numPr>
        <w:rPr>
          <w:sz w:val="20"/>
        </w:rPr>
      </w:pPr>
      <w:r>
        <w:rPr>
          <w:sz w:val="20"/>
        </w:rPr>
        <w:t>A re-assignment of transmission rights involves a complete removal of the original transmission rights purchaser from all obligations to the primary transmission provider.</w:t>
      </w:r>
    </w:p>
    <w:p>
      <w:pPr>
        <w:pStyle w:val="Normal"/>
        <w:numPr>
          <w:ilvl w:val="3"/>
          <w:numId w:val="13"/>
        </w:numPr>
        <w:rPr>
          <w:sz w:val="20"/>
        </w:rPr>
      </w:pPr>
      <w:r>
        <w:rPr>
          <w:sz w:val="20"/>
        </w:rPr>
        <w:t>The secondary transmission rights purchaser must be a signatory to the primary transmission providers OATT.</w:t>
      </w:r>
    </w:p>
    <w:p>
      <w:pPr>
        <w:pStyle w:val="Normal"/>
        <w:numPr>
          <w:ilvl w:val="3"/>
          <w:numId w:val="13"/>
        </w:numPr>
        <w:rPr>
          <w:color w:val="FF0000"/>
          <w:sz w:val="20"/>
        </w:rPr>
      </w:pPr>
      <w:r>
        <w:rPr>
          <w:sz w:val="20"/>
        </w:rPr>
        <w:t>Owners of transmission service rights may subdivide those rights into any MW and/or service period granularity not to exceed the MW and/or service period of the original request.</w:t>
      </w:r>
    </w:p>
    <w:p>
      <w:pPr>
        <w:pStyle w:val="Normal"/>
        <w:numPr>
          <w:ilvl w:val="3"/>
          <w:numId w:val="13"/>
        </w:numPr>
        <w:rPr>
          <w:sz w:val="20"/>
        </w:rPr>
      </w:pPr>
      <w:r>
        <w:rPr>
          <w:sz w:val="20"/>
        </w:rPr>
        <w:t>Owners or transmission rights may re-assign their transmission rights with an alternate POR or and alternate POD with prior approval from the original transmission provider.</w:t>
      </w:r>
    </w:p>
    <w:p>
      <w:pPr>
        <w:pStyle w:val="Normal"/>
        <w:ind w:start="1440" w:end="0"/>
        <w:rPr>
          <w:sz w:val="20"/>
        </w:rPr>
      </w:pPr>
      <w:r>
        <w:rPr>
          <w:sz w:val="20"/>
        </w:rPr>
      </w:r>
    </w:p>
    <w:p>
      <w:pPr>
        <w:pStyle w:val="Normal"/>
        <w:ind w:start="1440" w:end="0"/>
        <w:rPr>
          <w:sz w:val="20"/>
        </w:rPr>
      </w:pPr>
      <w:r>
        <w:rPr>
          <w:sz w:val="20"/>
        </w:rPr>
      </w:r>
    </w:p>
    <w:p>
      <w:pPr>
        <w:pStyle w:val="Normal"/>
        <w:rPr>
          <w:sz w:val="20"/>
        </w:rPr>
      </w:pPr>
      <w:r>
        <w:rPr>
          <w:sz w:val="20"/>
        </w:rPr>
      </w:r>
    </w:p>
    <w:p>
      <w:pPr>
        <w:pStyle w:val="Normal"/>
        <w:numPr>
          <w:ilvl w:val="0"/>
          <w:numId w:val="13"/>
        </w:numPr>
        <w:rPr>
          <w:sz w:val="20"/>
        </w:rPr>
      </w:pPr>
      <w:r>
        <w:rPr>
          <w:sz w:val="20"/>
        </w:rPr>
        <w:t>Energy Scheduling</w:t>
      </w:r>
    </w:p>
    <w:p>
      <w:pPr>
        <w:pStyle w:val="Normal"/>
        <w:ind w:start="720" w:end="0"/>
        <w:rPr>
          <w:sz w:val="20"/>
        </w:rPr>
      </w:pPr>
      <w:r>
        <w:rPr>
          <w:sz w:val="20"/>
        </w:rPr>
      </w:r>
    </w:p>
    <w:p>
      <w:pPr>
        <w:pStyle w:val="BodyTextIndent2"/>
        <w:rPr/>
      </w:pPr>
      <w:r>
        <w:rPr/>
        <w:t>Below are Business Practices associated with Energy Schedule Requests.  Energy Schedule Requests are assumed to be either Schedules or Schedule Fragments.</w:t>
      </w:r>
    </w:p>
    <w:p>
      <w:pPr>
        <w:pStyle w:val="Normal"/>
        <w:ind w:start="1080" w:end="0"/>
        <w:rPr>
          <w:sz w:val="20"/>
        </w:rPr>
      </w:pPr>
      <w:r>
        <w:rPr>
          <w:sz w:val="20"/>
        </w:rPr>
      </w:r>
    </w:p>
    <w:p>
      <w:pPr>
        <w:pStyle w:val="Normal"/>
        <w:numPr>
          <w:ilvl w:val="1"/>
          <w:numId w:val="13"/>
        </w:numPr>
        <w:rPr>
          <w:sz w:val="20"/>
        </w:rPr>
      </w:pPr>
      <w:r>
        <w:rPr>
          <w:sz w:val="20"/>
        </w:rPr>
        <w:t>Approval rights associated with the initial Energy Schedule Request</w:t>
      </w:r>
    </w:p>
    <w:p>
      <w:pPr>
        <w:pStyle w:val="Normal"/>
        <w:ind w:start="1980" w:end="0"/>
        <w:rPr>
          <w:sz w:val="20"/>
        </w:rPr>
      </w:pPr>
      <w:r>
        <w:rPr>
          <w:sz w:val="20"/>
        </w:rPr>
      </w:r>
    </w:p>
    <w:p>
      <w:pPr>
        <w:pStyle w:val="Normal"/>
        <w:numPr>
          <w:ilvl w:val="2"/>
          <w:numId w:val="13"/>
        </w:numPr>
        <w:rPr>
          <w:sz w:val="20"/>
        </w:rPr>
      </w:pPr>
      <w:r>
        <w:rPr>
          <w:sz w:val="20"/>
        </w:rPr>
        <w:t>Types of Approvals/Denials</w:t>
      </w:r>
    </w:p>
    <w:p>
      <w:pPr>
        <w:pStyle w:val="Normal"/>
        <w:ind w:start="1620" w:end="0"/>
        <w:rPr>
          <w:sz w:val="20"/>
        </w:rPr>
      </w:pPr>
      <w:r>
        <w:rPr>
          <w:sz w:val="20"/>
        </w:rPr>
      </w:r>
    </w:p>
    <w:p>
      <w:pPr>
        <w:pStyle w:val="Normal"/>
        <w:numPr>
          <w:ilvl w:val="3"/>
          <w:numId w:val="13"/>
        </w:numPr>
        <w:tabs>
          <w:tab w:val="clear" w:pos="720"/>
          <w:tab w:val="left" w:pos="2347" w:leader="none"/>
        </w:tabs>
        <w:ind w:hanging="360" w:start="2347" w:end="0"/>
        <w:rPr>
          <w:sz w:val="20"/>
        </w:rPr>
      </w:pPr>
      <w:r>
        <w:rPr>
          <w:sz w:val="20"/>
        </w:rPr>
        <w:t>Approvals – All energy schedule approvals shall be passive where Passive Approval means that all approval entities have a responsibility to evaluate schedules under their purview.  Any schedules not explicitly denied within appropriate timing requirements shall be deemed approved and scheduled.</w:t>
      </w:r>
    </w:p>
    <w:p>
      <w:pPr>
        <w:pStyle w:val="Normal"/>
        <w:numPr>
          <w:ilvl w:val="3"/>
          <w:numId w:val="13"/>
        </w:numPr>
        <w:tabs>
          <w:tab w:val="clear" w:pos="720"/>
          <w:tab w:val="left" w:pos="2347" w:leader="none"/>
        </w:tabs>
        <w:ind w:hanging="360" w:start="2347" w:end="0"/>
        <w:rPr>
          <w:sz w:val="20"/>
        </w:rPr>
      </w:pPr>
      <w:r>
        <w:rPr>
          <w:sz w:val="20"/>
        </w:rPr>
        <w:t>Denials - All energy schedule denials with the exception of those by the Security Coordinator shall be pending denied where Pending Denied means that the energy schedule request shall not become denied until the approval window for the energy schedule request has expired.  During the pending denial period, the entity responsible for submitting the energy schedule request may contact the approval entity for reconsideration or submit necessary corrections to resolve the problem.  No entity may deny an energy schedule request based solely on the pending denial of another approval entity.</w:t>
      </w:r>
    </w:p>
    <w:p>
      <w:pPr>
        <w:pStyle w:val="Normal"/>
        <w:ind w:start="2160" w:end="0"/>
        <w:rPr>
          <w:sz w:val="20"/>
        </w:rPr>
      </w:pPr>
      <w:r>
        <w:rPr>
          <w:sz w:val="20"/>
        </w:rPr>
      </w:r>
    </w:p>
    <w:p>
      <w:pPr>
        <w:pStyle w:val="Normal"/>
        <w:numPr>
          <w:ilvl w:val="2"/>
          <w:numId w:val="13"/>
        </w:numPr>
        <w:rPr>
          <w:sz w:val="20"/>
        </w:rPr>
      </w:pPr>
      <w:r>
        <w:rPr>
          <w:sz w:val="20"/>
        </w:rPr>
        <w:t>General issues</w:t>
      </w:r>
    </w:p>
    <w:p>
      <w:pPr>
        <w:pStyle w:val="Normal"/>
        <w:ind w:start="1980" w:end="0"/>
        <w:rPr>
          <w:sz w:val="20"/>
        </w:rPr>
      </w:pPr>
      <w:r>
        <w:rPr>
          <w:sz w:val="20"/>
        </w:rPr>
      </w:r>
    </w:p>
    <w:p>
      <w:pPr>
        <w:pStyle w:val="Normal"/>
        <w:numPr>
          <w:ilvl w:val="2"/>
          <w:numId w:val="19"/>
        </w:numPr>
        <w:tabs>
          <w:tab w:val="clear" w:pos="720"/>
          <w:tab w:val="left" w:pos="2520" w:leader="none"/>
        </w:tabs>
        <w:ind w:hanging="360" w:start="2347" w:end="0"/>
        <w:rPr>
          <w:sz w:val="20"/>
        </w:rPr>
      </w:pPr>
      <w:r>
        <w:rPr>
          <w:sz w:val="20"/>
        </w:rPr>
        <w:t>All transmission providers, control area operators, generation providers, transmission service rights owners, and load serving entities shall have passive approval rights to energy schedules.</w:t>
      </w:r>
    </w:p>
    <w:p>
      <w:pPr>
        <w:pStyle w:val="Normal"/>
        <w:numPr>
          <w:ilvl w:val="2"/>
          <w:numId w:val="19"/>
        </w:numPr>
        <w:rPr>
          <w:sz w:val="20"/>
        </w:rPr>
      </w:pPr>
      <w:r>
        <w:rPr>
          <w:sz w:val="20"/>
        </w:rPr>
        <w:t>All approval entities receiving an energy schedule request must acknowledge receipt of that request.</w:t>
      </w:r>
    </w:p>
    <w:p>
      <w:pPr>
        <w:pStyle w:val="Normal"/>
        <w:numPr>
          <w:ilvl w:val="2"/>
          <w:numId w:val="19"/>
        </w:numPr>
        <w:ind w:hanging="360" w:start="2347" w:end="0"/>
        <w:rPr>
          <w:sz w:val="20"/>
        </w:rPr>
      </w:pPr>
      <w:r>
        <w:rPr>
          <w:sz w:val="20"/>
        </w:rPr>
        <w:t>Only a Security Coordinator can deny an approved energy schedule request.</w:t>
      </w:r>
    </w:p>
    <w:p>
      <w:pPr>
        <w:pStyle w:val="Normal"/>
        <w:numPr>
          <w:ilvl w:val="2"/>
          <w:numId w:val="19"/>
        </w:numPr>
        <w:rPr>
          <w:sz w:val="20"/>
        </w:rPr>
      </w:pPr>
      <w:r>
        <w:rPr>
          <w:sz w:val="20"/>
        </w:rPr>
        <w:t>The denial of an approved energy schedule request must be accompanied with documentation of the reasons for that denial.</w:t>
      </w:r>
    </w:p>
    <w:p>
      <w:pPr>
        <w:pStyle w:val="Normal"/>
        <w:ind w:start="1620" w:end="0"/>
        <w:rPr>
          <w:sz w:val="20"/>
        </w:rPr>
      </w:pPr>
      <w:r>
        <w:rPr>
          <w:sz w:val="20"/>
        </w:rPr>
      </w:r>
    </w:p>
    <w:p>
      <w:pPr>
        <w:pStyle w:val="Normal"/>
        <w:numPr>
          <w:ilvl w:val="2"/>
          <w:numId w:val="13"/>
        </w:numPr>
        <w:rPr>
          <w:sz w:val="20"/>
        </w:rPr>
      </w:pPr>
      <w:r>
        <w:rPr>
          <w:sz w:val="20"/>
        </w:rPr>
        <w:t>Transmission Providers</w:t>
      </w:r>
    </w:p>
    <w:p>
      <w:pPr>
        <w:pStyle w:val="BodyTextIndent"/>
        <w:rPr>
          <w:sz w:val="20"/>
        </w:rPr>
      </w:pPr>
      <w:r>
        <w:rPr>
          <w:sz w:val="20"/>
        </w:rPr>
      </w:r>
    </w:p>
    <w:p>
      <w:pPr>
        <w:pStyle w:val="BodyTextIndent"/>
        <w:rPr/>
      </w:pPr>
      <w:r>
        <w:rPr/>
        <w:t>Transmission providers shall have the right to approve or deny a schedule based upon the following requirements:</w:t>
      </w:r>
    </w:p>
    <w:p>
      <w:pPr>
        <w:pStyle w:val="Normal"/>
        <w:ind w:start="2520" w:end="0"/>
        <w:rPr>
          <w:sz w:val="20"/>
        </w:rPr>
      </w:pPr>
      <w:r>
        <w:rPr>
          <w:sz w:val="20"/>
        </w:rPr>
      </w:r>
    </w:p>
    <w:p>
      <w:pPr>
        <w:pStyle w:val="Normal"/>
        <w:numPr>
          <w:ilvl w:val="2"/>
          <w:numId w:val="19"/>
        </w:numPr>
        <w:tabs>
          <w:tab w:val="clear" w:pos="720"/>
          <w:tab w:val="left" w:pos="2520" w:leader="none"/>
        </w:tabs>
        <w:ind w:hanging="360" w:start="2347" w:end="0"/>
        <w:rPr>
          <w:sz w:val="20"/>
        </w:rPr>
      </w:pPr>
      <w:r>
        <w:rPr>
          <w:sz w:val="20"/>
        </w:rPr>
        <w:t>All energy schedule requests between RTOs must have an approved transmission service request of sufficient capacity to support the MW profile.</w:t>
      </w:r>
    </w:p>
    <w:p>
      <w:pPr>
        <w:pStyle w:val="Normal"/>
        <w:numPr>
          <w:ilvl w:val="2"/>
          <w:numId w:val="19"/>
        </w:numPr>
        <w:tabs>
          <w:tab w:val="clear" w:pos="720"/>
          <w:tab w:val="left" w:pos="2520" w:leader="none"/>
        </w:tabs>
        <w:ind w:hanging="360" w:start="2347" w:end="0"/>
        <w:rPr>
          <w:sz w:val="20"/>
        </w:rPr>
      </w:pPr>
      <w:r>
        <w:rPr>
          <w:sz w:val="20"/>
        </w:rPr>
        <w:t>All energy schedules requests between RTOs must indicate a proper provision for supplying or purchasing losses.</w:t>
      </w:r>
    </w:p>
    <w:p>
      <w:pPr>
        <w:pStyle w:val="Normal"/>
        <w:numPr>
          <w:ilvl w:val="2"/>
          <w:numId w:val="19"/>
        </w:numPr>
        <w:tabs>
          <w:tab w:val="clear" w:pos="720"/>
          <w:tab w:val="left" w:pos="2520" w:leader="none"/>
        </w:tabs>
        <w:ind w:hanging="360" w:start="2347" w:end="0"/>
        <w:rPr>
          <w:sz w:val="20"/>
        </w:rPr>
      </w:pPr>
      <w:r>
        <w:rPr>
          <w:sz w:val="20"/>
        </w:rPr>
        <w:t>All energy schedule requests between RTOs must indicate a POR and POD consistent with that of the transmission service request.</w:t>
      </w:r>
    </w:p>
    <w:p>
      <w:pPr>
        <w:pStyle w:val="Normal"/>
        <w:numPr>
          <w:ilvl w:val="2"/>
          <w:numId w:val="19"/>
        </w:numPr>
        <w:tabs>
          <w:tab w:val="clear" w:pos="720"/>
          <w:tab w:val="left" w:pos="2520" w:leader="none"/>
        </w:tabs>
        <w:ind w:hanging="360" w:start="2347" w:end="0"/>
        <w:rPr>
          <w:sz w:val="20"/>
        </w:rPr>
      </w:pPr>
      <w:r>
        <w:rPr>
          <w:sz w:val="20"/>
        </w:rPr>
        <w:t>All energy schedule requests between RTOs must indicate a source and sink that agrees with the source and sink indicated on the transmission reservation with the following exceptions:</w:t>
      </w:r>
    </w:p>
    <w:p>
      <w:pPr>
        <w:pStyle w:val="Normal"/>
        <w:numPr>
          <w:ilvl w:val="3"/>
          <w:numId w:val="13"/>
        </w:numPr>
        <w:rPr>
          <w:sz w:val="20"/>
        </w:rPr>
      </w:pPr>
      <w:r>
        <w:rPr>
          <w:sz w:val="20"/>
        </w:rPr>
        <w:t>If the source and/or sink of the energy schedule request is different from that indicated on the transmission reservation, the source/sink of the energy schedule request shall be permitted if its impact on critical flow-gates is less than the impact of the source/sink of the transmission reservation.</w:t>
      </w:r>
    </w:p>
    <w:p>
      <w:pPr>
        <w:pStyle w:val="Normal"/>
        <w:numPr>
          <w:ilvl w:val="3"/>
          <w:numId w:val="13"/>
        </w:numPr>
        <w:rPr>
          <w:sz w:val="20"/>
        </w:rPr>
      </w:pPr>
      <w:r>
        <w:rPr>
          <w:sz w:val="20"/>
        </w:rPr>
        <w:t>Contract Path Models: If the source and/or sink of the energy schedule request is different from that indicated on the transmission reservation and its impact on the critical flow-gates is greater that the source/sink of the transmission reservation, the source/sink of the energy schedule request shall be permitted if the flow-gates are not constrained.</w:t>
      </w:r>
    </w:p>
    <w:p>
      <w:pPr>
        <w:pStyle w:val="Normal"/>
        <w:numPr>
          <w:ilvl w:val="3"/>
          <w:numId w:val="13"/>
        </w:numPr>
        <w:rPr>
          <w:sz w:val="20"/>
        </w:rPr>
      </w:pPr>
      <w:r>
        <w:rPr>
          <w:sz w:val="20"/>
        </w:rPr>
        <w:t>FGR Models: If the source and/or sink of the energy schedule request is different from that indicated on the transmission reservation and its impact on the critical flow-gates is greater that the source/sink of the transmission reservation, the source/sink of the energy schedule request shall be permitted if the flow-gates are not constrained and the customer is willing to pay for the incremental flow-gate rights.</w:t>
      </w:r>
    </w:p>
    <w:p>
      <w:pPr>
        <w:pStyle w:val="Normal"/>
        <w:rPr>
          <w:sz w:val="20"/>
        </w:rPr>
      </w:pPr>
      <w:r>
        <w:rPr>
          <w:sz w:val="20"/>
        </w:rPr>
      </w:r>
    </w:p>
    <w:p>
      <w:pPr>
        <w:pStyle w:val="Normal"/>
        <w:numPr>
          <w:ilvl w:val="2"/>
          <w:numId w:val="13"/>
        </w:numPr>
        <w:rPr>
          <w:sz w:val="20"/>
        </w:rPr>
      </w:pPr>
      <w:r>
        <w:rPr>
          <w:sz w:val="20"/>
        </w:rPr>
        <w:t>Control Areas</w:t>
      </w:r>
    </w:p>
    <w:p>
      <w:pPr>
        <w:pStyle w:val="BodyTextIndent"/>
        <w:rPr>
          <w:sz w:val="20"/>
        </w:rPr>
      </w:pPr>
      <w:r>
        <w:rPr>
          <w:sz w:val="20"/>
        </w:rPr>
      </w:r>
    </w:p>
    <w:p>
      <w:pPr>
        <w:pStyle w:val="BodyTextIndent"/>
        <w:rPr/>
      </w:pPr>
      <w:r>
        <w:rPr/>
        <w:t>Control area operators involved in scheduling the transaction shall have the right to approve or deny a schedule based solely on the basis of the control area’s ability to meet the transitional requirements of the transaction (i.e. ramping)</w:t>
      </w:r>
    </w:p>
    <w:p>
      <w:pPr>
        <w:pStyle w:val="Normal"/>
        <w:ind w:start="2520" w:end="0"/>
        <w:rPr>
          <w:sz w:val="20"/>
        </w:rPr>
      </w:pPr>
      <w:r>
        <w:rPr>
          <w:sz w:val="20"/>
        </w:rPr>
      </w:r>
    </w:p>
    <w:p>
      <w:pPr>
        <w:pStyle w:val="Normal"/>
        <w:numPr>
          <w:ilvl w:val="2"/>
          <w:numId w:val="13"/>
        </w:numPr>
        <w:rPr>
          <w:sz w:val="20"/>
        </w:rPr>
      </w:pPr>
      <w:r>
        <w:rPr>
          <w:sz w:val="20"/>
        </w:rPr>
        <w:t>IDC/Security Coordinators</w:t>
      </w:r>
    </w:p>
    <w:p>
      <w:pPr>
        <w:pStyle w:val="BodyTextIndent"/>
        <w:rPr>
          <w:sz w:val="20"/>
        </w:rPr>
      </w:pPr>
      <w:r>
        <w:rPr>
          <w:sz w:val="20"/>
        </w:rPr>
      </w:r>
    </w:p>
    <w:p>
      <w:pPr>
        <w:pStyle w:val="BodyTextIndent"/>
        <w:rPr/>
      </w:pPr>
      <w:r>
        <w:rPr/>
        <w:t xml:space="preserve">A security coordinator (via the IDC if applicable) shall have the right to approve or deny an energy schedule based upon NERC Policy 9 criteria whenever the transaction has an impact on flow-gates involved in an active TLR event. </w:t>
      </w:r>
    </w:p>
    <w:p>
      <w:pPr>
        <w:pStyle w:val="BodyTextIndent"/>
        <w:rPr/>
      </w:pPr>
      <w:r>
        <w:rPr/>
      </w:r>
    </w:p>
    <w:p>
      <w:pPr>
        <w:pStyle w:val="Normal"/>
        <w:numPr>
          <w:ilvl w:val="2"/>
          <w:numId w:val="13"/>
        </w:numPr>
        <w:rPr>
          <w:sz w:val="20"/>
        </w:rPr>
      </w:pPr>
      <w:r>
        <w:rPr>
          <w:sz w:val="20"/>
        </w:rPr>
        <w:t>Generators</w:t>
      </w:r>
    </w:p>
    <w:p>
      <w:pPr>
        <w:pStyle w:val="BodyTextIndent"/>
        <w:rPr>
          <w:sz w:val="20"/>
        </w:rPr>
      </w:pPr>
      <w:r>
        <w:rPr>
          <w:sz w:val="20"/>
        </w:rPr>
      </w:r>
    </w:p>
    <w:p>
      <w:pPr>
        <w:pStyle w:val="BodyTextIndent"/>
        <w:rPr/>
      </w:pPr>
      <w:r>
        <w:rPr/>
        <w:t>Every energy schedule request shall be distributed to the entity responsible for providing the indicated generation for approval.</w:t>
      </w:r>
    </w:p>
    <w:p>
      <w:pPr>
        <w:pStyle w:val="Normal"/>
        <w:ind w:start="2160" w:end="0"/>
        <w:rPr>
          <w:sz w:val="20"/>
        </w:rPr>
      </w:pPr>
      <w:r>
        <w:rPr>
          <w:sz w:val="20"/>
        </w:rPr>
      </w:r>
    </w:p>
    <w:p>
      <w:pPr>
        <w:pStyle w:val="Normal"/>
        <w:numPr>
          <w:ilvl w:val="2"/>
          <w:numId w:val="13"/>
        </w:numPr>
        <w:rPr>
          <w:sz w:val="20"/>
        </w:rPr>
      </w:pPr>
      <w:r>
        <w:rPr>
          <w:sz w:val="20"/>
        </w:rPr>
        <w:t>Transmission Rights Owners</w:t>
      </w:r>
    </w:p>
    <w:p>
      <w:pPr>
        <w:pStyle w:val="BodyTextIndent"/>
        <w:rPr>
          <w:sz w:val="20"/>
        </w:rPr>
      </w:pPr>
      <w:r>
        <w:rPr>
          <w:sz w:val="20"/>
        </w:rPr>
      </w:r>
    </w:p>
    <w:p>
      <w:pPr>
        <w:pStyle w:val="BodyTextIndent"/>
        <w:rPr/>
      </w:pPr>
      <w:r>
        <w:rPr/>
        <w:t>Every energy schedule request shall be distributed to the entities folding the indicated transmission rights for approval.</w:t>
      </w:r>
    </w:p>
    <w:p>
      <w:pPr>
        <w:pStyle w:val="Normal"/>
        <w:rPr>
          <w:sz w:val="20"/>
        </w:rPr>
      </w:pPr>
      <w:r>
        <w:rPr>
          <w:sz w:val="20"/>
        </w:rPr>
      </w:r>
    </w:p>
    <w:p>
      <w:pPr>
        <w:pStyle w:val="Normal"/>
        <w:numPr>
          <w:ilvl w:val="2"/>
          <w:numId w:val="13"/>
        </w:numPr>
        <w:rPr>
          <w:sz w:val="20"/>
        </w:rPr>
      </w:pPr>
      <w:r>
        <w:rPr>
          <w:sz w:val="20"/>
        </w:rPr>
        <w:t>Load Serving Entities</w:t>
      </w:r>
    </w:p>
    <w:p>
      <w:pPr>
        <w:pStyle w:val="BodyTextIndent"/>
        <w:rPr>
          <w:sz w:val="20"/>
        </w:rPr>
      </w:pPr>
      <w:r>
        <w:rPr>
          <w:sz w:val="20"/>
        </w:rPr>
      </w:r>
    </w:p>
    <w:p>
      <w:pPr>
        <w:pStyle w:val="BodyTextIndent"/>
        <w:rPr/>
      </w:pPr>
      <w:r>
        <w:rPr/>
        <w:t>Every energy schedule request shall be distributed to the entity responsible for serving the indicated load for approval.</w:t>
      </w:r>
    </w:p>
    <w:p>
      <w:pPr>
        <w:pStyle w:val="Normal"/>
        <w:ind w:start="2160" w:end="0"/>
        <w:rPr>
          <w:sz w:val="20"/>
        </w:rPr>
      </w:pPr>
      <w:r>
        <w:rPr>
          <w:sz w:val="20"/>
        </w:rPr>
      </w:r>
    </w:p>
    <w:p>
      <w:pPr>
        <w:pStyle w:val="Normal"/>
        <w:numPr>
          <w:ilvl w:val="2"/>
          <w:numId w:val="13"/>
        </w:numPr>
        <w:rPr>
          <w:sz w:val="20"/>
        </w:rPr>
      </w:pPr>
      <w:r>
        <w:rPr>
          <w:sz w:val="20"/>
        </w:rPr>
        <w:t>Pre-approval rights of the Energy Schedule Request Author</w:t>
      </w:r>
    </w:p>
    <w:p>
      <w:pPr>
        <w:pStyle w:val="Normal"/>
        <w:ind w:start="2160" w:end="0"/>
        <w:rPr>
          <w:sz w:val="20"/>
        </w:rPr>
      </w:pPr>
      <w:r>
        <w:rPr>
          <w:sz w:val="20"/>
        </w:rPr>
      </w:r>
    </w:p>
    <w:p>
      <w:pPr>
        <w:pStyle w:val="Normal"/>
        <w:ind w:start="2160" w:end="0"/>
        <w:rPr>
          <w:sz w:val="20"/>
        </w:rPr>
      </w:pPr>
      <w:r>
        <w:rPr>
          <w:sz w:val="20"/>
        </w:rPr>
        <w:t>Any market participant submitting an energy schedule request for approval may “pre-approve” any segment (i.e. generation, transmission rights, or load) to which he has approval purview.  Approval process for that entity may therefore be bypassed.  By contrast, no market participant can pre-approve any energy schedule request that is submitted on behalf of another market participant who has the approval rights.</w:t>
      </w:r>
    </w:p>
    <w:p>
      <w:pPr>
        <w:pStyle w:val="Normal"/>
        <w:rPr>
          <w:sz w:val="20"/>
        </w:rPr>
      </w:pPr>
      <w:r>
        <w:rPr>
          <w:sz w:val="20"/>
        </w:rPr>
      </w:r>
    </w:p>
    <w:p>
      <w:pPr>
        <w:pStyle w:val="Normal"/>
        <w:numPr>
          <w:ilvl w:val="1"/>
          <w:numId w:val="13"/>
        </w:numPr>
        <w:rPr>
          <w:sz w:val="20"/>
        </w:rPr>
      </w:pPr>
      <w:r>
        <w:rPr>
          <w:sz w:val="20"/>
        </w:rPr>
        <w:t>Approval rights associated with corrections to the initial Energy Schedule Request</w:t>
      </w:r>
    </w:p>
    <w:p>
      <w:pPr>
        <w:pStyle w:val="BodyTextIndent3"/>
        <w:rPr>
          <w:sz w:val="20"/>
        </w:rPr>
      </w:pPr>
      <w:r>
        <w:rPr>
          <w:sz w:val="20"/>
        </w:rPr>
      </w:r>
    </w:p>
    <w:p>
      <w:pPr>
        <w:pStyle w:val="BodyTextIndent3"/>
        <w:rPr/>
      </w:pPr>
      <w:r>
        <w:rPr/>
        <w:t>A correction may only be submitted by the entity that originally submitted the energy schedule request.  Submission and approval of corrections must occur within the approval window of the originally submitted energy schedule request.  Approval rights on corrections shall only be granted to those entities directly affected by the correction.</w:t>
      </w:r>
    </w:p>
    <w:p>
      <w:pPr>
        <w:pStyle w:val="Normal"/>
        <w:rPr>
          <w:sz w:val="20"/>
        </w:rPr>
      </w:pPr>
      <w:r>
        <w:rPr>
          <w:sz w:val="20"/>
        </w:rPr>
      </w:r>
    </w:p>
    <w:p>
      <w:pPr>
        <w:pStyle w:val="Normal"/>
        <w:numPr>
          <w:ilvl w:val="1"/>
          <w:numId w:val="13"/>
        </w:numPr>
        <w:rPr>
          <w:sz w:val="20"/>
        </w:rPr>
      </w:pPr>
      <w:r>
        <w:rPr>
          <w:sz w:val="20"/>
        </w:rPr>
        <w:t>Approval rights associated with PSE Adjustments</w:t>
      </w:r>
    </w:p>
    <w:p>
      <w:pPr>
        <w:pStyle w:val="Normal"/>
        <w:ind w:start="1440" w:end="0"/>
        <w:rPr>
          <w:sz w:val="20"/>
        </w:rPr>
      </w:pPr>
      <w:r>
        <w:rPr>
          <w:sz w:val="20"/>
        </w:rPr>
      </w:r>
    </w:p>
    <w:p>
      <w:pPr>
        <w:pStyle w:val="Normal"/>
        <w:ind w:start="1440" w:end="0"/>
        <w:rPr>
          <w:sz w:val="20"/>
        </w:rPr>
      </w:pPr>
      <w:r>
        <w:rPr>
          <w:sz w:val="20"/>
        </w:rPr>
        <w:t>PSE Adjustments to an approved, implemented, or active schedule shall be subject to all the rules and requirements of a new energy schedule request.  The original energy schedule shall remain as scheduled until the adjustment is implemented and takes effect and shall not be affected if the adjustment is denied.  The original schedule shall be deemed “adjusted” once the adjustment has been approved and implemented.</w:t>
      </w:r>
    </w:p>
    <w:p>
      <w:pPr>
        <w:pStyle w:val="Normal"/>
        <w:rPr>
          <w:sz w:val="20"/>
        </w:rPr>
      </w:pPr>
      <w:r>
        <w:rPr>
          <w:sz w:val="20"/>
        </w:rPr>
      </w:r>
    </w:p>
    <w:p>
      <w:pPr>
        <w:pStyle w:val="Normal"/>
        <w:numPr>
          <w:ilvl w:val="1"/>
          <w:numId w:val="13"/>
        </w:numPr>
        <w:rPr>
          <w:sz w:val="20"/>
        </w:rPr>
      </w:pPr>
      <w:r>
        <w:rPr>
          <w:sz w:val="20"/>
        </w:rPr>
        <w:t>Approval rights associated with Replacements</w:t>
      </w:r>
    </w:p>
    <w:p>
      <w:pPr>
        <w:pStyle w:val="Normal"/>
        <w:ind w:start="720" w:end="0"/>
        <w:rPr>
          <w:sz w:val="20"/>
        </w:rPr>
      </w:pPr>
      <w:r>
        <w:rPr>
          <w:sz w:val="20"/>
        </w:rPr>
      </w:r>
    </w:p>
    <w:p>
      <w:pPr>
        <w:pStyle w:val="Normal"/>
        <w:ind w:start="1440" w:end="0"/>
        <w:rPr/>
      </w:pPr>
      <w:r>
        <w:rPr/>
        <w:t>Replacements to an approved, implemented, or active schedule shall be subject to all the rules and requirements of a new energy schedule request.  The original energy schedule shall remain as scheduled until the replacement is implemented and takes effect and shall not be affected if the replacement is denied.  The original schedule shall be deemed “terminated” once the replacement has been approved and implemented</w:t>
      </w:r>
    </w:p>
    <w:p>
      <w:pPr>
        <w:pStyle w:val="Heading6"/>
        <w:ind w:hanging="0" w:start="0"/>
        <w:rPr/>
      </w:pPr>
      <w:r>
        <w:rPr>
          <w:rPrChange w:id="0" w:author="Unknown" w:date="0-00-00T00:00:00Z"/>
        </w:rPr>
        <w:t>Schedule Timing:</w:t>
      </w:r>
    </w:p>
    <w:p>
      <w:pPr>
        <w:pStyle w:val="BodyTextIndent2"/>
        <w:rPr/>
      </w:pPr>
      <w:r>
        <w:rPr/>
        <w:t xml:space="preserve">All Participants are expected to conform to the following deadline.  These deadlines are for routine business.  </w:t>
      </w:r>
    </w:p>
    <w:p>
      <w:pPr>
        <w:pStyle w:val="Heading8"/>
        <w:rPr/>
      </w:pPr>
      <w:r>
        <w:rPr/>
        <w:t>Fragmented Scheduling</w:t>
      </w:r>
    </w:p>
    <w:p>
      <w:pPr>
        <w:pStyle w:val="Normal"/>
        <w:ind w:start="720" w:end="0"/>
        <w:rPr>
          <w:sz w:val="24"/>
        </w:rPr>
      </w:pPr>
      <w:r>
        <w:rPr>
          <w:sz w:val="24"/>
        </w:rPr>
        <w:t>Current Practices:</w:t>
      </w:r>
    </w:p>
    <w:p>
      <w:pPr>
        <w:pStyle w:val="Normal"/>
        <w:ind w:start="720" w:end="0"/>
        <w:rPr>
          <w:sz w:val="24"/>
        </w:rPr>
      </w:pPr>
      <w:r>
        <w:rPr>
          <w:sz w:val="24"/>
        </w:rPr>
        <w:t>Current practices vary widely across the industry.  From 20 minutes to 90 minutes required to submit a schedule.  NERC Policy suggests a 20 minute deadline, which is what this group recommends.</w:t>
      </w:r>
    </w:p>
    <w:p>
      <w:pPr>
        <w:pStyle w:val="Normal"/>
        <w:ind w:start="720" w:end="0"/>
        <w:rPr>
          <w:sz w:val="24"/>
        </w:rPr>
      </w:pPr>
      <w:r>
        <w:rPr>
          <w:sz w:val="24"/>
        </w:rPr>
        <w:t>Recommendation:</w:t>
      </w:r>
    </w:p>
    <w:p>
      <w:pPr>
        <w:pStyle w:val="Normal"/>
        <w:ind w:start="720" w:end="0"/>
        <w:rPr>
          <w:sz w:val="24"/>
        </w:rPr>
      </w:pPr>
      <w:r>
        <w:rPr>
          <w:sz w:val="24"/>
        </w:rPr>
        <w:t xml:space="preserve">These deadlines are maximums, not minimums.  </w:t>
      </w:r>
    </w:p>
    <w:tbl>
      <w:tblPr>
        <w:tblW w:w="8208" w:type="dxa"/>
        <w:jc w:val="start"/>
        <w:tblInd w:w="720" w:type="dxa"/>
        <w:tblLayout w:type="fixed"/>
        <w:tblCellMar>
          <w:top w:w="0" w:type="dxa"/>
          <w:start w:w="108" w:type="dxa"/>
          <w:bottom w:w="0" w:type="dxa"/>
          <w:end w:w="108" w:type="dxa"/>
        </w:tblCellMar>
      </w:tblPr>
      <w:tblGrid>
        <w:gridCol w:w="5508"/>
        <w:gridCol w:w="2700"/>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Criteria</w:t>
            </w:r>
          </w:p>
        </w:tc>
        <w:tc>
          <w:tcPr>
            <w:tcW w:w="2700"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Fragment Submission Deadline</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Generation Only or Load Only fragments</w:t>
            </w:r>
          </w:p>
        </w:tc>
        <w:tc>
          <w:tcPr>
            <w:tcW w:w="2700"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20 minutes prior to start (clock time)</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Wheel fragments using transmission reservations where the source and sink have been accurately specified</w:t>
            </w:r>
          </w:p>
        </w:tc>
        <w:tc>
          <w:tcPr>
            <w:tcW w:w="2700"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20 minutes prior to start (clock time)</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Wheel fragments using transmission reservations where the schedule source and sink are different than the reservation source/sink and the impact is greater than the original reservation.</w:t>
            </w:r>
          </w:p>
        </w:tc>
        <w:tc>
          <w:tcPr>
            <w:tcW w:w="2700"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 xml:space="preserve">See OASIS Provider Evaluation Time Limits based on non-firm service increments </w:t>
            </w:r>
          </w:p>
        </w:tc>
      </w:tr>
    </w:tbl>
    <w:p>
      <w:pPr>
        <w:pStyle w:val="Normal"/>
        <w:ind w:start="720" w:end="0"/>
        <w:rPr>
          <w:sz w:val="24"/>
        </w:rPr>
      </w:pPr>
      <w:r>
        <w:rPr>
          <w:sz w:val="24"/>
        </w:rPr>
      </w:r>
    </w:p>
    <w:p>
      <w:pPr>
        <w:pStyle w:val="Normal"/>
        <w:ind w:start="720" w:end="0"/>
        <w:rPr>
          <w:sz w:val="24"/>
        </w:rPr>
      </w:pPr>
      <w:r>
        <w:rPr>
          <w:sz w:val="24"/>
        </w:rPr>
        <w:t>Fragment submission deadlines shall be bound by the most restrictive of these criteria on a per-fragment basis.  For example, if one fragment contained both a Generation Segment and a Wheel Segment using an hourly non-Source/Sink specified reservation, the submission deadline would be 30 minutes prior to start.</w:t>
      </w:r>
    </w:p>
    <w:p>
      <w:pPr>
        <w:pStyle w:val="Normal"/>
        <w:ind w:start="720" w:end="0"/>
        <w:rPr>
          <w:sz w:val="24"/>
        </w:rPr>
      </w:pPr>
      <w:r>
        <w:rPr>
          <w:sz w:val="24"/>
        </w:rPr>
        <w:t>Fragments received by these deadlines are to be considered “On time.”  Fragments not received by these deadlines are to be considered “Late.</w:t>
      </w:r>
    </w:p>
    <w:p>
      <w:pPr>
        <w:pStyle w:val="Heading1"/>
        <w:ind w:hanging="0" w:start="720" w:end="0"/>
        <w:rPr>
          <w:sz w:val="24"/>
        </w:rPr>
      </w:pPr>
      <w:r>
        <w:rPr>
          <w:sz w:val="24"/>
        </w:rPr>
        <w:t xml:space="preserve">Approval of Fragments </w:t>
      </w:r>
    </w:p>
    <w:p>
      <w:pPr>
        <w:pStyle w:val="Normal"/>
        <w:ind w:start="720" w:end="0"/>
        <w:rPr>
          <w:sz w:val="24"/>
        </w:rPr>
      </w:pPr>
      <w:r>
        <w:rPr>
          <w:sz w:val="24"/>
        </w:rPr>
        <w:t>Fragments do not represent true physical transactions until they have been completely assembled into source to sink transactions.  As such, a provider may or may not elect to approve such a segment prior to this assembly.  For example, a transmission provider may not want to approve his fragment until the source and sink have been tied together to form a complete source to sink transaction.  However, in certain cases where such approval is possible (i.e., committed source to sink already present in the reservation), a provider may choose to “pre-approve” his fragment, meaning that when the source to sink transaction is assembled, their portion will already be considered “approved.”</w:t>
      </w:r>
    </w:p>
    <w:p>
      <w:pPr>
        <w:pStyle w:val="Normal"/>
        <w:ind w:start="720" w:end="0"/>
        <w:rPr>
          <w:b/>
          <w:sz w:val="24"/>
        </w:rPr>
      </w:pPr>
      <w:r>
        <w:rPr>
          <w:b/>
          <w:sz w:val="24"/>
        </w:rPr>
        <w:t>Approval of Assembled Source to Sink Transactions</w:t>
      </w:r>
    </w:p>
    <w:p>
      <w:pPr>
        <w:pStyle w:val="Normal"/>
        <w:ind w:start="720" w:end="0"/>
        <w:rPr>
          <w:sz w:val="24"/>
        </w:rPr>
      </w:pPr>
      <w:r>
        <w:rPr>
          <w:sz w:val="24"/>
        </w:rPr>
        <w:t>Approval deadlines can be done in no less than 10 minutes if transactions can be assembled from receipt of completed transactions.</w:t>
      </w:r>
    </w:p>
    <w:tbl>
      <w:tblPr>
        <w:tblW w:w="8856" w:type="dxa"/>
        <w:jc w:val="start"/>
        <w:tblInd w:w="72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Schedule type</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No less than</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No more than</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Intra-day</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10 min.</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30 min.</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Day-ahead</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10 min.</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4"/>
              </w:rPr>
            </w:pPr>
            <w:r>
              <w:rPr>
                <w:sz w:val="24"/>
              </w:rPr>
              <w:t>2 hours</w:t>
            </w:r>
          </w:p>
        </w:tc>
      </w:tr>
    </w:tbl>
    <w:p>
      <w:pPr>
        <w:pStyle w:val="Normal"/>
        <w:ind w:start="720" w:end="0"/>
        <w:rPr>
          <w:sz w:val="24"/>
        </w:rPr>
      </w:pPr>
      <w:r>
        <w:rPr>
          <w:sz w:val="24"/>
        </w:rPr>
      </w:r>
    </w:p>
    <w:p>
      <w:pPr>
        <w:pStyle w:val="Normal"/>
        <w:ind w:start="720" w:end="0"/>
        <w:rPr>
          <w:sz w:val="24"/>
        </w:rPr>
      </w:pPr>
      <w:r>
        <w:rPr>
          <w:sz w:val="24"/>
        </w:rPr>
        <w:t xml:space="preserve">Example: </w:t>
      </w:r>
    </w:p>
    <w:p>
      <w:pPr>
        <w:pStyle w:val="Heading8"/>
        <w:rPr/>
      </w:pPr>
      <w:r>
        <w:rPr/>
        <w:t>Need examples here</w:t>
      </w:r>
    </w:p>
    <w:p>
      <w:pPr>
        <w:pStyle w:val="Normal"/>
        <w:ind w:start="720" w:end="0"/>
        <w:rPr>
          <w:sz w:val="24"/>
        </w:rPr>
      </w:pPr>
      <w:r>
        <w:rPr>
          <w:sz w:val="24"/>
        </w:rPr>
        <w:t>Passive approval/denial will be assigned based on receipt of a complete transaction (i.e., all fragments have been received).  The approval/deadline time begins when a complete transaction exists.</w:t>
      </w:r>
    </w:p>
    <w:p>
      <w:pPr>
        <w:pStyle w:val="Normal"/>
        <w:ind w:start="720" w:end="0"/>
        <w:rPr>
          <w:sz w:val="24"/>
        </w:rPr>
      </w:pPr>
      <w:r>
        <w:rPr>
          <w:sz w:val="24"/>
        </w:rPr>
        <w:t>Approval Requests for fragments that were received “On-Time” that are not actively approved shall be passively approved.  Approval Requests for fragments that were received “Late” that are not actively approved shall be passively denied. – This paragraph belongs in “Approval Task Group”</w:t>
      </w:r>
    </w:p>
    <w:p>
      <w:pPr>
        <w:pStyle w:val="Heading6"/>
        <w:ind w:hanging="0" w:start="0"/>
        <w:rPr/>
      </w:pPr>
      <w:r>
        <w:rPr>
          <w:rPrChange w:id="0" w:author="Unknown" w:date="0-00-00T00:00:00Z"/>
        </w:rPr>
        <w:t>Granularity:</w:t>
      </w:r>
    </w:p>
    <w:p>
      <w:pPr>
        <w:pStyle w:val="Normal"/>
        <w:ind w:start="720" w:end="0"/>
        <w:rPr>
          <w:sz w:val="24"/>
        </w:rPr>
      </w:pPr>
      <w:r>
        <w:rPr>
          <w:sz w:val="24"/>
        </w:rPr>
        <w:t>Current Practices:</w:t>
      </w:r>
    </w:p>
    <w:p>
      <w:pPr>
        <w:pStyle w:val="Normal"/>
        <w:ind w:start="720" w:end="0"/>
        <w:rPr>
          <w:sz w:val="24"/>
        </w:rPr>
      </w:pPr>
      <w:r>
        <w:rPr>
          <w:sz w:val="24"/>
        </w:rPr>
        <w:t>Control Areas currently allow scheduled starts, stops and changes to energy profiles on the quarters (i.e., 01:00, 01:15, 01:30; 01:45, 02:00, etc…) or only on the hour depending on the region.</w:t>
      </w:r>
    </w:p>
    <w:p>
      <w:pPr>
        <w:pStyle w:val="Normal"/>
        <w:ind w:start="720" w:end="0"/>
        <w:rPr>
          <w:sz w:val="24"/>
        </w:rPr>
      </w:pPr>
      <w:r>
        <w:rPr>
          <w:sz w:val="24"/>
        </w:rPr>
        <w:t>Recommendation:</w:t>
      </w:r>
    </w:p>
    <w:p>
      <w:pPr>
        <w:pStyle w:val="Normal"/>
        <w:ind w:start="720" w:end="0"/>
        <w:rPr>
          <w:sz w:val="24"/>
        </w:rPr>
      </w:pPr>
      <w:r>
        <w:rPr>
          <w:sz w:val="24"/>
        </w:rPr>
        <w:t>Scheduled starts, stops and changes to energy profiles should be allowed on the quarters (i.e., 01:00, 01:15, 01:30; 01:45, 02:00, etc…).  Ten-minute scheduling would not accommodate the current standard of changes on the quarters.  Five-minute scheduling would potentially cause two ramping schedules to overlap, which could complicate accounting.</w:t>
      </w:r>
    </w:p>
    <w:p>
      <w:pPr>
        <w:pStyle w:val="Normal"/>
        <w:ind w:start="720" w:end="0"/>
        <w:rPr>
          <w:sz w:val="24"/>
        </w:rPr>
      </w:pPr>
      <w:r>
        <w:rPr>
          <w:sz w:val="24"/>
        </w:rPr>
        <w:t xml:space="preserve">Having a granularity of fifteen minutes provides the most flexibility to the marketplace and allows for quick response to changes in price signals. </w:t>
      </w:r>
    </w:p>
    <w:p>
      <w:pPr>
        <w:pStyle w:val="Heading6"/>
        <w:ind w:hanging="0" w:start="0"/>
        <w:rPr/>
      </w:pPr>
      <w:r>
        <w:rPr>
          <w:rPrChange w:id="0" w:author="Unknown" w:date="0-00-00T00:00:00Z"/>
        </w:rPr>
        <w:t>Ramping:</w:t>
      </w:r>
    </w:p>
    <w:p>
      <w:pPr>
        <w:pStyle w:val="Normal"/>
        <w:ind w:start="720" w:end="0"/>
        <w:rPr>
          <w:sz w:val="24"/>
        </w:rPr>
      </w:pPr>
      <w:r>
        <w:rPr>
          <w:sz w:val="24"/>
        </w:rPr>
        <w:t>Current Practices:</w:t>
      </w:r>
    </w:p>
    <w:p>
      <w:pPr>
        <w:pStyle w:val="Normal"/>
        <w:ind w:start="720" w:end="0"/>
        <w:rPr>
          <w:sz w:val="24"/>
        </w:rPr>
      </w:pPr>
      <w:r>
        <w:rPr>
          <w:sz w:val="24"/>
        </w:rPr>
        <w:t>Eastern interconnection is standardized on a 10 minute straddle ramp.  Other regions have 20 minute straddle ramps or leading/lagging ramp.</w:t>
      </w:r>
    </w:p>
    <w:p>
      <w:pPr>
        <w:pStyle w:val="Normal"/>
        <w:ind w:start="720" w:end="0"/>
        <w:rPr>
          <w:sz w:val="24"/>
        </w:rPr>
      </w:pPr>
      <w:r>
        <w:rPr>
          <w:sz w:val="24"/>
        </w:rPr>
        <w:t>Market participants options to schedule off-hour vary regionally.  Discussed methods include using transmission outside of the originally requested time frame, called shifting, prorated fees for an entire hour of transmission, and reduced reservation level for the entire hour, partial hour reservations.</w:t>
      </w:r>
    </w:p>
    <w:p>
      <w:pPr>
        <w:pStyle w:val="Normal"/>
        <w:ind w:start="720" w:end="0"/>
        <w:rPr>
          <w:sz w:val="24"/>
        </w:rPr>
      </w:pPr>
      <w:r>
        <w:rPr>
          <w:sz w:val="24"/>
        </w:rPr>
        <w:t xml:space="preserve">For those participants that are made to schedule at alternate times due to reliability (RAMP) at a desirable time, the participant should be able to utilize the same transmission for an alternate “shifted” time.  </w:t>
      </w:r>
    </w:p>
    <w:p>
      <w:pPr>
        <w:pStyle w:val="Heading8"/>
        <w:rPr/>
      </w:pPr>
      <w:r>
        <w:rPr/>
        <w:t>Recommendation:</w:t>
      </w:r>
    </w:p>
    <w:p>
      <w:pPr>
        <w:pStyle w:val="BodyTextIndent"/>
        <w:rPr>
          <w:sz w:val="24"/>
        </w:rPr>
      </w:pPr>
      <w:r>
        <w:rPr>
          <w:sz w:val="24"/>
        </w:rPr>
        <w:t>The recommended method is to allow for shifting and partial hour reservations across TPs.  For reliability required shifting of an energy schedule (e.g., 16 hour block starting at 6:45 instead of 7:00), transmission shifting should be allowed.</w:t>
      </w:r>
    </w:p>
    <w:p>
      <w:pPr>
        <w:pStyle w:val="Heading8"/>
        <w:rPr/>
      </w:pPr>
      <w:r>
        <w:rPr/>
        <w:t>Discussion:</w:t>
      </w:r>
    </w:p>
    <w:p>
      <w:pPr>
        <w:pStyle w:val="Heading9"/>
        <w:rPr/>
      </w:pPr>
      <w:r>
        <w:rPr/>
        <w:t>The Straddle Method</w:t>
      </w:r>
    </w:p>
    <w:p>
      <w:pPr>
        <w:pStyle w:val="Normal"/>
        <w:ind w:start="720" w:end="0"/>
        <w:rPr>
          <w:sz w:val="24"/>
        </w:rPr>
      </w:pPr>
      <w:r>
        <w:rPr>
          <w:sz w:val="24"/>
        </w:rPr>
        <w:t xml:space="preserve">Our first recommendation is that the 10 minute straddle method be used.  The straddle method basically states that the ramp up/down occurs equally over the hour  (see figure below). This seems to be the nationwide consensus.  </w:t>
      </w:r>
    </w:p>
    <w:p>
      <w:pPr>
        <w:pStyle w:val="Normal"/>
        <w:ind w:start="720" w:end="0"/>
        <w:rPr>
          <w:sz w:val="24"/>
        </w:rPr>
      </w:pPr>
      <w:r>
        <w:rPr>
          <w:sz w:val="24"/>
        </w:rPr>
        <w:t>If this standard were adopted throughout America, scheduling would be simpler.  It would be understood that the unit would be straddled up to the specified amount.  The only time a marketer would need to indicate ramping type on a ticket would be if the standard straddle would not be used (i.e. denote the ramping would be lead or lag instead of straddle).</w:t>
      </w:r>
    </w:p>
    <w:p>
      <w:pPr>
        <w:pStyle w:val="Normal"/>
        <w:ind w:start="720" w:end="0"/>
        <w:rPr>
          <w:sz w:val="24"/>
        </w:rPr>
      </w:pPr>
      <w:r>
        <w:rPr>
          <w:sz w:val="24"/>
        </w:rPr>
        <w:t>This method would also ensure better financial accounting, since more of the actual energy flowing would be during the actual time period set out in the schedule.</w:t>
      </w:r>
    </w:p>
    <w:p>
      <w:pPr>
        <w:pStyle w:val="Normal"/>
        <w:ind w:start="720" w:end="0"/>
        <w:rPr>
          <w:sz w:val="24"/>
        </w:rPr>
      </w:pPr>
      <w:r>
        <w:rPr>
          <w:sz w:val="24"/>
        </w:rPr>
      </w:r>
    </w:p>
    <w:p>
      <w:pPr>
        <w:pStyle w:val="Normal"/>
        <w:ind w:start="720" w:end="0"/>
        <w:rPr>
          <w:sz w:val="24"/>
        </w:rPr>
      </w:pPr>
      <w:r>
        <w:rPr>
          <w:sz w:val="24"/>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1143000</wp:posOffset>
                </wp:positionH>
                <wp:positionV relativeFrom="paragraph">
                  <wp:posOffset>-903605</wp:posOffset>
                </wp:positionV>
                <wp:extent cx="0" cy="2590800"/>
                <wp:effectExtent l="5080" t="0" r="5080" b="0"/>
                <wp:wrapNone/>
                <wp:docPr id="1" name=""/>
                <a:graphic xmlns:a="http://schemas.openxmlformats.org/drawingml/2006/main">
                  <a:graphicData uri="http://schemas.microsoft.com/office/word/2010/wordprocessingShape">
                    <wps:wsp>
                      <wps:cNvSpPr/>
                      <wps:spPr>
                        <a:xfrm>
                          <a:off x="0" y="0"/>
                          <a:ext cx="0" cy="2590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71.15pt" to="90pt,132.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3886200</wp:posOffset>
                </wp:positionH>
                <wp:positionV relativeFrom="paragraph">
                  <wp:posOffset>-903605</wp:posOffset>
                </wp:positionV>
                <wp:extent cx="0" cy="2590800"/>
                <wp:effectExtent l="5080" t="0" r="5080" b="0"/>
                <wp:wrapNone/>
                <wp:docPr id="2" name=""/>
                <a:graphic xmlns:a="http://schemas.openxmlformats.org/drawingml/2006/main">
                  <a:graphicData uri="http://schemas.microsoft.com/office/word/2010/wordprocessingShape">
                    <wps:wsp>
                      <wps:cNvSpPr/>
                      <wps:spPr>
                        <a:xfrm>
                          <a:off x="0" y="0"/>
                          <a:ext cx="0" cy="2590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71.15pt" to="306pt,132.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533400</wp:posOffset>
                </wp:positionH>
                <wp:positionV relativeFrom="paragraph">
                  <wp:posOffset>1687195</wp:posOffset>
                </wp:positionV>
                <wp:extent cx="4343400" cy="0"/>
                <wp:effectExtent l="0" t="5080" r="0" b="5080"/>
                <wp:wrapNone/>
                <wp:docPr id="3" name=""/>
                <a:graphic xmlns:a="http://schemas.openxmlformats.org/drawingml/2006/main">
                  <a:graphicData uri="http://schemas.microsoft.com/office/word/2010/wordprocessingShape">
                    <wps:wsp>
                      <wps:cNvSpPr/>
                      <wps:spPr>
                        <a:xfrm>
                          <a:off x="0" y="0"/>
                          <a:ext cx="4343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pt,132.85pt" to="383.95pt,132.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914400</wp:posOffset>
                </wp:positionH>
                <wp:positionV relativeFrom="paragraph">
                  <wp:posOffset>-294005</wp:posOffset>
                </wp:positionV>
                <wp:extent cx="3200400" cy="457200"/>
                <wp:effectExtent l="5080" t="5080" r="5715" b="5715"/>
                <wp:wrapNone/>
                <wp:docPr id="4" name=""/>
                <a:graphic xmlns:a="http://schemas.openxmlformats.org/drawingml/2006/main">
                  <a:graphicData uri="http://schemas.microsoft.com/office/word/2010/wordprocessingShape">
                    <wps:wsp>
                      <wps:cNvSpPr/>
                      <wps:spPr>
                        <a:xfrm>
                          <a:off x="0" y="0"/>
                          <a:ext cx="3200400" cy="4572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72pt;margin-top:-23.15pt;width:251.95pt;height:35.95pt;mso-wrap-style:none;v-text-anchor:middle">
                <v:fill o:detectmouseclick="t" type="solid" color2="black"/>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914400</wp:posOffset>
                </wp:positionH>
                <wp:positionV relativeFrom="paragraph">
                  <wp:posOffset>163195</wp:posOffset>
                </wp:positionV>
                <wp:extent cx="0" cy="1524000"/>
                <wp:effectExtent l="5080" t="0" r="5080" b="0"/>
                <wp:wrapNone/>
                <wp:docPr id="5" name=""/>
                <a:graphic xmlns:a="http://schemas.openxmlformats.org/drawingml/2006/main">
                  <a:graphicData uri="http://schemas.microsoft.com/office/word/2010/wordprocessingShape">
                    <wps:wsp>
                      <wps:cNvSpPr/>
                      <wps:spPr>
                        <a:xfrm>
                          <a:off x="0" y="0"/>
                          <a:ext cx="0" cy="1523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2.85pt" to="72pt,132.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1371600</wp:posOffset>
                </wp:positionH>
                <wp:positionV relativeFrom="paragraph">
                  <wp:posOffset>-294005</wp:posOffset>
                </wp:positionV>
                <wp:extent cx="0" cy="1981200"/>
                <wp:effectExtent l="5080" t="0" r="5080" b="0"/>
                <wp:wrapNone/>
                <wp:docPr id="6" name=""/>
                <a:graphic xmlns:a="http://schemas.openxmlformats.org/drawingml/2006/main">
                  <a:graphicData uri="http://schemas.microsoft.com/office/word/2010/wordprocessingShape">
                    <wps:wsp>
                      <wps:cNvSpPr/>
                      <wps:spPr>
                        <a:xfrm>
                          <a:off x="0" y="0"/>
                          <a:ext cx="0" cy="1981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23.15pt" to="108pt,132.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4114800</wp:posOffset>
                </wp:positionH>
                <wp:positionV relativeFrom="paragraph">
                  <wp:posOffset>163195</wp:posOffset>
                </wp:positionV>
                <wp:extent cx="0" cy="1524000"/>
                <wp:effectExtent l="5080" t="0" r="5080" b="0"/>
                <wp:wrapNone/>
                <wp:docPr id="7" name=""/>
                <a:graphic xmlns:a="http://schemas.openxmlformats.org/drawingml/2006/main">
                  <a:graphicData uri="http://schemas.microsoft.com/office/word/2010/wordprocessingShape">
                    <wps:wsp>
                      <wps:cNvSpPr/>
                      <wps:spPr>
                        <a:xfrm>
                          <a:off x="0" y="0"/>
                          <a:ext cx="0" cy="1523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12.85pt" to="324pt,132.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3657600</wp:posOffset>
                </wp:positionH>
                <wp:positionV relativeFrom="paragraph">
                  <wp:posOffset>-294005</wp:posOffset>
                </wp:positionV>
                <wp:extent cx="0" cy="1981200"/>
                <wp:effectExtent l="5080" t="0" r="5080" b="0"/>
                <wp:wrapNone/>
                <wp:docPr id="8" name=""/>
                <a:graphic xmlns:a="http://schemas.openxmlformats.org/drawingml/2006/main">
                  <a:graphicData uri="http://schemas.microsoft.com/office/word/2010/wordprocessingShape">
                    <wps:wsp>
                      <wps:cNvSpPr/>
                      <wps:spPr>
                        <a:xfrm>
                          <a:off x="0" y="0"/>
                          <a:ext cx="0" cy="1981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23.15pt" to="288pt,132.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762000</wp:posOffset>
                </wp:positionH>
                <wp:positionV relativeFrom="paragraph">
                  <wp:posOffset>-1361440</wp:posOffset>
                </wp:positionV>
                <wp:extent cx="960120" cy="457200"/>
                <wp:effectExtent l="0" t="0" r="0" b="0"/>
                <wp:wrapNone/>
                <wp:docPr id="9" name="Frame3"/>
                <a:graphic xmlns:a="http://schemas.openxmlformats.org/drawingml/2006/main">
                  <a:graphicData uri="http://schemas.microsoft.com/office/word/2010/wordprocessingShape">
                    <wps:wsp>
                      <wps:cNvSpPr txBox="1"/>
                      <wps:spPr>
                        <a:xfrm>
                          <a:off x="0" y="0"/>
                          <a:ext cx="960120" cy="457200"/>
                        </a:xfrm>
                        <a:prstGeom prst="rect"/>
                        <a:solidFill>
                          <a:srgbClr val="FFFFFF">
                            <a:alpha val="0"/>
                          </a:srgbClr>
                        </a:solidFill>
                      </wps:spPr>
                      <wps:txbx>
                        <w:txbxContent>
                          <w:p>
                            <w:pPr>
                              <w:pStyle w:val="Normal"/>
                              <w:rPr>
                                <w:color w:val="000000"/>
                                <w:sz w:val="48"/>
                              </w:rPr>
                            </w:pPr>
                            <w:r>
                              <w:rPr>
                                <w:color w:val="000000"/>
                                <w:sz w:val="48"/>
                              </w:rPr>
                              <w:t>0700</w:t>
                            </w:r>
                          </w:p>
                          <w:p>
                            <w:pPr>
                              <w:pStyle w:val="Normal"/>
                              <w:rPr>
                                <w:color w:val="000000"/>
                                <w:sz w:val="48"/>
                              </w:rPr>
                            </w:pPr>
                            <w:r>
                              <w:rPr>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75.6pt;height:36pt;mso-wrap-distance-left:9.05pt;mso-wrap-distance-right:9.05pt;mso-wrap-distance-top:0pt;mso-wrap-distance-bottom:0pt;margin-top:-107.2pt;mso-position-vertical-relative:text;margin-left:60pt;mso-position-horizontal-relative:text">
                <v:fill opacity="0f"/>
                <v:textbox inset="0.000694444444444445in,0.000694444444444445in,0.000694444444444445in,0.000694444444444445in">
                  <w:txbxContent>
                    <w:p>
                      <w:pPr>
                        <w:pStyle w:val="Normal"/>
                        <w:rPr>
                          <w:color w:val="000000"/>
                          <w:sz w:val="48"/>
                        </w:rPr>
                      </w:pPr>
                      <w:r>
                        <w:rPr>
                          <w:color w:val="000000"/>
                          <w:sz w:val="48"/>
                        </w:rPr>
                        <w:t>0700</w:t>
                      </w:r>
                    </w:p>
                    <w:p>
                      <w:pPr>
                        <w:pStyle w:val="Normal"/>
                        <w:rPr>
                          <w:color w:val="000000"/>
                          <w:sz w:val="48"/>
                        </w:rPr>
                      </w:pPr>
                      <w:r>
                        <w:rPr>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3505200</wp:posOffset>
                </wp:positionH>
                <wp:positionV relativeFrom="paragraph">
                  <wp:posOffset>-1361440</wp:posOffset>
                </wp:positionV>
                <wp:extent cx="960120" cy="457200"/>
                <wp:effectExtent l="0" t="0" r="0" b="0"/>
                <wp:wrapNone/>
                <wp:docPr id="10" name="Frame2"/>
                <a:graphic xmlns:a="http://schemas.openxmlformats.org/drawingml/2006/main">
                  <a:graphicData uri="http://schemas.microsoft.com/office/word/2010/wordprocessingShape">
                    <wps:wsp>
                      <wps:cNvSpPr txBox="1"/>
                      <wps:spPr>
                        <a:xfrm>
                          <a:off x="0" y="0"/>
                          <a:ext cx="960120" cy="457200"/>
                        </a:xfrm>
                        <a:prstGeom prst="rect"/>
                        <a:solidFill>
                          <a:srgbClr val="FFFFFF">
                            <a:alpha val="0"/>
                          </a:srgbClr>
                        </a:solidFill>
                      </wps:spPr>
                      <wps:txbx>
                        <w:txbxContent>
                          <w:p>
                            <w:pPr>
                              <w:pStyle w:val="Normal"/>
                              <w:rPr>
                                <w:color w:val="000000"/>
                                <w:sz w:val="48"/>
                              </w:rPr>
                            </w:pPr>
                            <w:r>
                              <w:rPr>
                                <w:color w:val="000000"/>
                                <w:sz w:val="48"/>
                              </w:rPr>
                              <w:t>0800</w:t>
                            </w:r>
                          </w:p>
                          <w:p>
                            <w:pPr>
                              <w:pStyle w:val="Normal"/>
                              <w:rPr>
                                <w:color w:val="000000"/>
                                <w:sz w:val="48"/>
                              </w:rPr>
                            </w:pPr>
                            <w:r>
                              <w:rPr>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75.6pt;height:36pt;mso-wrap-distance-left:9.05pt;mso-wrap-distance-right:9.05pt;mso-wrap-distance-top:0pt;mso-wrap-distance-bottom:0pt;margin-top:-107.2pt;mso-position-vertical-relative:text;margin-left:276pt;mso-position-horizontal-relative:text">
                <v:fill opacity="0f"/>
                <v:textbox inset="0.000694444444444445in,0.000694444444444445in,0.000694444444444445in,0.000694444444444445in">
                  <w:txbxContent>
                    <w:p>
                      <w:pPr>
                        <w:pStyle w:val="Normal"/>
                        <w:rPr>
                          <w:color w:val="000000"/>
                          <w:sz w:val="48"/>
                        </w:rPr>
                      </w:pPr>
                      <w:r>
                        <w:rPr>
                          <w:color w:val="000000"/>
                          <w:sz w:val="48"/>
                        </w:rPr>
                        <w:t>0800</w:t>
                      </w:r>
                    </w:p>
                    <w:p>
                      <w:pPr>
                        <w:pStyle w:val="Normal"/>
                        <w:rPr>
                          <w:color w:val="000000"/>
                          <w:sz w:val="48"/>
                        </w:rPr>
                      </w:pPr>
                      <w:r>
                        <w:rPr>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4114800</wp:posOffset>
                </wp:positionH>
                <wp:positionV relativeFrom="paragraph">
                  <wp:posOffset>10795</wp:posOffset>
                </wp:positionV>
                <wp:extent cx="693420" cy="274955"/>
                <wp:effectExtent l="0" t="0" r="0" b="0"/>
                <wp:wrapNone/>
                <wp:docPr id="11" name="Frame11"/>
                <a:graphic xmlns:a="http://schemas.openxmlformats.org/drawingml/2006/main">
                  <a:graphicData uri="http://schemas.microsoft.com/office/word/2010/wordprocessingShape">
                    <wps:wsp>
                      <wps:cNvSpPr txBox="1"/>
                      <wps:spPr>
                        <a:xfrm>
                          <a:off x="0" y="0"/>
                          <a:ext cx="693420" cy="274955"/>
                        </a:xfrm>
                        <a:prstGeom prst="rect"/>
                        <a:solidFill>
                          <a:srgbClr val="FFFFFF">
                            <a:alpha val="0"/>
                          </a:srgbClr>
                        </a:solidFill>
                      </wps:spPr>
                      <wps:txbx>
                        <w:txbxContent>
                          <w:p>
                            <w:pPr>
                              <w:pStyle w:val="Normal"/>
                              <w:rPr>
                                <w:color w:val="000000"/>
                                <w:sz w:val="24"/>
                              </w:rPr>
                            </w:pPr>
                            <w:r>
                              <w:rPr>
                                <w:color w:val="000000"/>
                                <w:sz w:val="24"/>
                              </w:rPr>
                              <w:t>0MW</w:t>
                            </w:r>
                          </w:p>
                          <w:p>
                            <w:pPr>
                              <w:pStyle w:val="Normal"/>
                              <w:rPr>
                                <w:color w:val="000000"/>
                                <w:sz w:val="24"/>
                              </w:rPr>
                            </w:pPr>
                            <w:r>
                              <w:rPr>
                                <w:color w:val="000000"/>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54.6pt;height:21.65pt;mso-wrap-distance-left:9.05pt;mso-wrap-distance-right:9.05pt;mso-wrap-distance-top:0pt;mso-wrap-distance-bottom:0pt;margin-top:0.85pt;mso-position-vertical-relative:text;margin-left:324pt;mso-position-horizontal-relative:text">
                <v:fill opacity="0f"/>
                <v:textbox inset="0.000694444444444445in,0.000694444444444445in,0.000694444444444445in,0.000694444444444445in">
                  <w:txbxContent>
                    <w:p>
                      <w:pPr>
                        <w:pStyle w:val="Normal"/>
                        <w:rPr>
                          <w:color w:val="000000"/>
                          <w:sz w:val="24"/>
                        </w:rPr>
                      </w:pPr>
                      <w:r>
                        <w:rPr>
                          <w:color w:val="000000"/>
                          <w:sz w:val="24"/>
                        </w:rPr>
                        <w:t>0MW</w:t>
                      </w:r>
                    </w:p>
                    <w:p>
                      <w:pPr>
                        <w:pStyle w:val="Normal"/>
                        <w:rPr>
                          <w:color w:val="000000"/>
                          <w:sz w:val="24"/>
                        </w:rPr>
                      </w:pPr>
                      <w:r>
                        <w:rPr>
                          <w:color w:val="000000"/>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3657600</wp:posOffset>
                </wp:positionH>
                <wp:positionV relativeFrom="paragraph">
                  <wp:posOffset>-446405</wp:posOffset>
                </wp:positionV>
                <wp:extent cx="922020" cy="274955"/>
                <wp:effectExtent l="0" t="0" r="0" b="0"/>
                <wp:wrapNone/>
                <wp:docPr id="12" name="Frame1"/>
                <a:graphic xmlns:a="http://schemas.openxmlformats.org/drawingml/2006/main">
                  <a:graphicData uri="http://schemas.microsoft.com/office/word/2010/wordprocessingShape">
                    <wps:wsp>
                      <wps:cNvSpPr txBox="1"/>
                      <wps:spPr>
                        <a:xfrm>
                          <a:off x="0" y="0"/>
                          <a:ext cx="922020" cy="274955"/>
                        </a:xfrm>
                        <a:prstGeom prst="rect"/>
                        <a:solidFill>
                          <a:srgbClr val="FFFFFF">
                            <a:alpha val="0"/>
                          </a:srgbClr>
                        </a:solidFill>
                      </wps:spPr>
                      <wps:txbx>
                        <w:txbxContent>
                          <w:p>
                            <w:pPr>
                              <w:pStyle w:val="Normal"/>
                              <w:rPr>
                                <w:color w:val="000000"/>
                                <w:sz w:val="24"/>
                              </w:rPr>
                            </w:pPr>
                            <w:r>
                              <w:rPr>
                                <w:color w:val="000000"/>
                                <w:sz w:val="24"/>
                              </w:rPr>
                              <w:t>100MW</w:t>
                            </w:r>
                          </w:p>
                          <w:p>
                            <w:pPr>
                              <w:pStyle w:val="Normal"/>
                              <w:rPr>
                                <w:color w:val="000000"/>
                                <w:sz w:val="24"/>
                              </w:rPr>
                            </w:pPr>
                            <w:r>
                              <w:rPr>
                                <w:color w:val="000000"/>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72.6pt;height:21.65pt;mso-wrap-distance-left:9.05pt;mso-wrap-distance-right:9.05pt;mso-wrap-distance-top:0pt;mso-wrap-distance-bottom:0pt;margin-top:-35.15pt;mso-position-vertical-relative:text;margin-left:288pt;mso-position-horizontal-relative:text">
                <v:fill opacity="0f"/>
                <v:textbox inset="0.000694444444444445in,0.000694444444444445in,0.000694444444444445in,0.000694444444444445in">
                  <w:txbxContent>
                    <w:p>
                      <w:pPr>
                        <w:pStyle w:val="Normal"/>
                        <w:rPr>
                          <w:color w:val="000000"/>
                          <w:sz w:val="24"/>
                        </w:rPr>
                      </w:pPr>
                      <w:r>
                        <w:rPr>
                          <w:color w:val="000000"/>
                          <w:sz w:val="24"/>
                        </w:rPr>
                        <w:t>100MW</w:t>
                      </w:r>
                    </w:p>
                    <w:p>
                      <w:pPr>
                        <w:pStyle w:val="Normal"/>
                        <w:rPr>
                          <w:color w:val="000000"/>
                          <w:sz w:val="24"/>
                        </w:rPr>
                      </w:pPr>
                      <w:r>
                        <w:rPr>
                          <w:color w:val="000000"/>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685800</wp:posOffset>
                </wp:positionH>
                <wp:positionV relativeFrom="paragraph">
                  <wp:posOffset>1687195</wp:posOffset>
                </wp:positionV>
                <wp:extent cx="464820" cy="244475"/>
                <wp:effectExtent l="0" t="0" r="0" b="0"/>
                <wp:wrapNone/>
                <wp:docPr id="13" name="Frame10"/>
                <a:graphic xmlns:a="http://schemas.openxmlformats.org/drawingml/2006/main">
                  <a:graphicData uri="http://schemas.microsoft.com/office/word/2010/wordprocessingShape">
                    <wps:wsp>
                      <wps:cNvSpPr txBox="1"/>
                      <wps:spPr>
                        <a:xfrm>
                          <a:off x="0" y="0"/>
                          <a:ext cx="464820" cy="244475"/>
                        </a:xfrm>
                        <a:prstGeom prst="rect"/>
                        <a:solidFill>
                          <a:srgbClr val="FFFFFF">
                            <a:alpha val="0"/>
                          </a:srgbClr>
                        </a:solidFill>
                      </wps:spPr>
                      <wps:txbx>
                        <w:txbxContent>
                          <w:p>
                            <w:pPr>
                              <w:pStyle w:val="Normal"/>
                              <w:rPr>
                                <w:color w:val="000000"/>
                              </w:rPr>
                            </w:pPr>
                            <w:r>
                              <w:rPr>
                                <w:color w:val="000000"/>
                              </w:rPr>
                              <w:t>655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36.6pt;height:19.25pt;mso-wrap-distance-left:9.05pt;mso-wrap-distance-right:9.05pt;mso-wrap-distance-top:0pt;mso-wrap-distance-bottom:0pt;margin-top:132.85pt;mso-position-vertical-relative:text;margin-left:54pt;mso-position-horizontal-relative:text">
                <v:fill opacity="0f"/>
                <v:textbox inset="0.000694444444444445in,0.000694444444444445in,0.000694444444444445in,0.000694444444444445in">
                  <w:txbxContent>
                    <w:p>
                      <w:pPr>
                        <w:pStyle w:val="Normal"/>
                        <w:rPr>
                          <w:color w:val="000000"/>
                        </w:rPr>
                      </w:pPr>
                      <w:r>
                        <w:rPr>
                          <w:color w:val="000000"/>
                        </w:rPr>
                        <w:t>655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897890</wp:posOffset>
                </wp:positionH>
                <wp:positionV relativeFrom="paragraph">
                  <wp:posOffset>1687195</wp:posOffset>
                </wp:positionV>
                <wp:extent cx="481330" cy="244475"/>
                <wp:effectExtent l="0" t="0" r="0" b="0"/>
                <wp:wrapNone/>
                <wp:docPr id="14" name="Frame8"/>
                <a:graphic xmlns:a="http://schemas.openxmlformats.org/drawingml/2006/main">
                  <a:graphicData uri="http://schemas.microsoft.com/office/word/2010/wordprocessingShape">
                    <wps:wsp>
                      <wps:cNvSpPr txBox="1"/>
                      <wps:spPr>
                        <a:xfrm>
                          <a:off x="0" y="0"/>
                          <a:ext cx="481330" cy="244475"/>
                        </a:xfrm>
                        <a:prstGeom prst="rect"/>
                        <a:solidFill>
                          <a:srgbClr val="FFFFFF">
                            <a:alpha val="0"/>
                          </a:srgbClr>
                        </a:solidFill>
                      </wps:spPr>
                      <wps:txbx>
                        <w:txbxContent>
                          <w:p>
                            <w:pPr>
                              <w:pStyle w:val="Normal"/>
                              <w:jc w:val="center"/>
                              <w:rPr>
                                <w:color w:val="000000"/>
                              </w:rPr>
                            </w:pPr>
                            <w:r>
                              <w:rPr>
                                <w:color w:val="000000"/>
                              </w:rPr>
                              <w:t>705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37.9pt;height:19.25pt;mso-wrap-distance-left:9.05pt;mso-wrap-distance-right:9.05pt;mso-wrap-distance-top:0pt;mso-wrap-distance-bottom:0pt;margin-top:132.85pt;mso-position-vertical-relative:text;margin-left:70.7pt;mso-position-horizontal-relative:text">
                <v:fill opacity="0f"/>
                <v:textbox inset="0.000694444444444445in,0.000694444444444445in,0.000694444444444445in,0.000694444444444445in">
                  <w:txbxContent>
                    <w:p>
                      <w:pPr>
                        <w:pStyle w:val="Normal"/>
                        <w:jc w:val="center"/>
                        <w:rPr>
                          <w:color w:val="000000"/>
                        </w:rPr>
                      </w:pPr>
                      <w:r>
                        <w:rPr>
                          <w:color w:val="000000"/>
                        </w:rPr>
                        <w:t>705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1257300</wp:posOffset>
                </wp:positionH>
                <wp:positionV relativeFrom="paragraph">
                  <wp:posOffset>1687195</wp:posOffset>
                </wp:positionV>
                <wp:extent cx="693420" cy="244475"/>
                <wp:effectExtent l="0" t="0" r="0" b="0"/>
                <wp:wrapNone/>
                <wp:docPr id="15" name="Frame6"/>
                <a:graphic xmlns:a="http://schemas.openxmlformats.org/drawingml/2006/main">
                  <a:graphicData uri="http://schemas.microsoft.com/office/word/2010/wordprocessingShape">
                    <wps:wsp>
                      <wps:cNvSpPr txBox="1"/>
                      <wps:spPr>
                        <a:xfrm>
                          <a:off x="0" y="0"/>
                          <a:ext cx="693420" cy="244475"/>
                        </a:xfrm>
                        <a:prstGeom prst="rect"/>
                        <a:solidFill>
                          <a:srgbClr val="FFFFFF">
                            <a:alpha val="0"/>
                          </a:srgbClr>
                        </a:solidFill>
                      </wps:spPr>
                      <wps:txbx>
                        <w:txbxContent>
                          <w:p>
                            <w:pPr>
                              <w:pStyle w:val="Normal"/>
                              <w:rPr>
                                <w:color w:val="000000"/>
                              </w:rPr>
                            </w:pPr>
                            <w:r>
                              <w:rPr>
                                <w:color w:val="000000"/>
                              </w:rPr>
                              <w:t>710</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54.6pt;height:19.25pt;mso-wrap-distance-left:9.05pt;mso-wrap-distance-right:9.05pt;mso-wrap-distance-top:0pt;mso-wrap-distance-bottom:0pt;margin-top:132.85pt;mso-position-vertical-relative:text;margin-left:99pt;mso-position-horizontal-relative:text">
                <v:fill opacity="0f"/>
                <v:textbox inset="0.000694444444444445in,0.000694444444444445in,0.000694444444444445in,0.000694444444444445in">
                  <w:txbxContent>
                    <w:p>
                      <w:pPr>
                        <w:pStyle w:val="Normal"/>
                        <w:rPr>
                          <w:color w:val="000000"/>
                        </w:rPr>
                      </w:pPr>
                      <w:r>
                        <w:rPr>
                          <w:color w:val="000000"/>
                        </w:rPr>
                        <w:t>710</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3429000</wp:posOffset>
                </wp:positionH>
                <wp:positionV relativeFrom="paragraph">
                  <wp:posOffset>1687195</wp:posOffset>
                </wp:positionV>
                <wp:extent cx="464820" cy="244475"/>
                <wp:effectExtent l="0" t="0" r="0" b="0"/>
                <wp:wrapNone/>
                <wp:docPr id="16" name="Frame9"/>
                <a:graphic xmlns:a="http://schemas.openxmlformats.org/drawingml/2006/main">
                  <a:graphicData uri="http://schemas.microsoft.com/office/word/2010/wordprocessingShape">
                    <wps:wsp>
                      <wps:cNvSpPr txBox="1"/>
                      <wps:spPr>
                        <a:xfrm>
                          <a:off x="0" y="0"/>
                          <a:ext cx="464820" cy="244475"/>
                        </a:xfrm>
                        <a:prstGeom prst="rect"/>
                        <a:solidFill>
                          <a:srgbClr val="FFFFFF">
                            <a:alpha val="0"/>
                          </a:srgbClr>
                        </a:solidFill>
                      </wps:spPr>
                      <wps:txbx>
                        <w:txbxContent>
                          <w:p>
                            <w:pPr>
                              <w:pStyle w:val="Normal"/>
                              <w:rPr>
                                <w:color w:val="000000"/>
                              </w:rPr>
                            </w:pPr>
                            <w:r>
                              <w:rPr>
                                <w:color w:val="000000"/>
                              </w:rPr>
                              <w:t>755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36.6pt;height:19.25pt;mso-wrap-distance-left:9.05pt;mso-wrap-distance-right:9.05pt;mso-wrap-distance-top:0pt;mso-wrap-distance-bottom:0pt;margin-top:132.85pt;mso-position-vertical-relative:text;margin-left:270pt;mso-position-horizontal-relative:text">
                <v:fill opacity="0f"/>
                <v:textbox inset="0.000694444444444445in,0.000694444444444445in,0.000694444444444445in,0.000694444444444445in">
                  <w:txbxContent>
                    <w:p>
                      <w:pPr>
                        <w:pStyle w:val="Normal"/>
                        <w:rPr>
                          <w:color w:val="000000"/>
                        </w:rPr>
                      </w:pPr>
                      <w:r>
                        <w:rPr>
                          <w:color w:val="000000"/>
                        </w:rPr>
                        <w:t>755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3641090</wp:posOffset>
                </wp:positionH>
                <wp:positionV relativeFrom="paragraph">
                  <wp:posOffset>1687195</wp:posOffset>
                </wp:positionV>
                <wp:extent cx="481330" cy="244475"/>
                <wp:effectExtent l="0" t="0" r="0" b="0"/>
                <wp:wrapNone/>
                <wp:docPr id="17" name="Frame7"/>
                <a:graphic xmlns:a="http://schemas.openxmlformats.org/drawingml/2006/main">
                  <a:graphicData uri="http://schemas.microsoft.com/office/word/2010/wordprocessingShape">
                    <wps:wsp>
                      <wps:cNvSpPr txBox="1"/>
                      <wps:spPr>
                        <a:xfrm>
                          <a:off x="0" y="0"/>
                          <a:ext cx="481330" cy="244475"/>
                        </a:xfrm>
                        <a:prstGeom prst="rect"/>
                        <a:solidFill>
                          <a:srgbClr val="FFFFFF">
                            <a:alpha val="0"/>
                          </a:srgbClr>
                        </a:solidFill>
                      </wps:spPr>
                      <wps:txbx>
                        <w:txbxContent>
                          <w:p>
                            <w:pPr>
                              <w:pStyle w:val="Normal"/>
                              <w:jc w:val="center"/>
                              <w:rPr>
                                <w:color w:val="000000"/>
                              </w:rPr>
                            </w:pPr>
                            <w:r>
                              <w:rPr>
                                <w:color w:val="000000"/>
                              </w:rPr>
                              <w:t>805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37.9pt;height:19.25pt;mso-wrap-distance-left:9.05pt;mso-wrap-distance-right:9.05pt;mso-wrap-distance-top:0pt;mso-wrap-distance-bottom:0pt;margin-top:132.85pt;mso-position-vertical-relative:text;margin-left:286.7pt;mso-position-horizontal-relative:text">
                <v:fill opacity="0f"/>
                <v:textbox inset="0.000694444444444445in,0.000694444444444445in,0.000694444444444445in,0.000694444444444445in">
                  <w:txbxContent>
                    <w:p>
                      <w:pPr>
                        <w:pStyle w:val="Normal"/>
                        <w:jc w:val="center"/>
                        <w:rPr>
                          <w:color w:val="000000"/>
                        </w:rPr>
                      </w:pPr>
                      <w:r>
                        <w:rPr>
                          <w:color w:val="000000"/>
                        </w:rPr>
                        <w:t>805</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4000500</wp:posOffset>
                </wp:positionH>
                <wp:positionV relativeFrom="paragraph">
                  <wp:posOffset>1687195</wp:posOffset>
                </wp:positionV>
                <wp:extent cx="464820" cy="244475"/>
                <wp:effectExtent l="0" t="0" r="0" b="0"/>
                <wp:wrapNone/>
                <wp:docPr id="18" name="Frame5"/>
                <a:graphic xmlns:a="http://schemas.openxmlformats.org/drawingml/2006/main">
                  <a:graphicData uri="http://schemas.microsoft.com/office/word/2010/wordprocessingShape">
                    <wps:wsp>
                      <wps:cNvSpPr txBox="1"/>
                      <wps:spPr>
                        <a:xfrm>
                          <a:off x="0" y="0"/>
                          <a:ext cx="464820" cy="244475"/>
                        </a:xfrm>
                        <a:prstGeom prst="rect"/>
                        <a:solidFill>
                          <a:srgbClr val="FFFFFF">
                            <a:alpha val="0"/>
                          </a:srgbClr>
                        </a:solidFill>
                      </wps:spPr>
                      <wps:txbx>
                        <w:txbxContent>
                          <w:p>
                            <w:pPr>
                              <w:pStyle w:val="Normal"/>
                              <w:rPr>
                                <w:color w:val="000000"/>
                              </w:rPr>
                            </w:pPr>
                            <w:r>
                              <w:rPr>
                                <w:color w:val="000000"/>
                              </w:rPr>
                              <w:t>810</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36.6pt;height:19.25pt;mso-wrap-distance-left:9.05pt;mso-wrap-distance-right:9.05pt;mso-wrap-distance-top:0pt;mso-wrap-distance-bottom:0pt;margin-top:132.85pt;mso-position-vertical-relative:text;margin-left:315pt;mso-position-horizontal-relative:text">
                <v:fill opacity="0f"/>
                <v:textbox inset="0.000694444444444445in,0.000694444444444445in,0.000694444444444445in,0.000694444444444445in">
                  <w:txbxContent>
                    <w:p>
                      <w:pPr>
                        <w:pStyle w:val="Normal"/>
                        <w:rPr>
                          <w:color w:val="000000"/>
                        </w:rPr>
                      </w:pPr>
                      <w:r>
                        <w:rPr>
                          <w:color w:val="000000"/>
                        </w:rPr>
                        <w:t>810</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1371600</wp:posOffset>
                </wp:positionH>
                <wp:positionV relativeFrom="paragraph">
                  <wp:posOffset>-294005</wp:posOffset>
                </wp:positionV>
                <wp:extent cx="2286000" cy="457200"/>
                <wp:effectExtent l="0" t="0" r="0" b="0"/>
                <wp:wrapNone/>
                <wp:docPr id="19" name="Frame4"/>
                <a:graphic xmlns:a="http://schemas.openxmlformats.org/drawingml/2006/main">
                  <a:graphicData uri="http://schemas.microsoft.com/office/word/2010/wordprocessingShape">
                    <wps:wsp>
                      <wps:cNvSpPr txBox="1"/>
                      <wps:spPr>
                        <a:xfrm>
                          <a:off x="0" y="0"/>
                          <a:ext cx="2286000" cy="457200"/>
                        </a:xfrm>
                        <a:prstGeom prst="rect"/>
                        <a:solidFill>
                          <a:srgbClr val="FFFFFF">
                            <a:alpha val="0"/>
                          </a:srgbClr>
                        </a:solidFill>
                      </wps:spPr>
                      <wps:txbx>
                        <w:txbxContent>
                          <w:p>
                            <w:pPr>
                              <w:pStyle w:val="Normal"/>
                              <w:jc w:val="center"/>
                              <w:rPr>
                                <w:b/>
                                <w:shadow/>
                                <w:color w:val="000000"/>
                                <w:sz w:val="48"/>
                              </w:rPr>
                            </w:pPr>
                            <w:r>
                              <w:rPr>
                                <w:b/>
                                <w:shadow/>
                                <w:color w:val="000000"/>
                                <w:sz w:val="48"/>
                              </w:rPr>
                              <w:t>Straddle</w:t>
                            </w:r>
                          </w:p>
                          <w:p>
                            <w:pPr>
                              <w:pStyle w:val="Normal"/>
                              <w:rPr>
                                <w:b/>
                                <w:shadow/>
                                <w:color w:val="000000"/>
                                <w:sz w:val="48"/>
                              </w:rPr>
                            </w:pPr>
                            <w:r>
                              <w:rPr>
                                <w:b/>
                                <w:shadow/>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635" tIns="635" rIns="635" bIns="635">
                        <a:noAutofit/>
                      </wps:bodyPr>
                    </wps:wsp>
                  </a:graphicData>
                </a:graphic>
              </wp:anchor>
            </w:drawing>
          </mc:Choice>
          <mc:Fallback>
            <w:pict>
              <v:rect fillcolor="#FFFFFF" style="position:absolute;rotation:-0;width:180pt;height:36pt;mso-wrap-distance-left:9.05pt;mso-wrap-distance-right:9.05pt;mso-wrap-distance-top:0pt;mso-wrap-distance-bottom:0pt;margin-top:-23.15pt;mso-position-vertical-relative:text;margin-left:108pt;mso-position-horizontal-relative:text">
                <v:fill opacity="0f"/>
                <v:textbox inset="0.000694444444444445in,0.000694444444444445in,0.000694444444444445in,0.000694444444444445in">
                  <w:txbxContent>
                    <w:p>
                      <w:pPr>
                        <w:pStyle w:val="Normal"/>
                        <w:jc w:val="center"/>
                        <w:rPr>
                          <w:b/>
                          <w:shadow/>
                          <w:color w:val="000000"/>
                          <w:sz w:val="48"/>
                        </w:rPr>
                      </w:pPr>
                      <w:r>
                        <w:rPr>
                          <w:b/>
                          <w:shadow/>
                          <w:color w:val="000000"/>
                          <w:sz w:val="48"/>
                        </w:rPr>
                        <w:t>Straddle</w:t>
                      </w:r>
                    </w:p>
                    <w:p>
                      <w:pPr>
                        <w:pStyle w:val="Normal"/>
                        <w:rPr>
                          <w:b/>
                          <w:shadow/>
                          <w:color w:val="000000"/>
                          <w:sz w:val="48"/>
                        </w:rPr>
                      </w:pPr>
                      <w:r>
                        <w:rPr>
                          <w:b/>
                          <w:shadow/>
                          <w:color w:val="000000"/>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p>
    <w:p>
      <w:pPr>
        <w:pStyle w:val="Normal"/>
        <w:ind w:start="720" w:end="0"/>
        <w:rPr/>
      </w:pPr>
      <w:r>
        <w:rPr/>
      </w:r>
    </w:p>
    <w:p>
      <w:pPr>
        <w:pStyle w:val="Normal"/>
        <w:ind w:start="720" w:end="0"/>
        <w:rPr/>
      </w:pPr>
      <w:r>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b/>
          <w:sz w:val="24"/>
        </w:rPr>
      </w:pPr>
      <w:r>
        <w:rPr>
          <w:sz w:val="24"/>
        </w:rPr>
        <w:t>This recommendation is also the standard described in Policy 3C Section 2 of the NERC Operating Manual:</w:t>
      </w:r>
    </w:p>
    <w:p>
      <w:pPr>
        <w:pStyle w:val="Normal"/>
        <w:ind w:start="720" w:end="0"/>
        <w:rPr/>
      </w:pPr>
      <w:r>
        <w:rPr>
          <w:b/>
          <w:sz w:val="24"/>
        </w:rPr>
        <w:t xml:space="preserve">Ramp start times. </w:t>
      </w:r>
      <w:r>
        <w:rPr>
          <w:smallCaps/>
          <w:sz w:val="24"/>
        </w:rPr>
        <w:t>Control Areas</w:t>
      </w:r>
      <w:r>
        <w:rPr>
          <w:sz w:val="24"/>
        </w:rPr>
        <w:t xml:space="preserve"> shall ramp the </w:t>
      </w:r>
      <w:r>
        <w:rPr>
          <w:smallCaps/>
          <w:sz w:val="24"/>
        </w:rPr>
        <w:t>Interchange</w:t>
      </w:r>
      <w:r>
        <w:rPr>
          <w:sz w:val="24"/>
        </w:rPr>
        <w:t xml:space="preserve"> equally across the start and end times of the schedule. </w:t>
      </w:r>
    </w:p>
    <w:p>
      <w:pPr>
        <w:pStyle w:val="Normal"/>
        <w:ind w:start="720" w:end="0"/>
        <w:rPr>
          <w:i/>
          <w:i/>
          <w:sz w:val="24"/>
          <w:lang w:val="en-CA" w:eastAsia="en-CA"/>
        </w:rPr>
      </w:pPr>
      <w:r>
        <w:rPr>
          <w:i/>
          <w:sz w:val="24"/>
          <w:lang w:val="en-CA" w:eastAsia="en-CA"/>
        </w:rPr>
      </w:r>
    </w:p>
    <w:p>
      <w:pPr>
        <w:pStyle w:val="Normal"/>
        <w:rPr>
          <w:sz w:val="24"/>
        </w:rPr>
      </w:pPr>
      <w:r>
        <w:rPr>
          <w:i/>
          <w:lang w:val="en-CA" w:eastAsia="en-CA"/>
        </w:rPr>
        <w:drawing>
          <wp:inline distT="0" distB="0" distL="0" distR="0">
            <wp:extent cx="3154680" cy="1271270"/>
            <wp:effectExtent l="0" t="0" r="0" b="0"/>
            <wp:docPr id="2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 descr="" title=""/>
                    <pic:cNvPicPr>
                      <a:picLocks noChangeAspect="1" noChangeArrowheads="1"/>
                    </pic:cNvPicPr>
                  </pic:nvPicPr>
                  <pic:blipFill>
                    <a:blip r:embed="rId4"/>
                    <a:srcRect l="-5" t="-11" r="-5" b="-11"/>
                    <a:stretch>
                      <a:fillRect/>
                    </a:stretch>
                  </pic:blipFill>
                  <pic:spPr bwMode="auto">
                    <a:xfrm>
                      <a:off x="0" y="0"/>
                      <a:ext cx="3154680" cy="127127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23">
                <wp:simplePos x="0" y="0"/>
                <wp:positionH relativeFrom="column">
                  <wp:posOffset>36195</wp:posOffset>
                </wp:positionH>
                <wp:positionV relativeFrom="paragraph">
                  <wp:posOffset>43180</wp:posOffset>
                </wp:positionV>
                <wp:extent cx="2533650" cy="819150"/>
                <wp:effectExtent l="0" t="0" r="0" b="0"/>
                <wp:wrapNone/>
                <wp:docPr id="21" name="Frame12"/>
                <a:graphic xmlns:a="http://schemas.openxmlformats.org/drawingml/2006/main">
                  <a:graphicData uri="http://schemas.microsoft.com/office/word/2010/wordprocessingShape">
                    <wps:wsp>
                      <wps:cNvSpPr txBox="1"/>
                      <wps:spPr>
                        <a:xfrm>
                          <a:off x="0" y="0"/>
                          <a:ext cx="2533650" cy="819150"/>
                        </a:xfrm>
                        <a:prstGeom prst="rect"/>
                        <a:solidFill>
                          <a:srgbClr val="FFFFFF"/>
                        </a:solidFill>
                        <a:ln w="9525">
                          <a:solidFill>
                            <a:srgbClr val="000000"/>
                          </a:solidFill>
                        </a:ln>
                      </wps:spPr>
                      <wps:txbx>
                        <w:txbxContent>
                          <w:p>
                            <w:pPr>
                              <w:pStyle w:val="Caption"/>
                              <w:spacing w:before="0" w:after="0"/>
                              <w:rPr>
                                <w:sz w:val="20"/>
                              </w:rPr>
                            </w:pPr>
                            <w:r>
                              <w:rPr>
                                <w:sz w:val="20"/>
                                <w:lang w:val="en-CA" w:eastAsia="en-CA"/>
                              </w:rPr>
                              <w:t>Interchange Schedule resulting from 100 MW Interchange Transaction for two hours showing ramp start time and durations and energy accounting for each hour.</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0" tIns="0" rIns="0" bIns="0">
                        <a:noAutofit/>
                      </wps:bodyPr>
                    </wps:wsp>
                  </a:graphicData>
                </a:graphic>
              </wp:anchor>
            </w:drawing>
          </mc:Choice>
          <mc:Fallback>
            <w:pict>
              <v:rect fillcolor="#FFFFFF" strokecolor="#000000" strokeweight="0pt" style="position:absolute;rotation:-0;width:199.5pt;height:64.5pt;mso-wrap-distance-left:9.05pt;mso-wrap-distance-right:9.05pt;mso-wrap-distance-top:0pt;mso-wrap-distance-bottom:0pt;margin-top:3.4pt;mso-position-vertical-relative:text;margin-left:2.85pt;mso-position-horizontal-relative:text">
                <v:textbox inset="0in,0in,0in,0in">
                  <w:txbxContent>
                    <w:p>
                      <w:pPr>
                        <w:pStyle w:val="Caption"/>
                        <w:spacing w:before="0" w:after="0"/>
                        <w:rPr>
                          <w:sz w:val="20"/>
                        </w:rPr>
                      </w:pPr>
                      <w:r>
                        <w:rPr>
                          <w:sz w:val="20"/>
                          <w:lang w:val="en-CA" w:eastAsia="en-CA"/>
                        </w:rPr>
                        <w:t>Interchange Schedule resulting from 100 MW Interchange Transaction for two hours showing ramp start time and durations and energy accounting for each hour.</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p>
    <w:p>
      <w:pPr>
        <w:pStyle w:val="Normal"/>
        <w:ind w:start="720" w:end="0"/>
        <w:rPr>
          <w:i/>
          <w:i/>
          <w:sz w:val="24"/>
        </w:rPr>
      </w:pPr>
      <w:r>
        <w:rPr>
          <w:i/>
          <w:sz w:val="24"/>
        </w:rPr>
      </w:r>
    </w:p>
    <w:p>
      <w:pPr>
        <w:pStyle w:val="Normal"/>
        <w:ind w:start="720" w:end="0"/>
        <w:rPr>
          <w:i/>
          <w:i/>
          <w:sz w:val="24"/>
        </w:rPr>
      </w:pPr>
      <w:r>
        <w:rPr>
          <w:i/>
          <w:sz w:val="24"/>
        </w:rPr>
      </w:r>
    </w:p>
    <w:p>
      <w:pPr>
        <w:pStyle w:val="Normal"/>
        <w:ind w:start="720" w:end="0"/>
        <w:rPr/>
      </w:pPr>
      <w:r>
        <w:rPr/>
      </w:r>
    </w:p>
    <w:p>
      <w:pPr>
        <w:pStyle w:val="Normal"/>
        <w:ind w:start="720" w:end="0"/>
        <w:rPr/>
      </w:pPr>
      <w:r>
        <w:rPr/>
      </w:r>
    </w:p>
    <w:p>
      <w:pPr>
        <w:pStyle w:val="Normal"/>
        <w:ind w:start="720" w:end="0"/>
        <w:rPr/>
      </w:pPr>
      <w:r>
        <w:rPr/>
      </w:r>
    </w:p>
    <w:p>
      <w:pPr>
        <w:pStyle w:val="Heading9"/>
        <w:rPr/>
      </w:pPr>
      <w:r>
        <w:rPr/>
        <w:t>Block Accounting</w:t>
      </w:r>
    </w:p>
    <w:p>
      <w:pPr>
        <w:pStyle w:val="Normal"/>
        <w:ind w:start="720" w:end="0"/>
        <w:rPr>
          <w:sz w:val="24"/>
        </w:rPr>
      </w:pPr>
      <w:r>
        <w:rPr>
          <w:sz w:val="24"/>
        </w:rPr>
        <w:t xml:space="preserve">It is also our recommendation that Block Accounting be used.  To illustrate Block Accounting, we will reuse the previous straddle example.  Using Block Accounting, a marketer describes the schedule as 100 MW from 0700 to 0800.  This would be much simpler than integrating the values, as some entities currently require.  In the case of the example above, the integrated schedule would read (1) 12.5 MW from 0655 to 0700 (2) 75 MW from 0700 to 0800, and (3) 12.5 MW from 0800 to 0805.  </w:t>
      </w:r>
    </w:p>
    <w:p>
      <w:pPr>
        <w:pStyle w:val="Normal"/>
        <w:ind w:start="720" w:end="0"/>
        <w:rPr>
          <w:sz w:val="24"/>
        </w:rPr>
      </w:pPr>
      <w:r>
        <w:rPr>
          <w:sz w:val="24"/>
        </w:rPr>
        <w:t>The use of Block Accounting is also compliant with Policy 3C Section 5 of the NERC Operating Manual:</w:t>
      </w:r>
    </w:p>
    <w:p>
      <w:pPr>
        <w:pStyle w:val="Normal"/>
        <w:ind w:start="720" w:end="0"/>
        <w:rPr>
          <w:sz w:val="24"/>
        </w:rPr>
      </w:pPr>
      <w:r>
        <w:rPr>
          <w:sz w:val="24"/>
        </w:rPr>
      </w:r>
    </w:p>
    <w:p>
      <w:pPr>
        <w:pStyle w:val="Normal"/>
        <w:ind w:start="720" w:end="0"/>
        <w:rPr/>
      </w:pPr>
      <w:r>
        <w:rPr>
          <w:b/>
          <w:sz w:val="24"/>
        </w:rPr>
        <w:t>Interchange Schedule accounting.</w:t>
      </w:r>
      <w:r>
        <w:rPr>
          <w:sz w:val="24"/>
        </w:rPr>
        <w:t xml:space="preserve"> Block accounting shall be used.</w:t>
      </w:r>
    </w:p>
    <w:p>
      <w:pPr>
        <w:pStyle w:val="Normal"/>
        <w:ind w:start="720" w:end="0"/>
        <w:rPr>
          <w:lang w:val="en-CA" w:eastAsia="en-CA"/>
        </w:rPr>
      </w:pPr>
      <w:r>
        <w:rPr>
          <w:lang w:val="en-CA" w:eastAsia="en-CA"/>
        </w:rPr>
      </w:r>
      <w:r>
        <mc:AlternateContent>
          <mc:Choice Requires="wps">
            <w:drawing>
              <wp:anchor behindDoc="0" distT="0" distB="0" distL="114935" distR="114935" simplePos="0" locked="0" layoutInCell="1" allowOverlap="1" relativeHeight="24">
                <wp:simplePos x="0" y="0"/>
                <wp:positionH relativeFrom="column">
                  <wp:posOffset>3363595</wp:posOffset>
                </wp:positionH>
                <wp:positionV relativeFrom="paragraph">
                  <wp:posOffset>275590</wp:posOffset>
                </wp:positionV>
                <wp:extent cx="1903730" cy="676275"/>
                <wp:effectExtent l="0" t="0" r="0" b="0"/>
                <wp:wrapNone/>
                <wp:docPr id="22" name="Frame13"/>
                <a:graphic xmlns:a="http://schemas.openxmlformats.org/drawingml/2006/main">
                  <a:graphicData uri="http://schemas.microsoft.com/office/word/2010/wordprocessingShape">
                    <wps:wsp>
                      <wps:cNvSpPr txBox="1"/>
                      <wps:spPr>
                        <a:xfrm>
                          <a:off x="0" y="0"/>
                          <a:ext cx="1903730" cy="676275"/>
                        </a:xfrm>
                        <a:prstGeom prst="rect"/>
                        <a:solidFill>
                          <a:srgbClr val="FFFFFF"/>
                        </a:solidFill>
                        <a:ln w="9525">
                          <a:solidFill>
                            <a:srgbClr val="000000"/>
                          </a:solidFill>
                        </a:ln>
                      </wps:spPr>
                      <wps:txbx>
                        <w:txbxContent>
                          <w:p>
                            <w:pPr>
                              <w:pStyle w:val="Caption"/>
                              <w:spacing w:before="0" w:after="0"/>
                              <w:rPr>
                                <w:sz w:val="20"/>
                              </w:rPr>
                            </w:pPr>
                            <w:r>
                              <w:rPr>
                                <w:sz w:val="20"/>
                                <w:lang w:val="en-CA" w:eastAsia="en-CA"/>
                              </w:rPr>
                              <w:t>Block accounting moves the ramp energy into the adjacent clock hours.</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wps:txbx>
                      <wps:bodyPr anchor="t" lIns="0" tIns="0" rIns="0" bIns="0">
                        <a:noAutofit/>
                      </wps:bodyPr>
                    </wps:wsp>
                  </a:graphicData>
                </a:graphic>
              </wp:anchor>
            </w:drawing>
          </mc:Choice>
          <mc:Fallback>
            <w:pict>
              <v:rect fillcolor="#FFFFFF" strokecolor="#000000" strokeweight="0pt" style="position:absolute;rotation:-0;width:149.9pt;height:53.25pt;mso-wrap-distance-left:9.05pt;mso-wrap-distance-right:9.05pt;mso-wrap-distance-top:0pt;mso-wrap-distance-bottom:0pt;margin-top:21.7pt;mso-position-vertical-relative:text;margin-left:264.85pt;mso-position-horizontal-relative:text">
                <v:textbox inset="0in,0in,0in,0in">
                  <w:txbxContent>
                    <w:p>
                      <w:pPr>
                        <w:pStyle w:val="Caption"/>
                        <w:spacing w:before="0" w:after="0"/>
                        <w:rPr>
                          <w:sz w:val="20"/>
                        </w:rPr>
                      </w:pPr>
                      <w:r>
                        <w:rPr>
                          <w:sz w:val="20"/>
                          <w:lang w:val="en-CA" w:eastAsia="en-CA"/>
                        </w:rPr>
                        <w:t>Block accounting moves the ramp energy into the adjacent clock hours.</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240"/>
                        <w:rPr/>
                      </w:pPr>
                      <w:r>
                        <w:rPr/>
                      </w:r>
                    </w:p>
                  </w:txbxContent>
                </v:textbox>
                <w10:wrap type="none"/>
              </v:rect>
            </w:pict>
          </mc:Fallback>
        </mc:AlternateContent>
      </w:r>
    </w:p>
    <w:p>
      <w:pPr>
        <w:pStyle w:val="Normal"/>
        <w:rPr>
          <w:lang w:val="en-CA" w:eastAsia="en-CA"/>
        </w:rPr>
      </w:pPr>
      <w:r>
        <w:rPr>
          <w:lang w:val="en-CA" w:eastAsia="en-CA"/>
        </w:rPr>
        <w:drawing>
          <wp:inline distT="0" distB="0" distL="0" distR="0">
            <wp:extent cx="3153410" cy="958850"/>
            <wp:effectExtent l="0" t="0" r="0" b="0"/>
            <wp:docPr id="2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descr="" title=""/>
                    <pic:cNvPicPr>
                      <a:picLocks noChangeAspect="1" noChangeArrowheads="1"/>
                    </pic:cNvPicPr>
                  </pic:nvPicPr>
                  <pic:blipFill>
                    <a:blip r:embed="rId5"/>
                    <a:srcRect l="-9" t="-29" r="-9" b="-29"/>
                    <a:stretch>
                      <a:fillRect/>
                    </a:stretch>
                  </pic:blipFill>
                  <pic:spPr bwMode="auto">
                    <a:xfrm>
                      <a:off x="0" y="0"/>
                      <a:ext cx="3153410" cy="958850"/>
                    </a:xfrm>
                    <a:prstGeom prst="rect">
                      <a:avLst/>
                    </a:prstGeom>
                    <a:noFill/>
                  </pic:spPr>
                </pic:pic>
              </a:graphicData>
            </a:graphic>
          </wp:inline>
        </w:drawing>
      </w:r>
    </w:p>
    <w:p>
      <w:pPr>
        <w:pStyle w:val="Normal"/>
        <w:ind w:start="720" w:end="0"/>
        <w:rPr/>
      </w:pPr>
      <w:r>
        <w:rPr/>
      </w:r>
    </w:p>
    <w:p>
      <w:pPr>
        <w:pStyle w:val="Normal"/>
        <w:ind w:start="720" w:end="0"/>
        <w:rPr/>
      </w:pPr>
      <w:r>
        <w:rPr/>
      </w:r>
    </w:p>
    <w:p>
      <w:pPr>
        <w:pStyle w:val="Normal"/>
        <w:ind w:start="720" w:end="0"/>
        <w:jc w:val="center"/>
        <w:rPr>
          <w:b/>
          <w:sz w:val="24"/>
        </w:rPr>
      </w:pPr>
      <w:r>
        <w:rPr>
          <w:b/>
          <w:sz w:val="24"/>
        </w:rPr>
      </w:r>
    </w:p>
    <w:p>
      <w:pPr>
        <w:pStyle w:val="Normal"/>
        <w:ind w:start="720" w:end="0"/>
        <w:jc w:val="center"/>
        <w:rPr>
          <w:b/>
          <w:sz w:val="24"/>
        </w:rPr>
      </w:pPr>
      <w:r>
        <w:rPr>
          <w:b/>
          <w:sz w:val="24"/>
        </w:rPr>
      </w:r>
      <w:r>
        <w:br w:type="page"/>
      </w:r>
    </w:p>
    <w:p>
      <w:pPr>
        <w:pStyle w:val="Heading9"/>
        <w:rPr/>
      </w:pPr>
      <w:r>
        <w:rPr/>
        <w:t>15 Minute Scheduling and OASIS Blocks</w:t>
      </w:r>
    </w:p>
    <w:p>
      <w:pPr>
        <w:pStyle w:val="Normal"/>
        <w:ind w:start="720" w:end="0"/>
        <w:rPr>
          <w:sz w:val="24"/>
        </w:rPr>
      </w:pPr>
      <w:r>
        <w:rPr>
          <w:sz w:val="24"/>
        </w:rPr>
        <w:t>Our third recommendation is that ramps be standardized as with the added additional criteria:</w:t>
      </w:r>
    </w:p>
    <w:p>
      <w:pPr>
        <w:pStyle w:val="Normal"/>
        <w:numPr>
          <w:ilvl w:val="0"/>
          <w:numId w:val="15"/>
        </w:numPr>
        <w:ind w:hanging="360" w:start="2160" w:end="0"/>
        <w:rPr>
          <w:sz w:val="24"/>
        </w:rPr>
      </w:pPr>
      <w:r>
        <w:rPr>
          <w:b/>
          <w:sz w:val="24"/>
        </w:rPr>
        <w:t>10 minute</w:t>
      </w:r>
      <w:r>
        <w:rPr>
          <w:sz w:val="24"/>
        </w:rPr>
        <w:t xml:space="preserve"> ramp interval across the start &amp; end time</w:t>
      </w:r>
    </w:p>
    <w:p>
      <w:pPr>
        <w:pStyle w:val="Normal"/>
        <w:numPr>
          <w:ilvl w:val="0"/>
          <w:numId w:val="15"/>
        </w:numPr>
        <w:ind w:hanging="360" w:start="2160" w:end="0"/>
        <w:rPr>
          <w:sz w:val="24"/>
        </w:rPr>
      </w:pPr>
      <w:r>
        <w:rPr>
          <w:sz w:val="24"/>
        </w:rPr>
        <w:t xml:space="preserve">Ramping at </w:t>
      </w:r>
      <w:r>
        <w:rPr>
          <w:b/>
          <w:sz w:val="24"/>
        </w:rPr>
        <w:t>15 minute intervals</w:t>
      </w:r>
      <w:r>
        <w:rPr>
          <w:sz w:val="24"/>
        </w:rPr>
        <w:t xml:space="preserve"> throughout the hour </w:t>
      </w:r>
    </w:p>
    <w:p>
      <w:pPr>
        <w:pStyle w:val="Normal"/>
        <w:ind w:start="720" w:end="0"/>
        <w:rPr>
          <w:sz w:val="24"/>
        </w:rPr>
      </w:pPr>
      <w:r>
        <w:rPr>
          <w:sz w:val="24"/>
        </w:rPr>
        <w:t xml:space="preserve">In an effort to accommodate Control Area Ramping limits, we recommend the standardization of Ramp times to include shifting the ramp of schedules in 15-minute time increments.  This accommodates two situations: when a system is unable to accommodate additional schedules due to that system’s Ramp limit, and for units that have long Ramp times and require more than 10 minutes to Ramp.  </w:t>
      </w:r>
    </w:p>
    <w:p>
      <w:pPr>
        <w:pStyle w:val="Normal"/>
        <w:ind w:start="720" w:end="0"/>
        <w:rPr>
          <w:sz w:val="24"/>
        </w:rPr>
      </w:pPr>
      <w:r>
        <w:rPr>
          <w:sz w:val="24"/>
        </w:rPr>
        <w:t>In the first situation, fifteen-minute granularity allows the schedule to be shifted forward or backward fifteen minutes to accommodate the schedule when ramp space is available.  This is essential for systems that have limited ability to ramp.</w:t>
      </w:r>
    </w:p>
    <w:p>
      <w:pPr>
        <w:pStyle w:val="Normal"/>
        <w:ind w:start="720" w:end="0"/>
        <w:rPr>
          <w:sz w:val="24"/>
        </w:rPr>
      </w:pPr>
      <w:r>
        <w:rPr>
          <w:sz w:val="24"/>
        </w:rPr>
        <w:t>In the second situation, large generators that require longer Ramp times (e.g. 20 or 30 minutes), could partially ramp for 10 minutes across the schedule start, then finish with another 10-minute ramp across the next quarter to complete the full ramp. This would accommodate areas such as Florida and WSCC, where longer ramp times are needed.</w:t>
      </w:r>
    </w:p>
    <w:p>
      <w:pPr>
        <w:pStyle w:val="Normal"/>
        <w:ind w:start="720" w:end="0"/>
        <w:rPr>
          <w:sz w:val="24"/>
        </w:rPr>
      </w:pPr>
      <w:r>
        <w:rPr>
          <w:sz w:val="24"/>
        </w:rPr>
        <w:t>One of the problems encountered with a Ramp limit is the incompatibility with the current Transmission Reservation granularity of one hour.  This can be overcome by allowing for a sliding time frame for the Transmission Reservation, e.g. the 07:00 to 23:00 reservation can be adjusted to allow for 06:45 to 22:45 to accommodate the Ramp schedule with no additional cost. As such, we recommend standardizing this practice to aid Transmission Customers when reliability issues (such as ramp space) require that the schedule be implemented at hours other than were provided for.</w:t>
      </w:r>
    </w:p>
    <w:p>
      <w:pPr>
        <w:pStyle w:val="Normal"/>
        <w:ind w:start="720" w:end="0"/>
        <w:rPr/>
      </w:pPr>
      <w:r>
        <w:rPr>
          <w:sz w:val="24"/>
        </w:rPr>
        <w:t xml:space="preserve">In addition to allowing the reservation usage slide as described above, we recommend Transmission Providers offer reservations in quarter hour increments.   This smaller reservation granularity would allow for customers to better accommodate Ramp limit problems and other reliability issues without penalizing them (i.e., forcing them to purchase more capacity than is actually required).  </w:t>
      </w:r>
      <w:r>
        <w:rPr/>
        <w:tab/>
      </w:r>
    </w:p>
    <w:p>
      <w:pPr>
        <w:pStyle w:val="Normal"/>
        <w:autoSpaceDE w:val="false"/>
        <w:spacing w:before="0" w:after="0"/>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Roman">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bullet"/>
      <w:lvlText w:val=""/>
      <w:lvlJc w:val="start"/>
      <w:pPr>
        <w:tabs>
          <w:tab w:val="num" w:pos="2880"/>
        </w:tabs>
        <w:ind w:start="2880" w:hanging="360"/>
      </w:pPr>
      <w:rPr>
        <w:rFonts w:ascii="Wingdings" w:hAnsi="Wingdings" w:cs="Wingdings"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decimal"/>
      <w:lvlText w:val="%1."/>
      <w:lvlJc w:val="start"/>
      <w:pPr>
        <w:tabs>
          <w:tab w:val="num" w:pos="2520"/>
        </w:tabs>
        <w:ind w:start="2520" w:hanging="360"/>
      </w:pPr>
      <w:rPr/>
    </w:lvl>
  </w:abstractNum>
  <w:abstractNum w:abstractNumId="15">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6">
    <w:lvl w:ilvl="0">
      <w:start w:val="1"/>
      <w:numFmt w:val="decimal"/>
      <w:lvlText w:val="%1."/>
      <w:lvlJc w:val="start"/>
      <w:pPr>
        <w:tabs>
          <w:tab w:val="num" w:pos="2160"/>
        </w:tabs>
        <w:ind w:start="216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1080"/>
        </w:tabs>
        <w:ind w:start="1080" w:hanging="360"/>
      </w:pPr>
      <w:rPr/>
    </w:lvl>
  </w:abstractNum>
  <w:abstractNum w:abstractNumId="1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bullet"/>
      <w:lvlText w:val=""/>
      <w:lvlJc w:val="start"/>
      <w:pPr>
        <w:tabs>
          <w:tab w:val="num" w:pos="2340"/>
        </w:tabs>
        <w:ind w:start="2340" w:hanging="360"/>
      </w:pPr>
      <w:rPr>
        <w:rFonts w:ascii="Wingdings" w:hAnsi="Wingdings" w:cs="Wingdings" w:hint="default"/>
      </w:rPr>
    </w:lvl>
    <w:lvl w:ilvl="3">
      <w:start w:val="1"/>
      <w:numFmt w:val="bullet"/>
      <w:lvlText w:val=""/>
      <w:lvlJc w:val="start"/>
      <w:pPr>
        <w:tabs>
          <w:tab w:val="num" w:pos="2880"/>
        </w:tabs>
        <w:ind w:start="2880" w:hanging="360"/>
      </w:pPr>
      <w:rPr>
        <w:rFonts w:ascii="Wingdings" w:hAnsi="Wingdings" w:cs="Wingdings"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0" w:after="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0"/>
    </w:rPr>
  </w:style>
  <w:style w:type="paragraph" w:styleId="Heading5">
    <w:name w:val="heading 5"/>
    <w:basedOn w:val="Normal"/>
    <w:next w:val="Normal"/>
    <w:qFormat/>
    <w:pPr>
      <w:keepNext w:val="true"/>
      <w:numPr>
        <w:ilvl w:val="4"/>
        <w:numId w:val="1"/>
      </w:numPr>
      <w:autoSpaceDE w:val="false"/>
      <w:spacing w:before="0" w:after="0"/>
      <w:jc w:val="center"/>
      <w:outlineLvl w:val="4"/>
    </w:pPr>
    <w:rPr>
      <w:b/>
      <w:bCs/>
      <w:color w:val="0000FF"/>
      <w:sz w:val="29"/>
      <w:szCs w:val="29"/>
    </w:rPr>
  </w:style>
  <w:style w:type="paragraph" w:styleId="Heading6">
    <w:name w:val="heading 6"/>
    <w:basedOn w:val="Normal"/>
    <w:next w:val="Normal"/>
    <w:qFormat/>
    <w:pPr>
      <w:keepNext w:val="true"/>
      <w:numPr>
        <w:ilvl w:val="5"/>
        <w:numId w:val="1"/>
      </w:numPr>
      <w:autoSpaceDE w:val="false"/>
      <w:spacing w:before="0" w:after="0"/>
      <w:outlineLvl w:val="5"/>
    </w:pPr>
    <w:rPr>
      <w:rFonts w:ascii="Arial" w:hAnsi="Arial" w:cs="Arial"/>
      <w:color w:val="000000"/>
      <w:sz w:val="28"/>
      <w:szCs w:val="24"/>
    </w:rPr>
  </w:style>
  <w:style w:type="paragraph" w:styleId="Heading7">
    <w:name w:val="heading 7"/>
    <w:basedOn w:val="Normal"/>
    <w:next w:val="Normal"/>
    <w:qFormat/>
    <w:pPr>
      <w:keepNext w:val="true"/>
      <w:numPr>
        <w:ilvl w:val="6"/>
        <w:numId w:val="1"/>
      </w:numPr>
      <w:autoSpaceDE w:val="false"/>
      <w:spacing w:before="0" w:after="0"/>
      <w:ind w:firstLine="720" w:start="0" w:end="0"/>
      <w:outlineLvl w:val="6"/>
    </w:pPr>
    <w:rPr>
      <w:rFonts w:ascii="Arial" w:hAnsi="Arial" w:cs="Arial"/>
      <w:b/>
      <w:bCs/>
      <w:color w:val="0000FF"/>
      <w:sz w:val="28"/>
      <w:szCs w:val="24"/>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spacing w:before="0" w:after="0"/>
      <w:ind w:hanging="0" w:start="720" w:end="0"/>
      <w:jc w:val="both"/>
      <w:outlineLvl w:val="8"/>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3">
    <w:name w:val="WW8Num13z3"/>
    <w:qFormat/>
    <w:rPr>
      <w:rFonts w:ascii="Wingdings" w:hAnsi="Wingdings" w:cs="Wingdings"/>
    </w:rPr>
  </w:style>
  <w:style w:type="character" w:styleId="WW8Num14z0">
    <w:name w:val="WW8Num14z0"/>
    <w:qFormat/>
    <w:rPr/>
  </w:style>
  <w:style w:type="character" w:styleId="WW8Num15z0">
    <w:name w:val="WW8Num15z0"/>
    <w:qFormat/>
    <w:rPr>
      <w:rFonts w:ascii="Times New Roman" w:hAnsi="Times New Roman" w:cs="Times New Roman"/>
      <w:color w:val="000000"/>
      <w:sz w:val="22"/>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TextBox">
    <w:name w:val="Text Box"/>
    <w:basedOn w:val="DefaultParagraphFont"/>
    <w:qFormat/>
    <w:rPr>
      <w:rFonts w:ascii="Arial" w:hAnsi="Arial" w:cs="Arial"/>
      <w:b/>
      <w:sz w:val="20"/>
    </w:rPr>
  </w:style>
  <w:style w:type="character" w:styleId="BoxText">
    <w:name w:val="Box Text"/>
    <w:basedOn w:val="DefaultParagraphFont"/>
    <w:qFormat/>
    <w:rPr>
      <w:rFonts w:ascii="Arial" w:hAnsi="Arial" w:cs="Arial"/>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PolicySubheading">
    <w:name w:val="Policy Subheading"/>
    <w:basedOn w:val="Heading2"/>
    <w:qFormat/>
    <w:pPr>
      <w:numPr>
        <w:ilvl w:val="0"/>
        <w:numId w:val="0"/>
      </w:numPr>
      <w:outlineLvl w:val="9"/>
    </w:pPr>
    <w:rPr>
      <w:sz w:val="26"/>
    </w:rPr>
  </w:style>
  <w:style w:type="paragraph" w:styleId="NormalNERC">
    <w:name w:val="Normal NERC"/>
    <w:basedOn w:val="Normal"/>
    <w:qFormat/>
    <w:pPr>
      <w:spacing w:before="0" w:after="240"/>
    </w:pPr>
    <w:rPr/>
  </w:style>
  <w:style w:type="paragraph" w:styleId="ArticleTitle">
    <w:name w:val="Article Title"/>
    <w:basedOn w:val="Heading1"/>
    <w:next w:val="NormalNERC"/>
    <w:qFormat/>
    <w:pPr>
      <w:numPr>
        <w:ilvl w:val="0"/>
        <w:numId w:val="0"/>
      </w:numPr>
      <w:jc w:val="center"/>
      <w:outlineLvl w:val="9"/>
    </w:pPr>
    <w:rPr/>
  </w:style>
  <w:style w:type="paragraph" w:styleId="Heading31">
    <w:name w:val="Heading3"/>
    <w:basedOn w:val="Heading3"/>
    <w:qFormat/>
    <w:pPr>
      <w:numPr>
        <w:ilvl w:val="0"/>
        <w:numId w:val="0"/>
      </w:numPr>
      <w:outlineLvl w:val="9"/>
    </w:pPr>
    <w:rPr/>
  </w:style>
  <w:style w:type="paragraph" w:styleId="Bullet">
    <w:name w:val="Bullet"/>
    <w:basedOn w:val="Normal"/>
    <w:qFormat/>
    <w:pPr>
      <w:numPr>
        <w:ilvl w:val="0"/>
        <w:numId w:val="12"/>
      </w:numPr>
      <w:spacing w:before="0" w:after="120"/>
      <w:ind w:hanging="0" w:start="1080" w:end="0"/>
    </w:pPr>
    <w:rPr>
      <w:sz w:val="20"/>
    </w:rPr>
  </w:style>
  <w:style w:type="paragraph" w:styleId="PolicyTitle">
    <w:name w:val="Policy Title"/>
    <w:basedOn w:val="Heading1"/>
    <w:next w:val="Normal"/>
    <w:qFormat/>
    <w:pPr>
      <w:numPr>
        <w:ilvl w:val="0"/>
        <w:numId w:val="0"/>
      </w:numPr>
      <w:pBdr>
        <w:bottom w:val="single" w:sz="4" w:space="1" w:color="000000"/>
      </w:pBdr>
      <w:outlineLvl w:val="9"/>
    </w:pPr>
    <w:rPr>
      <w:sz w:val="36"/>
    </w:rPr>
  </w:style>
  <w:style w:type="paragraph" w:styleId="Normal0pt">
    <w:name w:val="Normal 0pt"/>
    <w:basedOn w:val="Normal"/>
    <w:qFormat/>
    <w:pPr>
      <w:spacing w:before="0" w:after="0"/>
    </w:pPr>
    <w:rPr/>
  </w:style>
  <w:style w:type="paragraph" w:styleId="TableText">
    <w:name w:val="Table Text"/>
    <w:basedOn w:val="NormalNERC"/>
    <w:next w:val="NormalNERC"/>
    <w:qFormat/>
    <w:pPr>
      <w:spacing w:before="60" w:after="60"/>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spacing w:before="0" w:after="0"/>
      <w:ind w:hanging="0" w:start="14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2001-05-22T17:57:00Z</dcterms:created>
  <dc:creator>Gordon Scott</dc:creator>
  <dc:description/>
  <dc:language>en-CA</dc:language>
  <cp:lastModifiedBy>Gordon Scott</cp:lastModifiedBy>
  <dcterms:modified xsi:type="dcterms:W3CDTF">2001-05-22T17:57:00Z</dcterms:modified>
  <cp:revision>2</cp:revision>
  <dc:subject/>
  <dc:title>Schedule Timing Task Group</dc:title>
</cp:coreProperties>
</file>