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tem"/>
        <w:numPr>
          <w:ilvl w:val="0"/>
          <w:numId w:val="0"/>
        </w:numPr>
        <w:spacing w:before="240" w:after="60"/>
        <w:ind w:hanging="0" w:start="0"/>
        <w:jc w:val="center"/>
        <w:rPr/>
      </w:pPr>
      <w:r>
        <w:rPr/>
        <w:t>Critical Business Practices</w:t>
      </w:r>
    </w:p>
    <w:p>
      <w:pPr>
        <w:pStyle w:val="Heading2"/>
        <w:ind w:hanging="0" w:start="0"/>
        <w:rPr>
          <w:rFonts w:ascii="Times New Roman" w:hAnsi="Times New Roman" w:cs="Times New Roman"/>
          <w:sz w:val="22"/>
        </w:rPr>
      </w:pPr>
      <w:r>
        <w:rPr>
          <w:rFonts w:cs="Times New Roman" w:ascii="Times New Roman" w:hAnsi="Times New Roman"/>
          <w:sz w:val="22"/>
        </w:rPr>
        <w:t>Losses</w:t>
      </w:r>
    </w:p>
    <w:p>
      <w:pPr>
        <w:pStyle w:val="BodyText"/>
        <w:ind w:firstLine="360" w:end="0"/>
        <w:rPr>
          <w:rFonts w:ascii="Times New Roman" w:hAnsi="Times New Roman" w:cs="Times New Roman"/>
          <w:sz w:val="22"/>
        </w:rPr>
      </w:pPr>
      <w:r>
        <w:rPr>
          <w:rFonts w:cs="Times New Roman" w:ascii="Times New Roman" w:hAnsi="Times New Roman"/>
          <w:sz w:val="22"/>
        </w:rPr>
        <w:t xml:space="preserve">At its recent meeting in Chicago, the ESC reviewed the comments and feedback from the initial posting of Business Practice as they affect the handling of energy losses in OASIS Phase II.  Based on those comments, the ESC does not see an overwhelming reason to require the provision of a self-supply option for energy losses.  The ESC stresses that the business practices being developed will apply to transactions flowing into, out of, and through RTOs at the time of implementation of OASIS Phase II in December 2002.  Likewise, the business model being developed would be operational under FERC approved RTO Tariffs and not current Transmission Provider tariffs. </w:t>
      </w:r>
    </w:p>
    <w:p>
      <w:pPr>
        <w:pStyle w:val="BodyText"/>
        <w:ind w:firstLine="360" w:end="0"/>
        <w:rPr>
          <w:rFonts w:ascii="Times New Roman" w:hAnsi="Times New Roman" w:cs="Times New Roman"/>
          <w:sz w:val="22"/>
        </w:rPr>
      </w:pPr>
      <w:r>
        <w:rPr>
          <w:rFonts w:cs="Times New Roman" w:ascii="Times New Roman" w:hAnsi="Times New Roman"/>
          <w:sz w:val="22"/>
        </w:rPr>
        <w:t xml:space="preserve"> </w:t>
      </w:r>
    </w:p>
    <w:p>
      <w:pPr>
        <w:pStyle w:val="Normal"/>
        <w:ind w:firstLine="360" w:end="0"/>
        <w:rPr/>
      </w:pPr>
      <w:r>
        <w:rPr/>
        <w:t xml:space="preserve">As described in our posted white paper, the financial handling of losses in electronic scheduling would greatly simplify the scheduling process and aid commerce and process efficiency.  We continue to envision the existence of operational RTO imbalance markets, which would greatly facilitate the financial handling of losses.  </w:t>
      </w:r>
      <w:r>
        <w:rPr>
          <w:i/>
          <w:u w:val="single"/>
        </w:rPr>
        <w:t>As a result the ESC is moving forward with the proposal that losses be handled financially as a standard in OASIS Phase II</w:t>
      </w:r>
      <w:r>
        <w:rPr/>
        <w:t>.  The ESC requests feedback via the following questions and statements:</w:t>
      </w:r>
    </w:p>
    <w:p>
      <w:pPr>
        <w:pStyle w:val="Normal"/>
        <w:numPr>
          <w:ilvl w:val="0"/>
          <w:numId w:val="10"/>
        </w:numPr>
        <w:rPr/>
      </w:pPr>
      <w:r>
        <w:rPr/>
        <w:t>How will a move towards financial losses impact your operations?</w:t>
      </w:r>
    </w:p>
    <w:p>
      <w:pPr>
        <w:pStyle w:val="Normal"/>
        <w:numPr>
          <w:ilvl w:val="0"/>
          <w:numId w:val="10"/>
        </w:numPr>
        <w:rPr/>
      </w:pPr>
      <w:r>
        <w:rPr/>
        <w:t>What are the obstacles that need to be overcome in order to implement an electronic scheduling model, which would include financial losses as the standard in handling losses as part of energy transactions?  Explain how the obstacles could be overcome.</w:t>
      </w:r>
    </w:p>
    <w:p>
      <w:pPr>
        <w:pStyle w:val="Normal"/>
        <w:numPr>
          <w:ilvl w:val="0"/>
          <w:numId w:val="10"/>
        </w:numPr>
        <w:rPr/>
      </w:pPr>
      <w:r>
        <w:rPr/>
        <w:t>The CACTF Reliability Model provides that the Transmission Provider (TP) will charge for the provision of energy losses to support transactions flowing on their systems via their rates for transmission service.  The TP then arranges for and compensates the Balancing Authority (BA) for supplying the energy for losses from generators within their BA boundaries.  The BA and TP compensate generators for this service.  Is this not effectively a form of financial losses?</w:t>
      </w:r>
    </w:p>
    <w:p>
      <w:pPr>
        <w:pStyle w:val="Normal"/>
        <w:numPr>
          <w:ilvl w:val="0"/>
          <w:numId w:val="10"/>
        </w:numPr>
        <w:rPr/>
      </w:pPr>
      <w:r>
        <w:rPr/>
        <w:t>Should the losses issue be presented to FERC as a public policy issue for them to settle?</w:t>
      </w:r>
    </w:p>
    <w:p>
      <w:pPr>
        <w:pStyle w:val="Normal"/>
        <w:ind w:firstLine="360" w:end="0"/>
        <w:rPr/>
      </w:pPr>
      <w:r>
        <w:rPr/>
        <w:t>Absent any further comments or objections to the proposal for financial handling of energy losses, the ESC will move forward in its next posting with a revised business practice reflecting the position stated above.</w:t>
      </w:r>
    </w:p>
    <w:p>
      <w:pPr>
        <w:pStyle w:val="Heading2"/>
        <w:ind w:hanging="0" w:start="0"/>
        <w:rPr>
          <w:rFonts w:ascii="Times New Roman" w:hAnsi="Times New Roman" w:cs="Times New Roman"/>
          <w:sz w:val="22"/>
        </w:rPr>
      </w:pPr>
      <w:r>
        <w:rPr>
          <w:rFonts w:cs="Times New Roman" w:ascii="Times New Roman" w:hAnsi="Times New Roman"/>
          <w:sz w:val="22"/>
        </w:rPr>
        <w:t>Schedule Timing</w:t>
      </w:r>
    </w:p>
    <w:p>
      <w:pPr>
        <w:pStyle w:val="Normal"/>
        <w:ind w:firstLine="405" w:end="0"/>
        <w:rPr/>
      </w:pPr>
      <w:r>
        <w:rPr/>
        <w:t>The ESC is moving to establish industry standard timings for transaction submittal and approval.  (a) The ESC is moving to support new transaction requests and requests to change existing transactions with 20-minute notice. (b) The ESC is moving to approval of intra-day transaction in no less than 10 minutes and no more than 30 minutes.  Day-ahead approval is suggested as not less than 10 minutes and no more than 2 hours.</w:t>
      </w:r>
    </w:p>
    <w:p>
      <w:pPr>
        <w:pStyle w:val="Normal"/>
        <w:numPr>
          <w:ilvl w:val="0"/>
          <w:numId w:val="11"/>
        </w:numPr>
        <w:ind w:hanging="360" w:start="765" w:end="0"/>
        <w:rPr/>
      </w:pPr>
      <w:r>
        <w:rPr/>
        <w:t>Given that the electronic scheduling tool functional requirements will specify the proper automation (including electronic checkout), what additional obstacles would have to be overcome to support these timing requirements?</w:t>
      </w:r>
    </w:p>
    <w:p>
      <w:pPr>
        <w:pStyle w:val="Normal"/>
        <w:numPr>
          <w:ilvl w:val="0"/>
          <w:numId w:val="11"/>
        </w:numPr>
        <w:ind w:hanging="360" w:start="765" w:end="0"/>
        <w:rPr/>
      </w:pPr>
      <w:r>
        <w:rPr/>
        <w:t>What changes are required to overcome those obstacles?</w:t>
      </w:r>
    </w:p>
    <w:p>
      <w:pPr>
        <w:pStyle w:val="Heading2"/>
        <w:ind w:hanging="0" w:start="0"/>
        <w:rPr>
          <w:rFonts w:ascii="Times New Roman" w:hAnsi="Times New Roman" w:cs="Times New Roman"/>
          <w:sz w:val="22"/>
        </w:rPr>
      </w:pPr>
      <w:r>
        <w:rPr>
          <w:rFonts w:cs="Times New Roman" w:ascii="Times New Roman" w:hAnsi="Times New Roman"/>
          <w:sz w:val="22"/>
        </w:rPr>
        <w:t>Schedule Granularity</w:t>
      </w:r>
    </w:p>
    <w:p>
      <w:pPr>
        <w:pStyle w:val="Normal"/>
        <w:ind w:firstLine="360" w:end="0"/>
        <w:rPr/>
      </w:pPr>
      <w:r>
        <w:rPr/>
        <w:t>The ESC is moving to adopt non-emergency schedule changes on the quarter hour (07:00, 07:15, 07:30, 07:45, 08:00,).  Emergency changes could be made as agreed by neighboring RTOs.</w:t>
      </w:r>
    </w:p>
    <w:p>
      <w:pPr>
        <w:pStyle w:val="Normal"/>
        <w:numPr>
          <w:ilvl w:val="0"/>
          <w:numId w:val="9"/>
        </w:numPr>
        <w:ind w:hanging="360" w:start="720" w:end="0"/>
        <w:rPr/>
      </w:pPr>
      <w:r>
        <w:rPr/>
        <w:t>What obstacles would have to be overcome to move to support quarter hour changes?</w:t>
      </w:r>
    </w:p>
    <w:p>
      <w:pPr>
        <w:pStyle w:val="Normal"/>
        <w:numPr>
          <w:ilvl w:val="0"/>
          <w:numId w:val="9"/>
        </w:numPr>
        <w:ind w:hanging="360" w:start="720" w:end="0"/>
        <w:rPr/>
      </w:pPr>
      <w:r>
        <w:rPr/>
        <w:t>What changes are required to overcome those obstacles?</w:t>
      </w:r>
    </w:p>
    <w:p>
      <w:pPr>
        <w:pStyle w:val="Heading2"/>
        <w:ind w:hanging="0" w:start="0"/>
        <w:rPr>
          <w:rFonts w:ascii="Times New Roman" w:hAnsi="Times New Roman" w:cs="Times New Roman"/>
          <w:sz w:val="22"/>
        </w:rPr>
      </w:pPr>
      <w:r>
        <w:rPr>
          <w:rFonts w:cs="Times New Roman" w:ascii="Times New Roman" w:hAnsi="Times New Roman"/>
          <w:sz w:val="22"/>
        </w:rPr>
        <w:t>OASIS Granularity</w:t>
      </w:r>
    </w:p>
    <w:p>
      <w:pPr>
        <w:pStyle w:val="Normal"/>
        <w:ind w:firstLine="360" w:end="0"/>
        <w:rPr/>
      </w:pPr>
      <w:r>
        <w:rPr/>
        <w:t>To support the schedule granularity above, the ESC suggests the ability to reserve transmission that start and/or end on quarter hours.</w:t>
      </w:r>
    </w:p>
    <w:p>
      <w:pPr>
        <w:pStyle w:val="Normal"/>
        <w:numPr>
          <w:ilvl w:val="0"/>
          <w:numId w:val="5"/>
        </w:numPr>
        <w:ind w:hanging="360" w:start="720" w:end="0"/>
        <w:rPr/>
      </w:pPr>
      <w:r>
        <w:rPr/>
        <w:t>What obstacles would have to be overcome to move to support quarter hour changes?</w:t>
      </w:r>
    </w:p>
    <w:p>
      <w:pPr>
        <w:pStyle w:val="Normal"/>
        <w:numPr>
          <w:ilvl w:val="0"/>
          <w:numId w:val="5"/>
        </w:numPr>
        <w:ind w:hanging="360" w:start="720" w:end="0"/>
        <w:rPr/>
      </w:pPr>
      <w:r>
        <w:rPr/>
        <w:t>What changes are required to overcome those obstacles?</w:t>
      </w:r>
    </w:p>
    <w:p>
      <w:pPr>
        <w:pStyle w:val="Heading2"/>
        <w:ind w:hanging="0" w:start="0"/>
        <w:rPr>
          <w:rFonts w:ascii="Times New Roman" w:hAnsi="Times New Roman" w:cs="Times New Roman"/>
          <w:sz w:val="22"/>
        </w:rPr>
      </w:pPr>
      <w:r>
        <w:rPr>
          <w:rFonts w:cs="Times New Roman" w:ascii="Times New Roman" w:hAnsi="Times New Roman"/>
          <w:sz w:val="22"/>
        </w:rPr>
        <w:t>Ramping</w:t>
      </w:r>
    </w:p>
    <w:p>
      <w:pPr>
        <w:pStyle w:val="Normal"/>
        <w:ind w:firstLine="360" w:end="0"/>
        <w:rPr/>
      </w:pPr>
      <w:r>
        <w:rPr/>
        <w:t>The ESC is proposing 10- minute straddle ramping as the industry standard.  Units requiring longer ramping could schedule two changes to accomplish the appropriate ramp.  Additionally, imbalance markets should provide the ability to disassociate into, out of and through transactions from units.</w:t>
      </w:r>
    </w:p>
    <w:p>
      <w:pPr>
        <w:pStyle w:val="Normal"/>
        <w:numPr>
          <w:ilvl w:val="0"/>
          <w:numId w:val="6"/>
        </w:numPr>
        <w:ind w:hanging="360" w:start="720" w:end="0"/>
        <w:rPr/>
      </w:pPr>
      <w:r>
        <w:rPr/>
        <w:t>What obstacles would have to be overcome to move to support 10 minute straddle ramping?</w:t>
      </w:r>
    </w:p>
    <w:p>
      <w:pPr>
        <w:pStyle w:val="Normal"/>
        <w:numPr>
          <w:ilvl w:val="0"/>
          <w:numId w:val="6"/>
        </w:numPr>
        <w:ind w:hanging="360" w:start="720" w:end="0"/>
        <w:rPr/>
      </w:pPr>
      <w:r>
        <w:rPr/>
        <w:t>What changes are required to overcome those obstacles?</w:t>
      </w:r>
    </w:p>
    <w:p>
      <w:pPr>
        <w:pStyle w:val="Heading2"/>
        <w:ind w:hanging="0" w:start="0"/>
        <w:rPr>
          <w:rFonts w:ascii="Times New Roman" w:hAnsi="Times New Roman" w:cs="Times New Roman"/>
        </w:rPr>
      </w:pPr>
      <w:r>
        <w:rPr>
          <w:rFonts w:cs="Times New Roman" w:ascii="Times New Roman" w:hAnsi="Times New Roman"/>
        </w:rPr>
        <w:t>Schedule Composition</w:t>
      </w:r>
    </w:p>
    <w:p>
      <w:pPr>
        <w:pStyle w:val="Normal"/>
        <w:ind w:firstLine="405" w:end="0"/>
        <w:rPr/>
      </w:pPr>
      <w:r>
        <w:rPr/>
        <w:t>The ESC wishes to provide a mechanism to support the data required to schedule into, out of and through all RTOs.  Basics data, such as, path, energy profile, transmission service and market participants will be included and required in all areas.  Market participants are encouraged to answer the following questions with information about operational entities.  Operational entities are encouraged to respond also.</w:t>
      </w:r>
    </w:p>
    <w:p>
      <w:pPr>
        <w:pStyle w:val="Normal"/>
        <w:ind w:firstLine="405" w:end="0"/>
        <w:rPr/>
      </w:pPr>
      <w:r>
        <w:rPr/>
        <w:t>Please provide specific data requirements to support your data needs.</w:t>
      </w:r>
    </w:p>
    <w:p>
      <w:pPr>
        <w:pStyle w:val="Normal"/>
        <w:numPr>
          <w:ilvl w:val="0"/>
          <w:numId w:val="2"/>
        </w:numPr>
        <w:ind w:hanging="405" w:start="810" w:end="0"/>
        <w:rPr/>
      </w:pPr>
      <w:r>
        <w:rPr/>
        <w:t>What data will be required in other RTOs that is not standard across all TPs, CAs, and RTOs?</w:t>
      </w:r>
    </w:p>
    <w:p>
      <w:pPr>
        <w:pStyle w:val="Normal"/>
        <w:numPr>
          <w:ilvl w:val="0"/>
          <w:numId w:val="2"/>
        </w:numPr>
        <w:spacing w:before="0" w:after="240"/>
        <w:ind w:hanging="405" w:start="810" w:end="0"/>
        <w:rPr/>
      </w:pPr>
      <w:r>
        <w:rPr/>
        <w:t xml:space="preserve">What optional data do you want </w:t>
      </w:r>
      <w:r>
        <w:rPr>
          <w:i/>
        </w:rPr>
        <w:t>accommodated</w:t>
      </w:r>
      <w:r>
        <w:rPr/>
        <w:t xml:space="preserve"> by electronic scheduling to support ancillary services, financial markets, or options?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05"/>
        </w:tabs>
        <w:ind w:start="450" w:hanging="405"/>
      </w:pPr>
    </w:lvl>
  </w:abstractNum>
  <w:abstractNum w:abstractNumId="3">
    <w:lvl w:ilvl="0">
      <w:start w:val="7"/>
      <w:numFmt w:val="decimal"/>
      <w:lvlText w:val="Item %1."/>
      <w:lvlJc w:val="start"/>
      <w:pPr>
        <w:tabs>
          <w:tab w:val="num" w:pos="1080"/>
        </w:tabs>
        <w:ind w:start="720" w:hanging="720"/>
      </w:pPr>
      <w:rPr>
        <w:sz w:val="28"/>
        <w:i w:val="false"/>
        <w:b/>
        <w:rFonts w:ascii="Arial" w:hAnsi="Arial" w:cs="Arial"/>
      </w:rPr>
    </w:lvl>
    <w:lvl w:ilvl="1">
      <w:start w:val="1"/>
      <w:numFmt w:val="lowerLetter"/>
      <w:lvlText w:val="Item %1.%2"/>
      <w:lvlJc w:val="start"/>
      <w:pPr>
        <w:tabs>
          <w:tab w:val="num" w:pos="1080"/>
        </w:tabs>
        <w:ind w:start="720" w:hanging="720"/>
      </w:pPr>
      <w:rPr>
        <w:sz w:val="24"/>
        <w:i/>
        <w:b/>
        <w:rFonts w:ascii="Arial" w:hAnsi="Arial" w:cs="Arial"/>
      </w:rPr>
    </w:lvl>
    <w:lvl w:ilvl="2">
      <w:start w:val="1"/>
      <w:numFmt w:val="lowerRoman"/>
      <w:lvlText w:val="Item %1.%2.%3."/>
      <w:lvlJc w:val="start"/>
      <w:pPr>
        <w:tabs>
          <w:tab w:val="num" w:pos="2160"/>
        </w:tabs>
        <w:ind w:start="1440" w:hanging="720"/>
      </w:pPr>
      <w:rPr>
        <w:sz w:val="22"/>
        <w:i w:val="false"/>
        <w:b/>
        <w:rFonts w:ascii="Arial" w:hAnsi="Arial" w:cs="Arial"/>
      </w:rPr>
    </w:lvl>
    <w:lvl w:ilvl="3">
      <w:start w:val="1"/>
      <w:numFmt w:val="decimal"/>
      <w:lvlText w:val="%1.%2.%3.%4."/>
      <w:lvlJc w:val="start"/>
      <w:pPr>
        <w:tabs>
          <w:tab w:val="num" w:pos="2520"/>
        </w:tabs>
        <w:ind w:start="1728" w:hanging="648"/>
      </w:pPr>
    </w:lvl>
    <w:lvl w:ilvl="4">
      <w:start w:val="1"/>
      <w:numFmt w:val="decimal"/>
      <w:lvlText w:val="%1.%2.%3.%4.%5."/>
      <w:lvlJc w:val="start"/>
      <w:pPr>
        <w:tabs>
          <w:tab w:val="num" w:pos="3240"/>
        </w:tabs>
        <w:ind w:start="2232" w:hanging="792"/>
      </w:pPr>
    </w:lvl>
    <w:lvl w:ilvl="5">
      <w:start w:val="1"/>
      <w:numFmt w:val="decimal"/>
      <w:lvlText w:val="%1.%2.%3.%4.%5.%6."/>
      <w:lvlJc w:val="start"/>
      <w:pPr>
        <w:tabs>
          <w:tab w:val="num" w:pos="3960"/>
        </w:tabs>
        <w:ind w:start="2736" w:hanging="936"/>
      </w:pPr>
    </w:lvl>
    <w:lvl w:ilvl="6">
      <w:start w:val="1"/>
      <w:numFmt w:val="decimal"/>
      <w:lvlText w:val="%1.%2.%3.%4.%5.%6.%7."/>
      <w:lvlJc w:val="start"/>
      <w:pPr>
        <w:tabs>
          <w:tab w:val="num" w:pos="4320"/>
        </w:tabs>
        <w:ind w:start="3240" w:hanging="1080"/>
      </w:pPr>
    </w:lvl>
    <w:lvl w:ilvl="7">
      <w:start w:val="1"/>
      <w:numFmt w:val="decimal"/>
      <w:lvlText w:val="%1.%2.%3.%4.%5.%6.%7.%8."/>
      <w:lvlJc w:val="start"/>
      <w:pPr>
        <w:tabs>
          <w:tab w:val="num" w:pos="5040"/>
        </w:tabs>
        <w:ind w:start="3744" w:hanging="1224"/>
      </w:pPr>
    </w:lvl>
    <w:lvl w:ilvl="8">
      <w:start w:val="1"/>
      <w:numFmt w:val="decimal"/>
      <w:lvlText w:val="%1.%2.%3.%4.%5.%6.%7.%8.%9."/>
      <w:lvlJc w:val="start"/>
      <w:pPr>
        <w:tabs>
          <w:tab w:val="num" w:pos="5760"/>
        </w:tabs>
        <w:ind w:start="4320" w:hanging="1440"/>
      </w:p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720"/>
        </w:tabs>
        <w:ind w:start="720" w:hanging="360"/>
      </w:pPr>
      <w:rPr/>
    </w:lvl>
  </w:abstractNum>
  <w:abstractNum w:abstractNumId="11">
    <w:lvl w:ilvl="0">
      <w:start w:val="1"/>
      <w:numFmt w:val="decimal"/>
      <w:lvlText w:val="%1)"/>
      <w:lvlJc w:val="start"/>
      <w:pPr>
        <w:tabs>
          <w:tab w:val="num" w:pos="405"/>
        </w:tabs>
        <w:ind w:start="450" w:hanging="405"/>
      </w:pPr>
    </w:lvl>
  </w:abstractNum>
  <w:abstractNum w:abstractNumId="12">
    <w:lvl w:ilvl="0">
      <w:start w:val="1"/>
      <w:numFmt w:val="decimal"/>
      <w:lvlText w:val="%1."/>
      <w:lvlJc w:val="start"/>
      <w:pPr>
        <w:tabs>
          <w:tab w:val="num" w:pos="1440"/>
        </w:tabs>
        <w:ind w:start="1440" w:hanging="72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pBdr>
        <w:bottom w:val="single" w:sz="4" w:space="1" w:color="000000"/>
      </w:pBdr>
      <w:spacing w:before="12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character" w:styleId="WW8Num2z0">
    <w:name w:val="WW8Num2z0"/>
    <w:qFormat/>
    <w:rPr>
      <w:rFonts w:ascii="Arial" w:hAnsi="Arial" w:cs="Arial"/>
      <w:b/>
      <w:i w:val="false"/>
      <w:sz w:val="28"/>
    </w:rPr>
  </w:style>
  <w:style w:type="character" w:styleId="WW8Num2z1">
    <w:name w:val="WW8Num2z1"/>
    <w:qFormat/>
    <w:rPr>
      <w:rFonts w:ascii="Arial" w:hAnsi="Arial" w:cs="Arial"/>
      <w:b/>
      <w:i/>
      <w:sz w:val="24"/>
    </w:rPr>
  </w:style>
  <w:style w:type="character" w:styleId="WW8Num2z2">
    <w:name w:val="WW8Num2z2"/>
    <w:qFormat/>
    <w:rPr>
      <w:rFonts w:ascii="Arial" w:hAnsi="Arial" w:cs="Arial"/>
      <w:b/>
      <w:i w:val="false"/>
      <w:sz w:val="22"/>
    </w:rPr>
  </w:style>
  <w:style w:type="character" w:styleId="WW8Num3z0">
    <w:name w:val="WW8Num3z0"/>
    <w:qFormat/>
    <w:rPr>
      <w:rFonts w:ascii="Arial" w:hAnsi="Arial" w:cs="Arial"/>
      <w:b/>
      <w:i w:val="false"/>
      <w:sz w:val="28"/>
    </w:rPr>
  </w:style>
  <w:style w:type="character" w:styleId="WW8Num3z1">
    <w:name w:val="WW8Num3z1"/>
    <w:qFormat/>
    <w:rPr>
      <w:rFonts w:ascii="Arial" w:hAnsi="Arial" w:cs="Arial"/>
      <w:b/>
      <w:i/>
      <w:sz w:val="24"/>
    </w:rPr>
  </w:style>
  <w:style w:type="character" w:styleId="WW8Num3z2">
    <w:name w:val="WW8Num3z2"/>
    <w:qFormat/>
    <w:rPr>
      <w:rFonts w:ascii="Arial" w:hAnsi="Arial" w:cs="Arial"/>
      <w:b/>
      <w:i w:val="false"/>
      <w:sz w:val="22"/>
    </w:rPr>
  </w:style>
  <w:style w:type="character" w:styleId="WW8Num4z0">
    <w:name w:val="WW8Num4z0"/>
    <w:qFormat/>
    <w:rPr>
      <w:rFonts w:ascii="Arial" w:hAnsi="Arial" w:cs="Arial"/>
      <w:b/>
      <w:i w:val="false"/>
      <w:sz w:val="28"/>
    </w:rPr>
  </w:style>
  <w:style w:type="character" w:styleId="WW8Num4z1">
    <w:name w:val="WW8Num4z1"/>
    <w:qFormat/>
    <w:rPr>
      <w:rFonts w:ascii="Arial" w:hAnsi="Arial" w:cs="Arial"/>
      <w:b/>
      <w:i/>
      <w:sz w:val="24"/>
    </w:rPr>
  </w:style>
  <w:style w:type="character" w:styleId="WW8Num4z2">
    <w:name w:val="WW8Num4z2"/>
    <w:qFormat/>
    <w:rPr>
      <w:rFonts w:ascii="Arial" w:hAnsi="Arial" w:cs="Arial"/>
      <w:b/>
      <w:i w:val="false"/>
      <w:sz w:val="22"/>
    </w:rPr>
  </w:style>
  <w:style w:type="character" w:styleId="WW8Num6z0">
    <w:name w:val="WW8Num6z0"/>
    <w:qFormat/>
    <w:rPr>
      <w:rFonts w:ascii="Symbol" w:hAnsi="Symbol" w:cs="Symbol"/>
    </w:rPr>
  </w:style>
  <w:style w:type="character" w:styleId="WW8Num7z0">
    <w:name w:val="WW8Num7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temSub2">
    <w:name w:val="Item Sub2"/>
    <w:basedOn w:val="Heading3"/>
    <w:next w:val="Normal"/>
    <w:qFormat/>
    <w:pPr>
      <w:numPr>
        <w:ilvl w:val="0"/>
        <w:numId w:val="3"/>
      </w:numPr>
      <w:outlineLvl w:val="9"/>
    </w:pPr>
    <w:rPr/>
  </w:style>
  <w:style w:type="paragraph" w:styleId="Bullet">
    <w:name w:val="Bullet"/>
    <w:basedOn w:val="Normal"/>
    <w:qFormat/>
    <w:pPr>
      <w:numPr>
        <w:ilvl w:val="0"/>
        <w:numId w:val="8"/>
      </w:numPr>
      <w:spacing w:before="0" w:after="120"/>
    </w:pPr>
    <w:rPr/>
  </w:style>
  <w:style w:type="paragraph" w:styleId="Item">
    <w:name w:val="Item"/>
    <w:basedOn w:val="Heading1"/>
    <w:next w:val="Normal"/>
    <w:qFormat/>
    <w:pPr>
      <w:pageBreakBefore/>
      <w:numPr>
        <w:ilvl w:val="0"/>
        <w:numId w:val="3"/>
      </w:numPr>
      <w:pBdr>
        <w:bottom w:val="single" w:sz="4" w:space="1" w:color="000000"/>
      </w:pBdr>
      <w:tabs>
        <w:tab w:val="clear" w:pos="720"/>
        <w:tab w:val="left" w:pos="1440" w:leader="none"/>
      </w:tabs>
      <w:outlineLvl w:val="9"/>
    </w:pPr>
    <w:rPr/>
  </w:style>
  <w:style w:type="paragraph" w:styleId="ItemSub1">
    <w:name w:val="Item Sub1"/>
    <w:basedOn w:val="Heading2"/>
    <w:next w:val="Normal"/>
    <w:qFormat/>
    <w:pPr>
      <w:numPr>
        <w:ilvl w:val="0"/>
        <w:numId w:val="3"/>
      </w:numPr>
      <w:pBdr>
        <w:bottom w:val="single" w:sz="4" w:space="1" w:color="000000"/>
      </w:pBdr>
      <w:outlineLvl w:val="9"/>
    </w:pPr>
    <w:rPr/>
  </w:style>
  <w:style w:type="paragraph" w:styleId="BoxBullet">
    <w:name w:val="BoxBullet"/>
    <w:basedOn w:val="Bullet"/>
    <w:next w:val="Normal"/>
    <w:qFormat/>
    <w:pPr>
      <w:numPr>
        <w:ilvl w:val="0"/>
        <w:numId w:val="7"/>
      </w:numPr>
      <w:spacing w:before="0" w:after="60"/>
    </w:pPr>
    <w:rPr>
      <w:rFonts w:ascii="Arial" w:hAnsi="Arial" w:cs="Arial"/>
      <w:b/>
      <w:sz w:val="18"/>
    </w:rPr>
  </w:style>
  <w:style w:type="paragraph" w:styleId="NumeredList">
    <w:name w:val="NumeredList"/>
    <w:basedOn w:val="Normal"/>
    <w:qFormat/>
    <w:pPr>
      <w:numPr>
        <w:ilvl w:val="0"/>
        <w:numId w:val="12"/>
      </w:numPr>
      <w:spacing w:before="0" w:after="120"/>
    </w:pPr>
    <w:rPr/>
  </w:style>
  <w:style w:type="paragraph" w:styleId="NumList">
    <w:name w:val="NumList"/>
    <w:basedOn w:val="Normal"/>
    <w:qFormat/>
    <w:pPr>
      <w:numPr>
        <w:ilvl w:val="0"/>
        <w:numId w:val="4"/>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Agenda Background</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2001-06-27T10:29:00Z</dcterms:created>
  <dc:creator>Gordon Scott</dc:creator>
  <dc:description/>
  <dc:language>en-CA</dc:language>
  <cp:lastModifiedBy>mulryanm</cp:lastModifiedBy>
  <dcterms:modified xsi:type="dcterms:W3CDTF">2001-06-27T10:36:00Z</dcterms:modified>
  <cp:revision>4</cp:revision>
  <dc:subject/>
  <dc:title>Critical Business Practices</dc:title>
</cp:coreProperties>
</file>