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5"/>
        <w:ind w:hanging="0" w:start="0"/>
        <w:jc w:val="end"/>
        <w:rPr/>
      </w:pPr>
      <w:r>
        <w:rPr/>
        <w:t>January 18, 2001</w:t>
      </w:r>
    </w:p>
    <w:p>
      <w:pPr>
        <w:pStyle w:val="Normal"/>
        <w:rPr/>
      </w:pPr>
      <w:r>
        <w:rPr/>
      </w:r>
    </w:p>
    <w:p>
      <w:pPr>
        <w:pStyle w:val="Normal"/>
        <w:rPr>
          <w:sz w:val="24"/>
        </w:rPr>
      </w:pPr>
      <w:r>
        <w:rPr>
          <w:sz w:val="24"/>
        </w:rPr>
        <w:t>Escrow Agent, Escrow and Specialized Agency Services</w:t>
      </w:r>
    </w:p>
    <w:p>
      <w:pPr>
        <w:pStyle w:val="Normal"/>
        <w:rPr>
          <w:sz w:val="24"/>
        </w:rPr>
      </w:pPr>
      <w:r>
        <w:rPr>
          <w:sz w:val="24"/>
        </w:rPr>
        <w:t xml:space="preserve">Attention: Estelle Lawrence </w:t>
      </w:r>
    </w:p>
    <w:p>
      <w:pPr>
        <w:pStyle w:val="Normal"/>
        <w:rPr>
          <w:sz w:val="24"/>
        </w:rPr>
      </w:pPr>
      <w:r>
        <w:rPr>
          <w:sz w:val="24"/>
        </w:rPr>
        <w:t>Citibank, N.A.</w:t>
      </w:r>
    </w:p>
    <w:p>
      <w:pPr>
        <w:pStyle w:val="Normal"/>
        <w:rPr>
          <w:sz w:val="24"/>
        </w:rPr>
      </w:pPr>
      <w:r>
        <w:rPr>
          <w:sz w:val="24"/>
        </w:rPr>
        <w:t>111 Wall Street, 14th Floor</w:t>
      </w:r>
    </w:p>
    <w:p>
      <w:pPr>
        <w:pStyle w:val="Normal"/>
        <w:rPr>
          <w:sz w:val="24"/>
        </w:rPr>
      </w:pPr>
      <w:r>
        <w:rPr>
          <w:sz w:val="24"/>
        </w:rPr>
        <w:t>New York, New York 10043</w:t>
      </w:r>
    </w:p>
    <w:p>
      <w:pPr>
        <w:pStyle w:val="Normal"/>
        <w:rPr>
          <w:sz w:val="24"/>
        </w:rPr>
      </w:pPr>
      <w:r>
        <w:rPr>
          <w:sz w:val="24"/>
        </w:rPr>
        <w:t>(212) 657-2076</w:t>
      </w:r>
    </w:p>
    <w:p>
      <w:pPr>
        <w:pStyle w:val="Normal"/>
        <w:rPr>
          <w:sz w:val="24"/>
        </w:rPr>
      </w:pPr>
      <w:r>
        <w:rPr>
          <w:sz w:val="24"/>
        </w:rPr>
        <w:t>(212) 657-2762 fax</w:t>
      </w:r>
    </w:p>
    <w:p>
      <w:pPr>
        <w:pStyle w:val="Normal"/>
        <w:rPr>
          <w:sz w:val="24"/>
        </w:rPr>
      </w:pPr>
      <w:r>
        <w:rPr>
          <w:sz w:val="24"/>
        </w:rPr>
      </w:r>
    </w:p>
    <w:p>
      <w:pPr>
        <w:pStyle w:val="Heading5"/>
        <w:ind w:hanging="0" w:start="0"/>
        <w:rPr/>
      </w:pPr>
      <w:r>
        <w:rPr/>
        <w:t>Re:  Citibank Escrow A/C # 795038</w:t>
      </w:r>
    </w:p>
    <w:p>
      <w:pPr>
        <w:pStyle w:val="Normal"/>
        <w:rPr>
          <w:sz w:val="24"/>
        </w:rPr>
      </w:pPr>
      <w:r>
        <w:rPr>
          <w:sz w:val="24"/>
        </w:rPr>
      </w:r>
    </w:p>
    <w:p>
      <w:pPr>
        <w:pStyle w:val="Normal"/>
        <w:jc w:val="both"/>
        <w:rPr>
          <w:sz w:val="24"/>
        </w:rPr>
      </w:pPr>
      <w:r>
        <w:rPr>
          <w:sz w:val="24"/>
        </w:rPr>
        <w:t xml:space="preserve">Please distribute the funds pursuant to </w:t>
      </w:r>
      <w:r>
        <w:rPr>
          <w:sz w:val="24"/>
          <w:u w:val="single"/>
        </w:rPr>
        <w:t>Section 3</w:t>
      </w:r>
      <w:r>
        <w:rPr>
          <w:sz w:val="24"/>
        </w:rPr>
        <w:t xml:space="preserve">. </w:t>
      </w:r>
      <w:r>
        <w:rPr>
          <w:sz w:val="24"/>
          <w:u w:val="single"/>
        </w:rPr>
        <w:t>Distribution of Escrow Property</w:t>
      </w:r>
      <w:r>
        <w:rPr>
          <w:sz w:val="24"/>
        </w:rPr>
        <w:t xml:space="preserve"> of the </w:t>
      </w:r>
      <w:r>
        <w:rPr>
          <w:bCs/>
          <w:sz w:val="24"/>
        </w:rPr>
        <w:t>Escrow Agreement (3) among SWEETGUM ENERGY LP, ENRON NORTH AMERICA CORP. and CITIBANK, N.A. dated as of January 4, 2001 (the “Agreement”) as indicated below.  These wiring instructions supercede the instructions contained in the Agreement.</w:t>
      </w:r>
    </w:p>
    <w:p>
      <w:pPr>
        <w:pStyle w:val="Normal"/>
        <w:rPr>
          <w:sz w:val="24"/>
        </w:rPr>
      </w:pPr>
      <w:r>
        <w:rPr>
          <w:sz w:val="24"/>
        </w:rPr>
      </w:r>
    </w:p>
    <w:p>
      <w:pPr>
        <w:pStyle w:val="Normal"/>
        <w:rPr>
          <w:sz w:val="24"/>
        </w:rPr>
      </w:pPr>
      <w:r>
        <w:rPr>
          <w:sz w:val="24"/>
        </w:rPr>
        <w:t xml:space="preserve">     </w:t>
      </w:r>
      <w:r>
        <w:rPr>
          <w:sz w:val="24"/>
        </w:rPr>
        <w:t>(1)  Enron North America Corp.</w:t>
      </w:r>
    </w:p>
    <w:p>
      <w:pPr>
        <w:pStyle w:val="Normal"/>
        <w:ind w:start="720" w:end="0"/>
        <w:rPr>
          <w:sz w:val="24"/>
        </w:rPr>
      </w:pPr>
      <w:r>
        <w:rPr>
          <w:sz w:val="24"/>
        </w:rPr>
        <w:t>Citibank, N.A.</w:t>
      </w:r>
    </w:p>
    <w:p>
      <w:pPr>
        <w:pStyle w:val="Normal"/>
        <w:ind w:start="720" w:end="0"/>
        <w:rPr>
          <w:sz w:val="24"/>
        </w:rPr>
      </w:pPr>
      <w:r>
        <w:rPr>
          <w:sz w:val="24"/>
        </w:rPr>
        <w:t xml:space="preserve">Account # 4078-1075                           </w:t>
        <w:softHyphen/>
        <w:t xml:space="preserve">  </w:t>
      </w:r>
    </w:p>
    <w:p>
      <w:pPr>
        <w:pStyle w:val="Heading2"/>
        <w:rPr/>
      </w:pPr>
      <w:r>
        <w:rPr/>
        <w:t>ABA # 021 000 089</w:t>
      </w:r>
    </w:p>
    <w:p>
      <w:pPr>
        <w:pStyle w:val="Heading2"/>
        <w:rPr/>
      </w:pPr>
      <w:r>
        <w:rPr/>
        <w:t>Amount:  $606,400.00</w:t>
      </w:r>
    </w:p>
    <w:p>
      <w:pPr>
        <w:pStyle w:val="Normal"/>
        <w:rPr>
          <w:sz w:val="24"/>
        </w:rPr>
      </w:pPr>
      <w:r>
        <w:rPr>
          <w:sz w:val="24"/>
        </w:rPr>
      </w:r>
    </w:p>
    <w:p>
      <w:pPr>
        <w:pStyle w:val="Header"/>
        <w:numPr>
          <w:ilvl w:val="0"/>
          <w:numId w:val="2"/>
        </w:numPr>
        <w:tabs>
          <w:tab w:val="clear" w:pos="4320"/>
          <w:tab w:val="clear" w:pos="8640"/>
          <w:tab w:val="left" w:pos="720" w:leader="none"/>
        </w:tabs>
        <w:rPr>
          <w:sz w:val="24"/>
        </w:rPr>
      </w:pPr>
      <w:r>
        <w:rPr>
          <w:sz w:val="24"/>
        </w:rPr>
        <w:t>Sweetgum Energy LP</w:t>
      </w:r>
    </w:p>
    <w:p>
      <w:pPr>
        <w:pStyle w:val="Header"/>
        <w:tabs>
          <w:tab w:val="clear" w:pos="4320"/>
          <w:tab w:val="clear" w:pos="8640"/>
          <w:tab w:val="left" w:pos="720" w:leader="none"/>
        </w:tabs>
        <w:ind w:start="720" w:end="0"/>
        <w:rPr>
          <w:sz w:val="24"/>
        </w:rPr>
      </w:pPr>
      <w:r>
        <w:rPr>
          <w:sz w:val="24"/>
        </w:rPr>
        <w:t>c/o InterGen North America LP</w:t>
      </w:r>
    </w:p>
    <w:p>
      <w:pPr>
        <w:pStyle w:val="Header"/>
        <w:tabs>
          <w:tab w:val="clear" w:pos="4320"/>
          <w:tab w:val="clear" w:pos="8640"/>
          <w:tab w:val="left" w:pos="720" w:leader="none"/>
        </w:tabs>
        <w:ind w:start="720" w:end="0"/>
        <w:rPr>
          <w:sz w:val="24"/>
        </w:rPr>
      </w:pPr>
      <w:r>
        <w:rPr>
          <w:sz w:val="24"/>
        </w:rPr>
        <w:t>Citibank, N.A.</w:t>
      </w:r>
    </w:p>
    <w:p>
      <w:pPr>
        <w:pStyle w:val="Header"/>
        <w:tabs>
          <w:tab w:val="clear" w:pos="4320"/>
          <w:tab w:val="clear" w:pos="8640"/>
          <w:tab w:val="left" w:pos="720" w:leader="none"/>
        </w:tabs>
        <w:ind w:start="720" w:end="0"/>
        <w:rPr>
          <w:sz w:val="24"/>
        </w:rPr>
      </w:pPr>
      <w:r>
        <w:rPr>
          <w:sz w:val="24"/>
        </w:rPr>
        <w:t>Account # 4079-6541</w:t>
      </w:r>
    </w:p>
    <w:p>
      <w:pPr>
        <w:pStyle w:val="Header"/>
        <w:tabs>
          <w:tab w:val="clear" w:pos="4320"/>
          <w:tab w:val="clear" w:pos="8640"/>
          <w:tab w:val="left" w:pos="720" w:leader="none"/>
        </w:tabs>
        <w:ind w:start="720" w:end="0"/>
        <w:rPr>
          <w:sz w:val="24"/>
        </w:rPr>
      </w:pPr>
      <w:r>
        <w:rPr>
          <w:sz w:val="24"/>
        </w:rPr>
        <w:t>ABA # 021 000 089</w:t>
      </w:r>
    </w:p>
    <w:p>
      <w:pPr>
        <w:pStyle w:val="Header"/>
        <w:tabs>
          <w:tab w:val="clear" w:pos="4320"/>
          <w:tab w:val="clear" w:pos="8640"/>
          <w:tab w:val="left" w:pos="720" w:leader="none"/>
        </w:tabs>
        <w:ind w:start="720" w:end="0"/>
        <w:rPr>
          <w:sz w:val="24"/>
        </w:rPr>
      </w:pPr>
      <w:r>
        <w:rPr>
          <w:sz w:val="24"/>
        </w:rPr>
        <w:t>Amount:  Balance of the account</w:t>
      </w:r>
    </w:p>
    <w:p>
      <w:pPr>
        <w:pStyle w:val="Normal"/>
        <w:rPr>
          <w:sz w:val="24"/>
        </w:rPr>
      </w:pPr>
      <w:r>
        <w:rPr>
          <w:sz w:val="24"/>
        </w:rPr>
      </w:r>
    </w:p>
    <w:p>
      <w:pPr>
        <w:pStyle w:val="Normal"/>
        <w:rPr>
          <w:sz w:val="24"/>
        </w:rPr>
      </w:pPr>
      <w:r>
        <w:rPr>
          <w:sz w:val="24"/>
        </w:rPr>
        <w:t>Upon distribution of the Escrow Property, please terminate the Agreement and close the referenced escrow account.</w:t>
      </w:r>
    </w:p>
    <w:p>
      <w:pPr>
        <w:pStyle w:val="Normal"/>
        <w:rPr>
          <w:sz w:val="24"/>
        </w:rPr>
      </w:pPr>
      <w:r>
        <w:rPr>
          <w:sz w:val="24"/>
        </w:rPr>
      </w:r>
    </w:p>
    <w:p>
      <w:pPr>
        <w:pStyle w:val="Normal"/>
        <w:rPr>
          <w:sz w:val="24"/>
        </w:rPr>
      </w:pPr>
      <w:r>
        <w:rPr>
          <w:sz w:val="24"/>
        </w:rPr>
        <w:t>Regards,</w:t>
      </w:r>
    </w:p>
    <w:p>
      <w:pPr>
        <w:pStyle w:val="Normal"/>
        <w:rPr>
          <w:sz w:val="24"/>
        </w:rPr>
      </w:pPr>
      <w:r>
        <w:rPr>
          <w:sz w:val="24"/>
        </w:rPr>
      </w:r>
    </w:p>
    <w:p>
      <w:pPr>
        <w:pStyle w:val="Normal"/>
        <w:rPr>
          <w:sz w:val="24"/>
        </w:rPr>
      </w:pPr>
      <w:r>
        <w:rPr>
          <w:sz w:val="24"/>
        </w:rPr>
      </w:r>
    </w:p>
    <w:p>
      <w:pPr>
        <w:pStyle w:val="Heading5"/>
        <w:ind w:hanging="0" w:start="0"/>
        <w:rPr>
          <w:sz w:val="24"/>
        </w:rPr>
      </w:pPr>
      <w:r>
        <w:rPr>
          <w:sz w:val="24"/>
        </w:rPr>
      </w:r>
    </w:p>
    <w:p>
      <w:pPr>
        <w:pStyle w:val="Heading5"/>
        <w:ind w:hanging="0" w:start="0"/>
        <w:rPr/>
      </w:pPr>
      <w:r>
        <w:rPr/>
        <w:t>Jeffrey H. Siegel</w:t>
        <w:tab/>
        <w:tab/>
        <w:tab/>
        <w:tab/>
        <w:t>Ben F. Jacoby</w:t>
      </w:r>
    </w:p>
    <w:p>
      <w:pPr>
        <w:pStyle w:val="Normal"/>
        <w:rPr>
          <w:sz w:val="24"/>
        </w:rPr>
      </w:pPr>
      <w:r>
        <w:rPr>
          <w:sz w:val="24"/>
        </w:rPr>
        <w:t>Proper Banking Officer</w:t>
        <w:tab/>
        <w:tab/>
        <w:tab/>
        <w:t>Director</w:t>
      </w:r>
    </w:p>
    <w:p>
      <w:pPr>
        <w:pStyle w:val="Normal"/>
        <w:rPr>
          <w:sz w:val="24"/>
        </w:rPr>
      </w:pPr>
      <w:r>
        <w:rPr>
          <w:sz w:val="24"/>
        </w:rPr>
        <w:t>Sweetgum Energy LP</w:t>
        <w:tab/>
        <w:tab/>
        <w:tab/>
        <w:tab/>
        <w:t>Enron North America Corp.</w:t>
      </w:r>
    </w:p>
    <w:p>
      <w:pPr>
        <w:pStyle w:val="Normal"/>
        <w:rPr>
          <w:sz w:val="24"/>
        </w:rPr>
      </w:pPr>
      <w:r>
        <w:rPr>
          <w:sz w:val="24"/>
        </w:rPr>
        <w:t>c/o InterGen North America LP</w:t>
        <w:tab/>
        <w:tab/>
        <w:t>1400 Smith Street</w:t>
        <w:tab/>
      </w:r>
    </w:p>
    <w:p>
      <w:pPr>
        <w:pStyle w:val="Normal"/>
        <w:rPr>
          <w:sz w:val="24"/>
        </w:rPr>
      </w:pPr>
      <w:r>
        <w:rPr>
          <w:sz w:val="24"/>
        </w:rPr>
        <w:t>909 Fannin, Suite 2222</w:t>
        <w:tab/>
        <w:tab/>
        <w:tab/>
        <w:t>Houston, TX 77002</w:t>
      </w:r>
    </w:p>
    <w:p>
      <w:pPr>
        <w:pStyle w:val="ListContinue2"/>
        <w:spacing w:before="0" w:after="0"/>
        <w:ind w:start="0" w:end="0"/>
        <w:rPr>
          <w:sz w:val="24"/>
        </w:rPr>
      </w:pPr>
      <w:r>
        <w:rPr>
          <w:sz w:val="24"/>
        </w:rPr>
        <w:t>Houston, TX 77010</w:t>
        <w:tab/>
        <w:tab/>
        <w:tab/>
        <w:tab/>
        <w:t>(713) 853-6173</w:t>
      </w:r>
    </w:p>
    <w:p>
      <w:pPr>
        <w:pStyle w:val="Normal"/>
        <w:rPr>
          <w:sz w:val="24"/>
        </w:rPr>
      </w:pPr>
      <w:r>
        <w:rPr>
          <w:sz w:val="24"/>
        </w:rPr>
        <w:t>(713) 374-3952</w:t>
        <w:tab/>
        <w:tab/>
        <w:tab/>
        <w:tab/>
        <w:t>Fax:  (713) 646-3037</w:t>
      </w:r>
    </w:p>
    <w:p>
      <w:pPr>
        <w:pStyle w:val="Heading5"/>
        <w:ind w:hanging="0" w:start="0"/>
        <w:rPr/>
      </w:pPr>
      <w:r>
        <w:rPr/>
        <w:t xml:space="preserve">Fax: (713) 374-3927 </w:t>
      </w:r>
    </w:p>
    <w:sectPr>
      <w:footerReference w:type="default" r:id="rId2"/>
      <w:type w:val="nextPage"/>
      <w:pgSz w:w="12240" w:h="15840"/>
      <w:pgMar w:left="1800" w:right="180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50"/>
        </w:tabs>
        <w:ind w:start="750" w:hanging="45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hanging="0" w:start="720" w:end="0"/>
      <w:outlineLvl w:val="1"/>
    </w:pPr>
    <w:rPr>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keepNext w:val="true"/>
      <w:numPr>
        <w:ilvl w:val="4"/>
        <w:numId w:val="1"/>
      </w:numPr>
      <w:outlineLvl w:val="4"/>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b/>
      <w:u w:val="single"/>
    </w:rPr>
  </w:style>
  <w:style w:type="paragraph" w:styleId="BodyTextIndent2">
    <w:name w:val="Body Text Indent 2"/>
    <w:basedOn w:val="Normal"/>
    <w:qFormat/>
    <w:pPr>
      <w:ind w:hanging="0" w:start="720" w:end="0"/>
    </w:pPr>
    <w:rPr>
      <w:bCs/>
    </w:rPr>
  </w:style>
  <w:style w:type="paragraph" w:styleId="BodyTextIndent3">
    <w:name w:val="Body Text Indent 3"/>
    <w:basedOn w:val="Normal"/>
    <w:qFormat/>
    <w:pPr>
      <w:ind w:hanging="720" w:start="144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2001-01-04T12:50:00Z</dcterms:created>
  <dc:creator>EW/LN/CB</dc:creator>
  <dc:description/>
  <cp:keywords>Ethan</cp:keywords>
  <dc:language>en-CA</dc:language>
  <cp:lastModifiedBy>SStewar</cp:lastModifiedBy>
  <cp:lastPrinted>2000-12-28T16:13:00Z</cp:lastPrinted>
  <dcterms:modified xsi:type="dcterms:W3CDTF">2001-01-18T00:07:00Z</dcterms:modified>
  <cp:revision>3</cp:revision>
  <dc:subject/>
  <dc:title>Ethan Frome</dc:title>
</cp:coreProperties>
</file>