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b/>
                                    </w:rPr>
                                    <w:t>September 22</w:t>
                                  </w:r>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b/>
                              </w:rPr>
                              <w:t>September 22</w:t>
                            </w:r>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sz w:val="20"/>
        </w:rPr>
        <w:t>,</w:t>
      </w:r>
      <w:r>
        <w:rPr>
          <w:sz w:val="20"/>
        </w:rPr>
        <w:t xml:space="preserve"> LLC ("Party A") and Timberwolf I</w:t>
      </w:r>
      <w:r>
        <w:rPr>
          <w:b/>
          <w:sz w:val="20"/>
        </w:rPr>
        <w:t>,</w:t>
      </w:r>
      <w:r>
        <w:rPr>
          <w:sz w:val="20"/>
        </w:rPr>
        <w:t xml:space="preserve"> LLC ("Party B") on the Trade Date specified below (the "Transaction").  This Confirmation supplements, forms part of, and is subject to, the ISDA Master Agreement dated as of June 29</w:t>
      </w:r>
      <w:r>
        <w:rPr>
          <w:b/>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rPr>
      </w:pPr>
      <w:r>
        <w:rPr>
          <w:lang w:val="en-US"/>
        </w:rPr>
        <w:t>Termination Date:</w:t>
        <w:tab/>
        <w:tab/>
        <w:t xml:space="preserve">The earlier of </w:t>
      </w:r>
      <w:r>
        <w:rPr/>
        <w:t>June 29, 2003</w:t>
      </w:r>
      <w:r>
        <w:rPr>
          <w:b/>
        </w:rPr>
        <w:t xml:space="preserve"> </w:t>
      </w:r>
      <w:r>
        <w:rPr>
          <w:lang w:val="en-US"/>
        </w:rPr>
        <w:t xml:space="preserve">or the day on which 100% of the assets of Enron International Brazil Gas Holdings Ltd., Enron International Brazil 1997 Ltd. and Enron International Brazil Investments 1997 Ltd., collectively and not individually, are sold (or otherwise disposed of) to </w:t>
      </w:r>
      <w:del w:id="0" w:author="rsiurek" w:date="2000-10-04T17:25:00Z">
        <w:r>
          <w:rPr>
            <w:lang w:val="en-US"/>
          </w:rPr>
          <w:delText xml:space="preserve">deconsolidated, </w:delText>
        </w:r>
      </w:del>
      <w:r>
        <w:rPr>
          <w:lang w:val="en-US"/>
        </w:rPr>
        <w:t>non-affiliated third parties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lang w:val="en-US"/>
        </w:rPr>
      </w:pPr>
      <w:r>
        <w:rPr>
          <w:b/>
          <w:lang w:val="en-US"/>
        </w:rPr>
      </w:r>
    </w:p>
    <w:p>
      <w:pPr>
        <w:pStyle w:val="Normal"/>
        <w:tabs>
          <w:tab w:val="clear" w:pos="720"/>
          <w:tab w:val="left" w:pos="0" w:leader="none"/>
          <w:tab w:val="right" w:pos="1296" w:leader="none"/>
        </w:tabs>
        <w:ind w:hanging="4320" w:start="4320" w:end="0"/>
        <w:jc w:val="both"/>
        <w:rPr/>
      </w:pPr>
      <w:r>
        <w:rPr>
          <w:lang w:val="en-US"/>
        </w:rPr>
        <w:t>Basket:</w:t>
        <w:tab/>
        <w:tab/>
      </w:r>
      <w:r>
        <w:rPr>
          <w:b/>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lang w:val="en-US"/>
        </w:rPr>
      </w:pPr>
      <w:r>
        <w:rPr>
          <w:b/>
          <w:lang w:val="en-US"/>
        </w:rPr>
      </w:r>
    </w:p>
    <w:p>
      <w:pPr>
        <w:pStyle w:val="BodyTextIndent3"/>
        <w:rPr/>
      </w:pPr>
      <w:r>
        <w:rPr/>
        <w:tab/>
        <w:tab/>
        <w:t xml:space="preserve">               ISSUER</w:t>
        <w:tab/>
        <w:t xml:space="preserve"> NUMBER OF SHARES </w:t>
      </w:r>
    </w:p>
    <w:p>
      <w:pPr>
        <w:pStyle w:val="BodyTextIndent3"/>
        <w:rPr>
          <w:b w:val="false"/>
        </w:rPr>
      </w:pPr>
      <w:r>
        <w:rPr>
          <w:b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tc>
      </w:tr>
    </w:tbl>
    <w:p>
      <w:pPr>
        <w:pStyle w:val="Normal"/>
        <w:tabs>
          <w:tab w:val="clear" w:pos="720"/>
          <w:tab w:val="left" w:pos="0" w:leader="none"/>
          <w:tab w:val="right" w:pos="1296" w:leader="none"/>
        </w:tabs>
        <w:ind w:hanging="4320" w:start="4320" w:end="0"/>
        <w:jc w:val="both"/>
        <w:rPr>
          <w:b/>
          <w:lang w:val="en-US"/>
        </w:rPr>
      </w:pPr>
      <w:r>
        <w:rPr>
          <w:b/>
          <w:lang w:val="en-US"/>
        </w:rPr>
      </w:r>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Number of Baskets:</w:t>
        <w:tab/>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lang w:val="en-US"/>
        </w:rPr>
      </w:pPr>
      <w:r>
        <w:rPr>
          <w:lang w:val="en-US"/>
        </w:rPr>
        <w:t>Initial Equity Notional Amount:</w:t>
        <w:tab/>
        <w:t>USD 460,000,000</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Baskets or Shares, as applicable) X (Initial Price for Baskets or Shares, as applicable)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lang w:val="en-US"/>
          <w:ins w:id="1" w:author="rsiurek" w:date="2000-10-04T17:26:00Z"/>
        </w:rPr>
      </w:pPr>
      <w:r>
        <w:rPr>
          <w:lang w:val="en-US"/>
        </w:rPr>
        <w:t>Initial Price:</w:t>
        <w:tab/>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ins w:id="3" w:author="rsiurek" w:date="2000-10-04T17:26:00Z"/>
        </w:rPr>
      </w:pPr>
      <w:ins w:id="2" w:author="rsiurek" w:date="2000-10-04T17:26:00Z">
        <w:r>
          <w:rPr>
            <w:lang w:val="en-US"/>
          </w:rPr>
        </w:r>
      </w:ins>
    </w:p>
    <w:p>
      <w:pPr>
        <w:pStyle w:val="Normal"/>
        <w:tabs>
          <w:tab w:val="clear" w:pos="720"/>
          <w:tab w:val="left" w:pos="4320" w:leader="none"/>
        </w:tabs>
        <w:ind w:hanging="4320" w:start="4320" w:end="0"/>
        <w:jc w:val="both"/>
        <w:rPr>
          <w:b/>
          <w:lang w:val="en-US"/>
        </w:rPr>
      </w:pPr>
      <w:r>
        <w:rPr>
          <w:lang w:val="en-US"/>
        </w:rPr>
        <w:t>Final Price:</w:t>
      </w:r>
      <w:r>
        <w:rPr>
          <w:b/>
          <w:lang w:val="en-US"/>
        </w:rPr>
        <w:tab/>
      </w:r>
      <w:r>
        <w:rPr>
          <w:lang w:val="en-US"/>
        </w:rPr>
        <w:t>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purchase prices received by each of the Issuers for sales or other dispositions of all assets to</w:t>
      </w:r>
      <w:del w:id="4" w:author="rsiurek" w:date="2000-10-04T17:34:00Z">
        <w:r>
          <w:rPr>
            <w:lang w:val="en-US"/>
          </w:rPr>
          <w:delText xml:space="preserve"> deconsolidated</w:delText>
        </w:r>
      </w:del>
      <w:r>
        <w:rPr>
          <w:lang w:val="en-US"/>
        </w:rPr>
        <w:t xml:space="preserve">, non-affiliated third parties shall be used by the Calculation Agent for valuation of the shares. </w:t>
      </w:r>
      <w:del w:id="5" w:author="rsiurek" w:date="2000-10-04T17:26:00Z">
        <w:r>
          <w:rPr>
            <w:lang w:val="en-US"/>
          </w:rPr>
          <w:delText xml:space="preserve"> The Final Price shall include (i) all amounts of equity earnings and losses and (ii) dividends or distributions resulting from the investment of Ponderosa Assets L.P. in each of the Issuers.  </w:delText>
        </w:r>
      </w:del>
      <w:ins w:id="6" w:author="rsiurek" w:date="2000-10-04T17:26:00Z">
        <w:r>
          <w:rPr>
            <w:lang w:val="en-US"/>
          </w:rPr>
          <w:t xml:space="preserve">The Final Price shall be increased for any amounts of contributions made by Enron or its affiliates and decreased for distributions in excess of equity earnings received by Enron or its affiliates.  </w:t>
        </w:r>
      </w:ins>
      <w:ins w:id="7" w:author="rsiurek" w:date="2000-10-04T17:29:00Z">
        <w:r>
          <w:rPr>
            <w:lang w:val="en-US"/>
          </w:rPr>
          <w:t xml:space="preserve">The Final Price </w:t>
        </w:r>
      </w:ins>
      <w:ins w:id="8" w:author="rsiurek" w:date="2000-10-04T17:34:00Z">
        <w:r>
          <w:rPr>
            <w:lang w:val="en-US"/>
          </w:rPr>
          <w:t xml:space="preserve">for assets not sold </w:t>
        </w:r>
      </w:ins>
      <w:ins w:id="9" w:author="rsiurek" w:date="2000-10-04T17:37:00Z">
        <w:r>
          <w:rPr>
            <w:lang w:val="en-US"/>
          </w:rPr>
          <w:t>or otherwise disposed of</w:t>
        </w:r>
      </w:ins>
      <w:ins w:id="10" w:author="rsiurek" w:date="2000-10-04T17:34:00Z">
        <w:r>
          <w:rPr>
            <w:lang w:val="en-US"/>
          </w:rPr>
          <w:t xml:space="preserve"> </w:t>
        </w:r>
      </w:ins>
      <w:ins w:id="11" w:author="rsiurek" w:date="2000-10-04T17:29:00Z">
        <w:r>
          <w:rPr>
            <w:lang w:val="en-US"/>
          </w:rPr>
          <w:t xml:space="preserve">will be allocated based upon relative fair value at inception, which approximates Enron book value, </w:t>
        </w:r>
      </w:ins>
      <w:ins w:id="12" w:author="rsiurek" w:date="2000-10-04T17:35:00Z">
        <w:r>
          <w:rPr>
            <w:lang w:val="en-US"/>
          </w:rPr>
          <w:t>and increased for any amounts of contrib</w:t>
        </w:r>
      </w:ins>
      <w:ins w:id="13" w:author="rsiurek" w:date="2000-10-04T17:37:00Z">
        <w:r>
          <w:rPr>
            <w:lang w:val="en-US"/>
          </w:rPr>
          <w:t>u</w:t>
        </w:r>
      </w:ins>
      <w:ins w:id="14" w:author="rsiurek" w:date="2000-10-04T17:35:00Z">
        <w:r>
          <w:rPr>
            <w:lang w:val="en-US"/>
          </w:rPr>
          <w:t>tions made by Enron or its affiliates and decreased for distributions in excess of equity earnings received by Enron or its affili</w:t>
        </w:r>
      </w:ins>
      <w:ins w:id="15" w:author="rsiurek" w:date="2000-10-04T17:37:00Z">
        <w:r>
          <w:rPr>
            <w:lang w:val="en-US"/>
          </w:rPr>
          <w:t xml:space="preserve">ates. </w:t>
        </w:r>
      </w:ins>
      <w:ins w:id="16" w:author="rsiurek" w:date="2000-10-04T17:35:00Z">
        <w:r>
          <w:rPr>
            <w:lang w:val="en-US"/>
          </w:rPr>
          <w:t xml:space="preserve"> </w:t>
        </w:r>
      </w:ins>
      <w:r>
        <w:rPr>
          <w:lang w:val="en-US"/>
        </w:rPr>
        <w:t>For the avoidance of doubt, the Relevant Price for the Shares of each Issuer shall be determined by the Calculation Agent as hereinabove provided.</w:t>
      </w:r>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rPr>
      </w:pPr>
      <w:r>
        <w:rPr/>
        <w:t>Valuation Time:</w:t>
        <w:tab/>
        <w:t>As of</w:t>
      </w:r>
      <w:r>
        <w:rPr>
          <w:b/>
        </w:rPr>
        <w:t xml:space="preserve"> </w:t>
      </w:r>
      <w:r>
        <w:rPr/>
        <w:t>the close of business of the Calculation Agent on the Valuation Date</w:t>
      </w:r>
    </w:p>
    <w:p>
      <w:pPr>
        <w:pStyle w:val="Normal"/>
        <w:tabs>
          <w:tab w:val="clear" w:pos="720"/>
          <w:tab w:val="left" w:pos="0" w:leader="none"/>
          <w:tab w:val="right" w:pos="5691" w:leader="none"/>
        </w:tabs>
        <w:jc w:val="both"/>
        <w:rPr>
          <w:b/>
          <w:lang w:val="en-US"/>
        </w:rPr>
      </w:pPr>
      <w:r>
        <w:rPr>
          <w:b/>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b/>
              </w:rPr>
            </w:pPr>
            <w:r>
              <w:rPr>
                <w:b/>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b/>
              </w:rPr>
              <w:t>Timberwolf I,</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Grizzly I,</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t>Citibank, N.A.</w:t>
            </w:r>
            <w:r>
              <w:rPr>
                <w:b/>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r>
              <w:rPr>
                <w:b/>
              </w:rPr>
              <w:t>[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ABA No.: </w:t>
            </w:r>
            <w:r>
              <w:rPr>
                <w:b/>
              </w:rPr>
              <w:t>[</w:t>
            </w:r>
            <w:r>
              <w:rPr/>
              <w:t xml:space="preserve">               </w:t>
            </w:r>
            <w:r>
              <w:rPr>
                <w:b/>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Timberwolf I,</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t>Wilmington Trust Company</w:t>
            </w:r>
            <w:r>
              <w:rPr>
                <w:b/>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Grizzley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Timberwolf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/mnt/main-storage/datasets/enron-docs/doc/ESAraptor2R-7368840b653f2c228b763d27150aae8f573e4af3bc109f4691fb5bedf0e65d87.doc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2000-10-04T19:43:00Z</dcterms:created>
  <dc:creator>Shari Stack</dc:creator>
  <dc:description/>
  <dc:language>en-CA</dc:language>
  <cp:lastModifiedBy>rsiurek</cp:lastModifiedBy>
  <cp:lastPrinted>2000-10-04T08:58:00Z</cp:lastPrinted>
  <dcterms:modified xsi:type="dcterms:W3CDTF">2000-10-04T20:08:00Z</dcterms:modified>
  <cp:revision>3</cp:revision>
  <dc:subject/>
  <dc:title>Confirmation of OTC Equity</dc:title>
</cp:coreProperties>
</file>