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EWS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SOUTH AMERICA LEGAL RISKS</w:t>
      </w:r>
    </w:p>
    <w:p>
      <w:pPr>
        <w:pStyle w:val="Header"/>
        <w:tabs>
          <w:tab w:val="clear" w:pos="4320"/>
          <w:tab w:val="clear" w:pos="8640"/>
          <w:tab w:val="right" w:pos="14670" w:leader="none"/>
        </w:tabs>
        <w:spacing w:before="0" w:after="60"/>
        <w:jc w:val="center"/>
        <w:rPr/>
      </w:pPr>
      <w:r>
        <w:rPr/>
        <w:t>(as of March 9, 2001)</w:t>
      </w:r>
    </w:p>
    <w:tbl>
      <w:tblPr>
        <w:tblW w:w="14580" w:type="dxa"/>
        <w:jc w:val="start"/>
        <w:tblInd w:w="-72" w:type="dxa"/>
        <w:tblLayout w:type="fixed"/>
        <w:tblCellMar>
          <w:top w:w="0" w:type="dxa"/>
          <w:start w:w="108" w:type="dxa"/>
          <w:bottom w:w="0" w:type="dxa"/>
          <w:end w:w="108" w:type="dxa"/>
        </w:tblCellMar>
      </w:tblPr>
      <w:tblGrid>
        <w:gridCol w:w="2070"/>
        <w:gridCol w:w="6750"/>
        <w:gridCol w:w="3330"/>
        <w:gridCol w:w="1440"/>
        <w:gridCol w:w="990"/>
      </w:tblGrid>
      <w:tr>
        <w:trPr>
          <w:tblHeader w:val="true"/>
        </w:trPr>
        <w:tc>
          <w:tcPr>
            <w:tcW w:w="2070" w:type="dxa"/>
            <w:tcBorders>
              <w:top w:val="single" w:sz="4" w:space="0" w:color="000000"/>
              <w:start w:val="single" w:sz="4" w:space="0" w:color="000000"/>
              <w:bottom w:val="single" w:sz="4" w:space="0" w:color="000000"/>
              <w:end w:val="single" w:sz="4" w:space="0" w:color="000000"/>
            </w:tcBorders>
          </w:tcPr>
          <w:p>
            <w:pPr>
              <w:pStyle w:val="Heading1"/>
              <w:keepNext w:val="false"/>
              <w:keepLines/>
              <w:spacing w:before="120" w:after="0"/>
              <w:ind w:hanging="0" w:start="72" w:end="0"/>
              <w:rPr>
                <w:sz w:val="18"/>
              </w:rPr>
            </w:pPr>
            <w:r>
              <w:rPr>
                <w:sz w:val="18"/>
              </w:rPr>
              <w:t>Legal Risk</w:t>
            </w:r>
          </w:p>
        </w:tc>
        <w:tc>
          <w:tcPr>
            <w:tcW w:w="6750" w:type="dxa"/>
            <w:tcBorders>
              <w:top w:val="single" w:sz="4" w:space="0" w:color="000000"/>
              <w:start w:val="single" w:sz="4" w:space="0" w:color="000000"/>
              <w:bottom w:val="single" w:sz="4" w:space="0" w:color="000000"/>
              <w:end w:val="single" w:sz="4" w:space="0" w:color="000000"/>
            </w:tcBorders>
          </w:tcPr>
          <w:p>
            <w:pPr>
              <w:pStyle w:val="Heading1"/>
              <w:keepNext w:val="false"/>
              <w:keepLines/>
              <w:spacing w:before="120" w:after="0"/>
              <w:ind w:hanging="0" w:start="0"/>
              <w:rPr>
                <w:sz w:val="18"/>
              </w:rPr>
            </w:pPr>
            <w:r>
              <w:rPr>
                <w:sz w:val="18"/>
              </w:rPr>
              <w:t>Issues</w:t>
            </w:r>
          </w:p>
        </w:tc>
        <w:tc>
          <w:tcPr>
            <w:tcW w:w="3330" w:type="dxa"/>
            <w:tcBorders>
              <w:top w:val="single" w:sz="4" w:space="0" w:color="000000"/>
              <w:start w:val="single" w:sz="4" w:space="0" w:color="000000"/>
              <w:bottom w:val="single" w:sz="4" w:space="0" w:color="000000"/>
              <w:end w:val="single" w:sz="4" w:space="0" w:color="000000"/>
            </w:tcBorders>
          </w:tcPr>
          <w:p>
            <w:pPr>
              <w:pStyle w:val="Normal"/>
              <w:keepLines/>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keepNext w:val="false"/>
              <w:keepLines/>
              <w:spacing w:before="0" w:after="0"/>
              <w:ind w:hanging="0" w:start="-115" w:end="0"/>
              <w:jc w:val="center"/>
              <w:rPr>
                <w:sz w:val="18"/>
              </w:rPr>
            </w:pPr>
            <w:r>
              <w:rPr>
                <w:sz w:val="18"/>
              </w:rPr>
              <w:t>Accounting/</w:t>
            </w:r>
          </w:p>
          <w:p>
            <w:pPr>
              <w:pStyle w:val="Heading2"/>
              <w:keepNext w:val="false"/>
              <w:keepLines/>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keepNext w:val="false"/>
              <w:keepLines/>
              <w:spacing w:before="0" w:after="0"/>
              <w:ind w:hanging="0" w:start="-115" w:end="0"/>
              <w:jc w:val="center"/>
              <w:rPr>
                <w:sz w:val="18"/>
              </w:rPr>
            </w:pPr>
            <w:r>
              <w:rPr>
                <w:sz w:val="18"/>
              </w:rPr>
              <w:t>Risk Direction</w:t>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pacing w:before="60" w:after="60"/>
              <w:ind w:hanging="270" w:start="342" w:end="0"/>
              <w:rPr/>
            </w:pPr>
            <w:r>
              <w:rPr/>
              <w:t>Project Cuiaba</w:t>
            </w:r>
          </w:p>
          <w:p>
            <w:pPr>
              <w:pStyle w:val="FootnoteText"/>
              <w:keepLines/>
              <w:tabs>
                <w:tab w:val="clear" w:pos="720"/>
                <w:tab w:val="left" w:pos="342" w:leader="none"/>
              </w:tabs>
              <w:spacing w:before="60" w:after="60"/>
              <w:ind w:start="72" w:end="0"/>
              <w:rPr/>
            </w:pPr>
            <w:r>
              <w:rPr/>
              <w:t>(Novak)</w:t>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Project involves construction of 480 MW gas fired power plant and gas pipeline spur from the GTB pipeline in Bolivia.  Plant operating at combined cycle at 150 MW on costly diesel fuel.  Bolivian portion of pipeline complete, though Brazilian section repeatedly delayed by environmental concerns.  Major legal risks include:</w:t>
            </w:r>
          </w:p>
          <w:p>
            <w:pPr>
              <w:pStyle w:val="FootnoteText"/>
              <w:keepLines/>
              <w:rPr>
                <w:sz w:val="12"/>
              </w:rPr>
            </w:pPr>
            <w:r>
              <w:rPr>
                <w:sz w:val="12"/>
              </w:rPr>
            </w:r>
          </w:p>
          <w:p>
            <w:pPr>
              <w:pStyle w:val="FootnoteText"/>
              <w:keepLines/>
              <w:numPr>
                <w:ilvl w:val="0"/>
                <w:numId w:val="6"/>
              </w:numPr>
              <w:rPr/>
            </w:pPr>
            <w:r>
              <w:rPr/>
              <w:t xml:space="preserve">Project has declared Furnas (power purchaser per PPA) to be in default of PPA for failing to sign consent required by lenders.  Project considering efforts to compel specific performance, initiate arbitration or terminate PPA and put the project to Furnas.  </w:t>
            </w:r>
          </w:p>
          <w:p>
            <w:pPr>
              <w:pStyle w:val="FootnoteText"/>
              <w:keepLines/>
              <w:numPr>
                <w:ilvl w:val="0"/>
                <w:numId w:val="6"/>
              </w:numPr>
              <w:rPr/>
            </w:pPr>
            <w:r>
              <w:rPr/>
              <w:t>If current drilling efforts in environmentally sensitive Ridges area fail, permits for alternative routing may result in delays or may not be issued at all.  Construction contract requires Siemens to commission plant to run on gas only if gas is available at plant by December 31, 2001.  Warranties on Siemens equipment and work expire February 1, 2002.</w:t>
            </w:r>
          </w:p>
          <w:p>
            <w:pPr>
              <w:pStyle w:val="FootnoteText"/>
              <w:keepLines/>
              <w:numPr>
                <w:ilvl w:val="0"/>
                <w:numId w:val="6"/>
              </w:numPr>
              <w:rPr/>
            </w:pPr>
            <w:r>
              <w:rPr/>
              <w:t>We must determine whether or not the YPF gas supply agreement (19 year term) can be terminated after May 4, 2001 if certain conditions are not met (commercial operations of plant on gas and close of non-recourse project financing).  Further, Enron must assume risk of providing back up gas in order to close financing.  If there is no financing, the project will assume the gas risk.</w:t>
            </w:r>
          </w:p>
          <w:p>
            <w:pPr>
              <w:pStyle w:val="FootnoteText"/>
              <w:keepLines/>
              <w:ind w:start="360" w:end="0"/>
              <w:rPr/>
            </w:pPr>
            <w:r>
              <w:rPr/>
            </w:r>
          </w:p>
          <w:p>
            <w:pPr>
              <w:pStyle w:val="FootnoteText"/>
              <w:keepLines/>
              <w:ind w:start="360" w:end="0"/>
              <w:rPr/>
            </w:pPr>
            <w:r>
              <w:rPr/>
            </w:r>
          </w:p>
          <w:p>
            <w:pPr>
              <w:pStyle w:val="FootnoteText"/>
              <w:keepLines/>
              <w:numPr>
                <w:ilvl w:val="0"/>
                <w:numId w:val="6"/>
              </w:numPr>
              <w:rPr/>
            </w:pPr>
            <w:r>
              <w:rPr/>
              <w:t xml:space="preserve">On March 8, ANEEL (Brazilian energy regulator) commenced a new administrative proceeding alleging the project has violated its new regulatory scheme.  PPA was crafted under prior regulatory scheme. Outcome is uncertain. </w:t>
            </w:r>
          </w:p>
          <w:p>
            <w:pPr>
              <w:pStyle w:val="FootnoteText"/>
              <w:keepLines/>
              <w:ind w:start="360" w:end="0"/>
              <w:rPr/>
            </w:pPr>
            <w:r>
              <w:rPr/>
            </w:r>
          </w:p>
          <w:p>
            <w:pPr>
              <w:pStyle w:val="FootnoteText"/>
              <w:keepLines/>
              <w:ind w:start="360" w:end="0"/>
              <w:rPr/>
            </w:pPr>
            <w:r>
              <w:rPr/>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Risk amount is difficult to quantify and would depend upon various different contingencies.  Project budget revised upward to $785MM. (Enron has 62.5% interest (aggregated) in proj. cos.)</w:t>
            </w:r>
          </w:p>
          <w:p>
            <w:pPr>
              <w:pStyle w:val="FootnoteText"/>
              <w:keepLines/>
              <w:numPr>
                <w:ilvl w:val="0"/>
                <w:numId w:val="5"/>
              </w:numPr>
              <w:tabs>
                <w:tab w:val="clear" w:pos="720"/>
                <w:tab w:val="left" w:pos="252" w:leader="none"/>
              </w:tabs>
              <w:ind w:hanging="252" w:start="252" w:end="0"/>
              <w:rPr/>
            </w:pPr>
            <w:r>
              <w:rPr/>
              <w:t>Absence of Furnas consent has prevented close of $350 MM in project financing.</w:t>
            </w:r>
          </w:p>
          <w:p>
            <w:pPr>
              <w:pStyle w:val="FootnoteText"/>
              <w:keepLines/>
              <w:rPr/>
            </w:pPr>
            <w:r>
              <w:rPr/>
            </w:r>
          </w:p>
          <w:p>
            <w:pPr>
              <w:pStyle w:val="FootnoteText"/>
              <w:keepLines/>
              <w:numPr>
                <w:ilvl w:val="0"/>
                <w:numId w:val="5"/>
              </w:numPr>
              <w:tabs>
                <w:tab w:val="clear" w:pos="720"/>
                <w:tab w:val="left" w:pos="252" w:leader="none"/>
              </w:tabs>
              <w:ind w:hanging="252" w:start="252" w:end="0"/>
              <w:rPr/>
            </w:pPr>
            <w:r>
              <w:rPr/>
              <w:t>Without gas, the whole investment is at risk.</w:t>
            </w:r>
          </w:p>
          <w:p>
            <w:pPr>
              <w:pStyle w:val="FootnoteText"/>
              <w:keepLines/>
              <w:rPr/>
            </w:pPr>
            <w:r>
              <w:rPr/>
            </w:r>
          </w:p>
          <w:p>
            <w:pPr>
              <w:pStyle w:val="FootnoteText"/>
              <w:keepLines/>
              <w:rPr>
                <w:sz w:val="12"/>
              </w:rPr>
            </w:pPr>
            <w:r>
              <w:rPr>
                <w:sz w:val="12"/>
              </w:rPr>
            </w:r>
          </w:p>
          <w:p>
            <w:pPr>
              <w:pStyle w:val="FootnoteText"/>
              <w:keepLines/>
              <w:numPr>
                <w:ilvl w:val="0"/>
                <w:numId w:val="5"/>
              </w:numPr>
              <w:tabs>
                <w:tab w:val="clear" w:pos="720"/>
                <w:tab w:val="left" w:pos="252" w:leader="none"/>
              </w:tabs>
              <w:ind w:hanging="252" w:start="252" w:end="0"/>
              <w:rPr/>
            </w:pPr>
            <w:r>
              <w:rPr/>
              <w:t>ESA has estimated $40-55 MMin upside if GSA terminated and suitable replacement GSA at currently available prices signed.</w:t>
            </w:r>
          </w:p>
          <w:p>
            <w:pPr>
              <w:pStyle w:val="FootnoteText"/>
              <w:keepLines/>
              <w:numPr>
                <w:ilvl w:val="0"/>
                <w:numId w:val="5"/>
              </w:numPr>
              <w:tabs>
                <w:tab w:val="clear" w:pos="720"/>
                <w:tab w:val="left" w:pos="252" w:leader="none"/>
              </w:tabs>
              <w:ind w:hanging="252" w:start="252" w:end="0"/>
              <w:rPr/>
            </w:pPr>
            <w:r>
              <w:rPr/>
              <w:t>If Lenders do not approve of replacement GSA, they could require Enron to buy out the debt ($350 MM).</w:t>
            </w:r>
          </w:p>
          <w:p>
            <w:pPr>
              <w:pStyle w:val="FootnoteText"/>
              <w:keepLines/>
              <w:numPr>
                <w:ilvl w:val="1"/>
                <w:numId w:val="3"/>
              </w:numPr>
              <w:tabs>
                <w:tab w:val="clear" w:pos="720"/>
                <w:tab w:val="left" w:pos="252" w:leader="none"/>
              </w:tabs>
              <w:spacing w:before="60" w:after="60"/>
              <w:ind w:hanging="270" w:start="252" w:end="0"/>
              <w:rPr/>
            </w:pPr>
            <w:r>
              <w:rPr/>
              <w:t>After investigation, usual outcome is assessment of light penalty.  Worst case is revocation of authorization.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jc w:val="center"/>
              <w:rPr>
                <w:rFonts w:ascii="Symbol" w:hAnsi="Symbol" w:eastAsia="Symbol" w:cs="Symbol"/>
              </w:rPr>
            </w:pPr>
            <w:r>
              <w:rPr>
                <w:rFonts w:eastAsia="Symbol" w:cs="Symbol" w:ascii="Symbol" w:hAnsi="Symbol"/>
              </w:rPr>
              <w:sym w:font="Symbol" w:char="f0dd"/>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pacing w:before="60" w:after="60"/>
              <w:ind w:firstLine="72" w:start="0" w:end="0"/>
              <w:rPr/>
            </w:pPr>
            <w:r>
              <w:rPr/>
              <w:t>Elektro</w:t>
            </w:r>
          </w:p>
          <w:p>
            <w:pPr>
              <w:pStyle w:val="FootnoteText"/>
              <w:keepLines/>
              <w:tabs>
                <w:tab w:val="clear" w:pos="720"/>
                <w:tab w:val="left" w:pos="342" w:leader="none"/>
              </w:tabs>
              <w:spacing w:before="60" w:after="60"/>
              <w:rPr/>
            </w:pPr>
            <w:r>
              <w:rPr/>
              <w:t>(Ferraz)</w:t>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ANEEL has refused to allow distributors to pass through tax increases on a retroactive basis.  ABRADE is considering a joint suit to resolve the problem.</w:t>
            </w:r>
          </w:p>
          <w:p>
            <w:pPr>
              <w:pStyle w:val="FootnoteText"/>
              <w:keepLines/>
              <w:rPr/>
            </w:pPr>
            <w:r>
              <w:rPr/>
              <w:t xml:space="preserve">ANEEL has not permitted Elecktro to pass through increased supply cost from Itaipu (hydro dam between Brazil &amp; Paraguay). Elektro is considering suing ANEEL directly to resolve problem. </w:t>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1"/>
                <w:numId w:val="3"/>
              </w:numPr>
              <w:tabs>
                <w:tab w:val="clear" w:pos="720"/>
                <w:tab w:val="left" w:pos="252" w:leader="none"/>
              </w:tabs>
              <w:spacing w:before="60" w:after="60"/>
              <w:ind w:hanging="270" w:start="252" w:end="0"/>
              <w:rPr/>
            </w:pPr>
            <w:r>
              <w:rPr/>
              <w:t>Elektro’s claim would be $40-45 MM</w:t>
            </w:r>
          </w:p>
          <w:p>
            <w:pPr>
              <w:pStyle w:val="FootnoteText"/>
              <w:keepLines/>
              <w:ind w:start="-18" w:end="0"/>
              <w:rPr/>
            </w:pPr>
            <w:r>
              <w:rPr/>
            </w:r>
          </w:p>
          <w:p>
            <w:pPr>
              <w:pStyle w:val="FootnoteText"/>
              <w:keepLines/>
              <w:numPr>
                <w:ilvl w:val="1"/>
                <w:numId w:val="3"/>
              </w:numPr>
              <w:tabs>
                <w:tab w:val="clear" w:pos="720"/>
                <w:tab w:val="left" w:pos="252" w:leader="none"/>
              </w:tabs>
              <w:spacing w:before="60" w:after="60"/>
              <w:ind w:hanging="270" w:start="252" w:end="0"/>
              <w:rPr/>
            </w:pPr>
            <w:r>
              <w:rPr/>
              <w:t>Efforts underway to quantify risk.  Portion of tariff in question is minimal, but non-payment could lead to penalties.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jc w:val="center"/>
              <w:rPr>
                <w:rFonts w:ascii="Symbol" w:hAnsi="Symbol" w:eastAsia="Symbol" w:cs="Symbol"/>
              </w:rPr>
            </w:pPr>
            <w:r>
              <w:rPr>
                <w:rFonts w:eastAsia="Symbol" w:cs="Symbol" w:ascii="Symbol" w:hAnsi="Symbol"/>
              </w:rPr>
              <w:sym w:font="Symbol" w:char="f0dd"/>
            </w:r>
          </w:p>
        </w:tc>
      </w:tr>
      <w:tr>
        <w:trPr>
          <w:trHeight w:val="2456" w:hRule="atLeast"/>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pacing w:before="60" w:after="60"/>
              <w:ind w:firstLine="72" w:start="0" w:end="0"/>
              <w:rPr/>
            </w:pPr>
            <w:r>
              <w:rPr/>
              <w:t>TGS/Argentine Tax Stamp Matters</w:t>
            </w:r>
          </w:p>
          <w:p>
            <w:pPr>
              <w:pStyle w:val="FootnoteText"/>
              <w:keepLines/>
              <w:tabs>
                <w:tab w:val="clear" w:pos="720"/>
                <w:tab w:val="left" w:pos="342" w:leader="none"/>
              </w:tabs>
              <w:spacing w:before="60" w:after="60"/>
              <w:ind w:start="72" w:end="0"/>
              <w:rPr/>
            </w:pPr>
            <w:r>
              <w:rPr/>
              <w:t>(Williams/Blaine)</w:t>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Argentine provincial governments have adopted a new and broader interpretation of the stamp tax assessed on written contracts.  TGS has requested relief of the Federal Supreme Court against one of the provinces.  While the federal government and federal regulatory body have expressed views that the provinces’ proposed application of the tax is illegal, requests by others to set the tax aside have been denied.  TGS cannot currently pass through any potential liabilities under its tariff.  Political risk insurance coverage may be available.</w:t>
            </w:r>
          </w:p>
          <w:p>
            <w:pPr>
              <w:pStyle w:val="FootnoteText"/>
              <w:keepLines/>
              <w:spacing w:before="60" w:after="60"/>
              <w:rPr/>
            </w:pPr>
            <w:r>
              <w:rPr/>
              <w:t>Enron filed a bilateral investment treaty claim before the International Center for the Settlement of Investment Disputes (ICSID) at the World Bank claiming that the taxes are illegal, arbitrary and capricious.</w:t>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ind w:start="-18" w:end="0"/>
              <w:rPr/>
            </w:pPr>
            <w:r>
              <w:rPr/>
              <w:t>$700 MM (Enron’s interest in TGS is 35%)</w:t>
            </w:r>
          </w:p>
          <w:p>
            <w:pPr>
              <w:pStyle w:val="FootnoteText"/>
              <w:keepLines/>
              <w:numPr>
                <w:ilvl w:val="1"/>
                <w:numId w:val="3"/>
              </w:numPr>
              <w:tabs>
                <w:tab w:val="clear" w:pos="720"/>
                <w:tab w:val="left" w:pos="252" w:leader="none"/>
              </w:tabs>
              <w:ind w:hanging="270" w:start="252" w:end="0"/>
              <w:rPr/>
            </w:pPr>
            <w:r>
              <w:rPr/>
              <w:t>$153MM tax, $185 MM interest, and $320 MM in fines (all as of June 30, 2000).</w:t>
            </w:r>
          </w:p>
          <w:p>
            <w:pPr>
              <w:pStyle w:val="FootnoteText"/>
              <w:keepLines/>
              <w:numPr>
                <w:ilvl w:val="1"/>
                <w:numId w:val="3"/>
              </w:numPr>
              <w:tabs>
                <w:tab w:val="clear" w:pos="720"/>
                <w:tab w:val="left" w:pos="252" w:leader="none"/>
              </w:tabs>
              <w:spacing w:before="60" w:after="60"/>
              <w:ind w:hanging="270" w:start="252" w:end="0"/>
              <w:rPr/>
            </w:pPr>
            <w:r>
              <w:rPr/>
              <w:t>interest accruing on unpaid tax at 1.65% monthly.</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jc w:val="center"/>
              <w:rPr>
                <w:rFonts w:ascii="Symbol" w:hAnsi="Symbol" w:eastAsia="Symbol" w:cs="Symbol"/>
              </w:rPr>
            </w:pPr>
            <w:r>
              <w:rPr>
                <w:rFonts w:eastAsia="Symbol" w:cs="Symbol" w:ascii="Symbol" w:hAnsi="Symbol"/>
              </w:rPr>
              <w:sym w:font="Symbol" w:char="f0db"/>
            </w:r>
          </w:p>
        </w:tc>
      </w:tr>
      <w:tr>
        <w:trPr>
          <w:trHeight w:val="90" w:hRule="atLeast"/>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pacing w:before="60" w:after="60"/>
              <w:ind w:firstLine="72" w:start="0" w:end="0"/>
              <w:rPr/>
            </w:pPr>
            <w:r>
              <w:rPr/>
              <w:t>Enforceability of Contracts</w:t>
            </w:r>
          </w:p>
          <w:p>
            <w:pPr>
              <w:pStyle w:val="FootnoteText"/>
              <w:keepLines/>
              <w:tabs>
                <w:tab w:val="clear" w:pos="720"/>
                <w:tab w:val="left" w:pos="342" w:leader="none"/>
              </w:tabs>
              <w:spacing w:before="60" w:after="60"/>
              <w:rPr/>
            </w:pPr>
            <w:r>
              <w:rPr/>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Enforcing contracts is more difficult in South America especially when contracting with state owned entities like Petrobras or with well connected local companies.  Politics are a greater factor in enforceability that in North America.</w:t>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ind w:start="-18" w:end="0"/>
              <w:rPr/>
            </w:pPr>
            <w:r>
              <w:rPr/>
              <w:t>[Enforceability risk increases with the complexity of the transaction and the political nature of the issues.] [Work needs to be done to model this legal risk.]</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pacing w:before="60" w:after="60"/>
              <w:ind w:hanging="270" w:start="342" w:end="0"/>
              <w:rPr/>
            </w:pPr>
            <w:r>
              <w:rPr/>
              <w:t>Transredes</w:t>
            </w:r>
          </w:p>
          <w:p>
            <w:pPr>
              <w:pStyle w:val="FootnoteText"/>
              <w:keepLines/>
              <w:tabs>
                <w:tab w:val="clear" w:pos="720"/>
                <w:tab w:val="left" w:pos="342" w:leader="none"/>
              </w:tabs>
              <w:spacing w:before="60" w:after="60"/>
              <w:ind w:start="72" w:end="0"/>
              <w:rPr/>
            </w:pPr>
            <w:r>
              <w:rPr/>
              <w:t>(Williams/Blaine)</w:t>
            </w:r>
          </w:p>
        </w:tc>
        <w:tc>
          <w:tcPr>
            <w:tcW w:w="6750" w:type="dxa"/>
            <w:tcBorders>
              <w:top w:val="single" w:sz="4" w:space="0" w:color="000000"/>
              <w:start w:val="single" w:sz="4" w:space="0" w:color="000000"/>
              <w:bottom w:val="single" w:sz="4" w:space="0" w:color="000000"/>
              <w:end w:val="single" w:sz="4" w:space="0" w:color="000000"/>
            </w:tcBorders>
          </w:tcPr>
          <w:p>
            <w:pPr>
              <w:pStyle w:val="Normal"/>
              <w:keepLines/>
              <w:rPr/>
            </w:pPr>
            <w:r>
              <w:rPr>
                <w:rFonts w:eastAsia="Symbol" w:cs="Symbol" w:ascii="Symbol" w:hAnsi="Symbol"/>
                <w:sz w:val="18"/>
              </w:rPr>
              <w:sym w:font="Symbol" w:char="f0b7"/>
            </w:r>
            <w:r>
              <w:rPr>
                <w:sz w:val="18"/>
              </w:rPr>
              <w:t xml:space="preserve"> </w:t>
            </w:r>
            <w:r>
              <w:rPr>
                <w:sz w:val="18"/>
              </w:rPr>
              <w:t>2000 barrels of oils spilled into the river, and migrated to the edge of nearby lakes.  Clean up expected to cost $30 to 45 MM.  Governmental investigations have been commenced and initial unfavorable opinion has been appealed.  Reinsurer commenced proceedings in London seeking to declare the reinsurance policy Transredes would rely upon to be void</w:t>
            </w:r>
          </w:p>
          <w:p>
            <w:pPr>
              <w:pStyle w:val="Normal"/>
              <w:keepLines/>
              <w:rPr>
                <w:sz w:val="18"/>
              </w:rPr>
            </w:pPr>
            <w:r>
              <w:rPr>
                <w:sz w:val="18"/>
              </w:rPr>
            </w:r>
          </w:p>
          <w:p>
            <w:pPr>
              <w:pStyle w:val="FootnoteText"/>
              <w:keepLines/>
              <w:rPr/>
            </w:pPr>
            <w:r>
              <w:rPr>
                <w:rFonts w:eastAsia="Symbol" w:cs="Symbol" w:ascii="Symbol" w:hAnsi="Symbol"/>
              </w:rPr>
              <w:sym w:font="Symbol" w:char="f0b7"/>
            </w:r>
            <w:r>
              <w:rPr/>
              <w:t xml:space="preserve"> </w:t>
            </w:r>
            <w:r>
              <w:rPr/>
              <w:t>A dispute has arisen involving implementation of transitional regulatory scheme following privatization whereby rates were kept low and Transredes could recover its costs in 2001 from a deferred account.  Enron is considering a BIT claim before ICSID if the Bolivian government prevents recovery.</w:t>
            </w:r>
          </w:p>
          <w:p>
            <w:pPr>
              <w:pStyle w:val="Normal"/>
              <w:keepLines/>
              <w:rPr>
                <w:sz w:val="18"/>
              </w:rPr>
            </w:pPr>
            <w:r>
              <w:rPr>
                <w:sz w:val="18"/>
              </w:rPr>
            </w:r>
          </w:p>
          <w:p>
            <w:pPr>
              <w:pStyle w:val="Normal"/>
              <w:keepLines/>
              <w:rPr>
                <w:sz w:val="18"/>
              </w:rPr>
            </w:pPr>
            <w:r>
              <w:rPr>
                <w:sz w:val="18"/>
              </w:rPr>
            </w:r>
          </w:p>
          <w:p>
            <w:pPr>
              <w:pStyle w:val="Normal"/>
              <w:keepLines/>
              <w:rPr>
                <w:sz w:val="18"/>
              </w:rPr>
            </w:pPr>
            <w:r>
              <w:rPr>
                <w:sz w:val="18"/>
              </w:rPr>
            </w:r>
          </w:p>
          <w:p>
            <w:pPr>
              <w:pStyle w:val="Normal"/>
              <w:keepLines/>
              <w:rPr>
                <w:sz w:val="18"/>
              </w:rPr>
            </w:pPr>
            <w:r>
              <w:rPr>
                <w:sz w:val="18"/>
              </w:rPr>
            </w:r>
          </w:p>
          <w:p>
            <w:pPr>
              <w:pStyle w:val="FootnoteText"/>
              <w:keepLines/>
              <w:rPr/>
            </w:pPr>
            <w:r>
              <w:rPr>
                <w:rFonts w:eastAsia="Symbol" w:cs="Symbol" w:ascii="Symbol" w:hAnsi="Symbol"/>
              </w:rPr>
              <w:sym w:font="Symbol" w:char="f0b7"/>
            </w:r>
            <w:r>
              <w:rPr/>
              <w:t xml:space="preserve"> </w:t>
            </w:r>
            <w:r>
              <w:rPr/>
              <w:t>Bolivian government has altered interpretation of exisiting laws permitting Transredes to charge certain tariffs retroactive to 1998.  Transredes has pursued administrative remedies which have been unsuccessful so far.  Transredes will appeal to the Supreme Court in April 2001.</w:t>
            </w:r>
          </w:p>
          <w:p>
            <w:pPr>
              <w:pStyle w:val="Normal"/>
              <w:keepLines/>
              <w:rPr>
                <w:sz w:val="18"/>
              </w:rPr>
            </w:pPr>
            <w:r>
              <w:rPr>
                <w:sz w:val="18"/>
              </w:rPr>
            </w:r>
          </w:p>
          <w:p>
            <w:pPr>
              <w:pStyle w:val="Normal"/>
              <w:keepLines/>
              <w:rPr>
                <w:sz w:val="18"/>
              </w:rPr>
            </w:pPr>
            <w:r>
              <w:rPr>
                <w:sz w:val="18"/>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tabs>
                <w:tab w:val="clear" w:pos="720"/>
                <w:tab w:val="left" w:pos="252" w:leader="none"/>
              </w:tabs>
              <w:spacing w:before="60" w:after="60"/>
              <w:rPr/>
            </w:pPr>
            <w:r>
              <w:rPr/>
              <w:t>$30-45 MM  (Enron owns 25% interest in Transredes)</w:t>
            </w:r>
          </w:p>
          <w:p>
            <w:pPr>
              <w:pStyle w:val="FootnoteText"/>
              <w:keepLines/>
              <w:tabs>
                <w:tab w:val="clear" w:pos="720"/>
                <w:tab w:val="left" w:pos="252" w:leader="none"/>
              </w:tabs>
              <w:rPr/>
            </w:pPr>
            <w:r>
              <w:rPr/>
            </w:r>
          </w:p>
          <w:p>
            <w:pPr>
              <w:pStyle w:val="FootnoteText"/>
              <w:keepLines/>
              <w:tabs>
                <w:tab w:val="clear" w:pos="720"/>
                <w:tab w:val="left" w:pos="252" w:leader="none"/>
              </w:tabs>
              <w:rPr/>
            </w:pPr>
            <w:r>
              <w:rPr/>
            </w:r>
          </w:p>
          <w:p>
            <w:pPr>
              <w:pStyle w:val="FootnoteText"/>
              <w:keepLines/>
              <w:tabs>
                <w:tab w:val="clear" w:pos="720"/>
                <w:tab w:val="left" w:pos="252" w:leader="none"/>
              </w:tabs>
              <w:rPr/>
            </w:pPr>
            <w:r>
              <w:rPr/>
              <w:t>$30-40 MM (Enron has a 25% interest)</w:t>
            </w:r>
          </w:p>
          <w:p>
            <w:pPr>
              <w:pStyle w:val="FootnoteText"/>
              <w:keepLines/>
              <w:tabs>
                <w:tab w:val="clear" w:pos="720"/>
                <w:tab w:val="left" w:pos="252" w:leader="none"/>
              </w:tabs>
              <w:rPr/>
            </w:pPr>
            <w:r>
              <w:rPr/>
            </w:r>
          </w:p>
          <w:p>
            <w:pPr>
              <w:pStyle w:val="FootnoteText"/>
              <w:keepLines/>
              <w:tabs>
                <w:tab w:val="clear" w:pos="720"/>
                <w:tab w:val="left" w:pos="252" w:leader="none"/>
              </w:tabs>
              <w:rPr/>
            </w:pPr>
            <w:r>
              <w:rPr/>
            </w:r>
          </w:p>
          <w:p>
            <w:pPr>
              <w:pStyle w:val="FootnoteText"/>
              <w:keepLines/>
              <w:tabs>
                <w:tab w:val="clear" w:pos="720"/>
                <w:tab w:val="left" w:pos="252" w:leader="none"/>
              </w:tabs>
              <w:rPr/>
            </w:pPr>
            <w:r>
              <w:rPr/>
            </w:r>
          </w:p>
          <w:p>
            <w:pPr>
              <w:pStyle w:val="FootnoteText"/>
              <w:keepLines/>
              <w:tabs>
                <w:tab w:val="clear" w:pos="720"/>
                <w:tab w:val="left" w:pos="252" w:leader="none"/>
              </w:tabs>
              <w:rPr/>
            </w:pPr>
            <w:r>
              <w:rPr/>
            </w:r>
          </w:p>
          <w:p>
            <w:pPr>
              <w:pStyle w:val="FootnoteText"/>
              <w:keepLines/>
              <w:tabs>
                <w:tab w:val="clear" w:pos="720"/>
                <w:tab w:val="left" w:pos="252" w:leader="none"/>
              </w:tabs>
              <w:rPr/>
            </w:pPr>
            <w:r>
              <w:rPr/>
            </w:r>
          </w:p>
          <w:p>
            <w:pPr>
              <w:pStyle w:val="FootnoteText"/>
              <w:keepLines/>
              <w:tabs>
                <w:tab w:val="clear" w:pos="720"/>
                <w:tab w:val="left" w:pos="252" w:leader="none"/>
              </w:tabs>
              <w:rPr/>
            </w:pPr>
            <w:r>
              <w:rPr/>
              <w:t>$14 MM (Enron has a 25% interest)</w:t>
            </w:r>
          </w:p>
          <w:p>
            <w:pPr>
              <w:pStyle w:val="FootnoteText"/>
              <w:keepLines/>
              <w:rPr/>
            </w:pPr>
            <w:r>
              <w:rPr/>
            </w:r>
          </w:p>
          <w:p>
            <w:pPr>
              <w:pStyle w:val="FootnoteText"/>
              <w:keepLines/>
              <w:rPr/>
            </w:pPr>
            <w:r>
              <w:rPr/>
              <w:t>The tariff issues have been an obstacle to Enron’s efforts to sell its 25% interest in Transredes (book value $143 MM).</w:t>
            </w:r>
          </w:p>
          <w:p>
            <w:pPr>
              <w:pStyle w:val="FootnoteText"/>
              <w:keepLines/>
              <w:tabs>
                <w:tab w:val="clear" w:pos="720"/>
                <w:tab w:val="left" w:pos="252" w:leader="none"/>
              </w:tabs>
              <w:spacing w:before="60" w:after="60"/>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immediate</w:t>
            </w:r>
          </w:p>
          <w:p>
            <w:pPr>
              <w:pStyle w:val="FootnoteText"/>
              <w:keepLines/>
              <w:rPr/>
            </w:pPr>
            <w:r>
              <w:rPr/>
            </w:r>
          </w:p>
          <w:p>
            <w:pPr>
              <w:pStyle w:val="FootnoteText"/>
              <w:keepLines/>
              <w:rPr/>
            </w:pPr>
            <w:r>
              <w:rPr/>
            </w:r>
          </w:p>
          <w:p>
            <w:pPr>
              <w:pStyle w:val="FootnoteText"/>
              <w:keepLines/>
              <w:rPr/>
            </w:pPr>
            <w:r>
              <w:rPr/>
            </w:r>
          </w:p>
          <w:p>
            <w:pPr>
              <w:pStyle w:val="FootnoteText"/>
              <w:keepLines/>
              <w:spacing w:before="60" w:after="60"/>
              <w:rPr/>
            </w:pPr>
            <w:r>
              <w:rPr/>
              <w:t>Spring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jc w:val="center"/>
              <w:rPr>
                <w:rFonts w:ascii="Symbol" w:hAnsi="Symbol" w:eastAsia="Symbol" w:cs="Symbol"/>
              </w:rPr>
            </w:pPr>
            <w:r>
              <w:rPr>
                <w:rFonts w:eastAsia="Symbol" w:cs="Symbol" w:ascii="Symbol" w:hAnsi="Symbol"/>
              </w:rPr>
              <w:sym w:font="Symbol" w:char="f0db"/>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pacing w:before="60" w:after="60"/>
              <w:ind w:firstLine="72" w:start="0" w:end="0"/>
              <w:rPr/>
            </w:pPr>
            <w:r>
              <w:rPr/>
              <w:t>Electrobolt</w:t>
            </w:r>
          </w:p>
          <w:p>
            <w:pPr>
              <w:pStyle w:val="FootnoteText"/>
              <w:keepLines/>
              <w:tabs>
                <w:tab w:val="clear" w:pos="720"/>
                <w:tab w:val="left" w:pos="342" w:leader="none"/>
              </w:tabs>
              <w:spacing w:before="60" w:after="60"/>
              <w:rPr/>
            </w:pPr>
            <w:r>
              <w:rPr/>
              <w:t>(Watanabe)</w:t>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Indexation of obligations between two Brazilian companies is generally prohibited by Brazilian law.  The Consortium Agreement with Petrobras provides for a guaranteed US$ based floor price using a mechanism that Brazilian counsel opines is not prohibited. This structure, however, has no precedent and it is not free from doubt whether it could be upheld without challenges.</w:t>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1"/>
                <w:numId w:val="3"/>
              </w:numPr>
              <w:tabs>
                <w:tab w:val="clear" w:pos="720"/>
                <w:tab w:val="left" w:pos="252" w:leader="none"/>
              </w:tabs>
              <w:spacing w:before="60" w:after="60"/>
              <w:ind w:hanging="270" w:start="252" w:end="0"/>
              <w:rPr/>
            </w:pPr>
            <w:r>
              <w:rPr/>
              <w:t xml:space="preserve">Risk amount is difficult to quantify and would depend upon various different contingencies.  </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jc w:val="center"/>
              <w:rPr>
                <w:rFonts w:ascii="Symbol" w:hAnsi="Symbol" w:eastAsia="Symbol" w:cs="Symbol"/>
              </w:rPr>
            </w:pPr>
            <w:r>
              <w:rPr>
                <w:rFonts w:eastAsia="Symbol" w:cs="Symbol" w:ascii="Symbol" w:hAnsi="Symbol"/>
              </w:rPr>
              <w:sym w:font="Symbol" w:char="f0db"/>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pacing w:before="60" w:after="60"/>
              <w:ind w:hanging="270" w:start="342" w:end="0"/>
              <w:rPr/>
            </w:pPr>
            <w:r>
              <w:rPr/>
              <w:t>Foreign Arbitration</w:t>
            </w:r>
          </w:p>
          <w:p>
            <w:pPr>
              <w:pStyle w:val="FootnoteText"/>
              <w:keepLines/>
              <w:tabs>
                <w:tab w:val="clear" w:pos="720"/>
                <w:tab w:val="left" w:pos="342" w:leader="none"/>
              </w:tabs>
              <w:spacing w:before="60" w:after="60"/>
              <w:ind w:start="72" w:end="0"/>
              <w:rPr/>
            </w:pPr>
            <w:r>
              <w:rPr/>
              <w:t>(Arap/Williams/Blaine)</w:t>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pacing w:before="60" w:after="60"/>
              <w:rPr/>
            </w:pPr>
            <w:r>
              <w:rPr/>
              <w:t xml:space="preserve">Brazilian law leaves open the possibility that a party to a contract providing for foreign arbitration as the exclusive dispute resolution mechanism may nonetheless present the claim to a Brazilian court which could accept jurisdiction.  The effectiveness of the arbitration clauses Enron has obtained from Brazilian counterparties is not free from doubt.   </w:t>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1"/>
                <w:numId w:val="3"/>
              </w:numPr>
              <w:tabs>
                <w:tab w:val="clear" w:pos="720"/>
                <w:tab w:val="left" w:pos="252" w:leader="none"/>
              </w:tabs>
              <w:spacing w:before="60" w:after="60"/>
              <w:ind w:hanging="360" w:start="342" w:end="0"/>
              <w:rPr/>
            </w:pPr>
            <w:r>
              <w:rPr/>
              <w:t>Various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napToGrid w:val="false"/>
              <w:spacing w:before="60" w:after="60"/>
              <w:ind w:hanging="270" w:start="342" w:end="0"/>
              <w:rPr/>
            </w:pPr>
            <w:r>
              <w:rPr>
                <w:sz w:val="18"/>
              </w:rPr>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p>
            <w:pPr>
              <w:pStyle w:val="FootnoteText"/>
              <w:keepLines/>
              <w:rPr/>
            </w:pPr>
            <w:r>
              <w:rPr/>
            </w:r>
          </w:p>
          <w:p>
            <w:pPr>
              <w:pStyle w:val="FootnoteText"/>
              <w:keepLines/>
              <w:rPr/>
            </w:pPr>
            <w:r>
              <w:rPr/>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1"/>
                <w:numId w:val="3"/>
              </w:numPr>
              <w:tabs>
                <w:tab w:val="clear" w:pos="720"/>
                <w:tab w:val="left" w:pos="252" w:leader="none"/>
              </w:tabs>
              <w:snapToGrid w:val="false"/>
              <w:spacing w:before="60" w:after="60"/>
              <w:ind w:hanging="360" w:start="342" w:end="0"/>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napToGrid w:val="false"/>
              <w:spacing w:before="60" w:after="60"/>
              <w:ind w:firstLine="72" w:start="0" w:end="0"/>
              <w:rPr/>
            </w:pPr>
            <w:r>
              <w:rPr>
                <w:sz w:val="18"/>
              </w:rPr>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p>
            <w:pPr>
              <w:pStyle w:val="FootnoteText"/>
              <w:keepLines/>
              <w:rPr/>
            </w:pPr>
            <w:r>
              <w:rPr/>
            </w:r>
          </w:p>
          <w:p>
            <w:pPr>
              <w:pStyle w:val="FootnoteText"/>
              <w:keepLines/>
              <w:rPr/>
            </w:pPr>
            <w:r>
              <w:rPr/>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5"/>
              </w:numPr>
              <w:tabs>
                <w:tab w:val="clear" w:pos="720"/>
                <w:tab w:val="left" w:pos="252" w:leader="none"/>
              </w:tabs>
              <w:snapToGrid w:val="false"/>
              <w:spacing w:before="60" w:after="60"/>
              <w:ind w:hanging="252" w:start="252" w:end="0"/>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napToGrid w:val="false"/>
              <w:spacing w:before="60" w:after="60"/>
              <w:ind w:hanging="270" w:start="342" w:end="0"/>
              <w:rPr/>
            </w:pPr>
            <w:r>
              <w:rPr>
                <w:sz w:val="18"/>
              </w:rPr>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p>
            <w:pPr>
              <w:pStyle w:val="FootnoteText"/>
              <w:keepLines/>
              <w:rPr/>
            </w:pPr>
            <w:r>
              <w:rPr/>
            </w:r>
          </w:p>
          <w:p>
            <w:pPr>
              <w:pStyle w:val="FootnoteText"/>
              <w:keepLines/>
              <w:rPr/>
            </w:pPr>
            <w:r>
              <w:rPr/>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7"/>
              </w:numPr>
              <w:tabs>
                <w:tab w:val="clear" w:pos="720"/>
                <w:tab w:val="left" w:pos="252" w:leader="none"/>
              </w:tabs>
              <w:snapToGrid w:val="false"/>
              <w:spacing w:before="60" w:after="60"/>
              <w:ind w:hanging="252" w:start="252" w:end="0"/>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napToGrid w:val="false"/>
              <w:spacing w:before="60" w:after="60"/>
              <w:ind w:firstLine="72" w:start="0" w:end="0"/>
              <w:rPr/>
            </w:pPr>
            <w:r>
              <w:rPr>
                <w:sz w:val="18"/>
              </w:rPr>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p>
            <w:pPr>
              <w:pStyle w:val="FootnoteText"/>
              <w:keepLines/>
              <w:rPr/>
            </w:pPr>
            <w:r>
              <w:rPr/>
            </w:r>
          </w:p>
          <w:p>
            <w:pPr>
              <w:pStyle w:val="FootnoteText"/>
              <w:keepLines/>
              <w:rPr/>
            </w:pPr>
            <w:r>
              <w:rPr/>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5"/>
              </w:numPr>
              <w:tabs>
                <w:tab w:val="clear" w:pos="720"/>
                <w:tab w:val="left" w:pos="252" w:leader="none"/>
              </w:tabs>
              <w:snapToGrid w:val="false"/>
              <w:spacing w:before="60" w:after="60"/>
              <w:ind w:hanging="252" w:start="252" w:end="0"/>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napToGrid w:val="false"/>
              <w:spacing w:before="60" w:after="60"/>
              <w:ind w:firstLine="72" w:start="0" w:end="0"/>
              <w:rPr/>
            </w:pPr>
            <w:r>
              <w:rPr>
                <w:sz w:val="18"/>
              </w:rPr>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p>
            <w:pPr>
              <w:pStyle w:val="FootnoteText"/>
              <w:keepLines/>
              <w:rPr/>
            </w:pPr>
            <w:r>
              <w:rPr/>
            </w:r>
          </w:p>
          <w:p>
            <w:pPr>
              <w:pStyle w:val="FootnoteText"/>
              <w:keepLines/>
              <w:rPr/>
            </w:pPr>
            <w:r>
              <w:rPr/>
            </w:r>
          </w:p>
          <w:p>
            <w:pPr>
              <w:pStyle w:val="FootnoteText"/>
              <w:keepLines/>
              <w:rPr/>
            </w:pPr>
            <w:r>
              <w:rPr/>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2"/>
              </w:numPr>
              <w:tabs>
                <w:tab w:val="clear" w:pos="720"/>
                <w:tab w:val="left" w:pos="252" w:leader="none"/>
              </w:tabs>
              <w:snapToGrid w:val="false"/>
              <w:spacing w:before="60" w:after="60"/>
              <w:ind w:hanging="252" w:start="252" w:end="0"/>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napToGrid w:val="false"/>
              <w:spacing w:before="60" w:after="60"/>
              <w:ind w:firstLine="72" w:start="0" w:end="0"/>
              <w:rPr/>
            </w:pPr>
            <w:r>
              <w:rPr>
                <w:sz w:val="18"/>
              </w:rPr>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p>
            <w:pPr>
              <w:pStyle w:val="FootnoteText"/>
              <w:keepLines/>
              <w:rPr/>
            </w:pPr>
            <w:r>
              <w:rPr/>
            </w:r>
          </w:p>
          <w:p>
            <w:pPr>
              <w:pStyle w:val="FootnoteText"/>
              <w:keepLines/>
              <w:rPr/>
            </w:pPr>
            <w:r>
              <w:rPr/>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7"/>
              </w:numPr>
              <w:tabs>
                <w:tab w:val="clear" w:pos="720"/>
                <w:tab w:val="left" w:pos="252" w:leader="none"/>
              </w:tabs>
              <w:snapToGrid w:val="false"/>
              <w:spacing w:before="60" w:after="60"/>
              <w:ind w:hanging="252" w:start="252" w:end="0"/>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r>
        <w:trPr/>
        <w:tc>
          <w:tcPr>
            <w:tcW w:w="207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3"/>
              </w:numPr>
              <w:tabs>
                <w:tab w:val="clear" w:pos="720"/>
                <w:tab w:val="left" w:pos="342" w:leader="none"/>
              </w:tabs>
              <w:snapToGrid w:val="false"/>
              <w:spacing w:before="60" w:after="60"/>
              <w:ind w:hanging="270" w:start="342" w:end="0"/>
              <w:rPr/>
            </w:pPr>
            <w:r>
              <w:rPr>
                <w:sz w:val="18"/>
              </w:rPr>
            </w:r>
          </w:p>
        </w:tc>
        <w:tc>
          <w:tcPr>
            <w:tcW w:w="675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p>
            <w:pPr>
              <w:pStyle w:val="FootnoteText"/>
              <w:keepLines/>
              <w:rPr/>
            </w:pPr>
            <w:r>
              <w:rPr/>
            </w:r>
          </w:p>
          <w:p>
            <w:pPr>
              <w:pStyle w:val="FootnoteText"/>
              <w:keepLines/>
              <w:rPr/>
            </w:pPr>
            <w:r>
              <w:rPr/>
            </w:r>
          </w:p>
          <w:p>
            <w:pPr>
              <w:pStyle w:val="FootnoteText"/>
              <w:keepLines/>
              <w:spacing w:before="60" w:after="6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FootnoteText"/>
              <w:keepLines/>
              <w:numPr>
                <w:ilvl w:val="0"/>
                <w:numId w:val="7"/>
              </w:numPr>
              <w:tabs>
                <w:tab w:val="clear" w:pos="720"/>
                <w:tab w:val="left" w:pos="252" w:leader="none"/>
              </w:tabs>
              <w:snapToGrid w:val="false"/>
              <w:spacing w:before="60" w:after="60"/>
              <w:ind w:hanging="252" w:start="252" w:end="0"/>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Lines/>
              <w:snapToGrid w:val="false"/>
              <w:spacing w:before="60" w:after="60"/>
              <w:jc w:val="center"/>
              <w:rPr/>
            </w:pPr>
            <w:r>
              <w:rPr/>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/mnt/main-storage/datasets/enron-docs/doc/ESA_Legal_Risk_Memo_Reformat.doc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/mnt/main-storage/datasets/enron-docs/doc/ESA_Legal_Risk_Memo_Reformat.doc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60" w:after="60"/>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spacing w:before="60" w:after="60"/>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March 9, 2001)</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rFonts w:ascii="Symbol" w:hAnsi="Symbol" w:cs="Symbol"/>
    </w:rPr>
  </w:style>
  <w:style w:type="character" w:styleId="WW8Num30z0">
    <w:name w:val="WW8Num30z0"/>
    <w:qFormat/>
    <w:rPr>
      <w:rFonts w:ascii="Arial" w:hAnsi="Arial" w:cs="Arial"/>
      <w:sz w:val="22"/>
    </w:rPr>
  </w:style>
  <w:style w:type="character" w:styleId="WW8Num35z0">
    <w:name w:val="WW8Num35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2z0">
    <w:name w:val="WW8Num42z0"/>
    <w:qFormat/>
    <w:rPr/>
  </w:style>
  <w:style w:type="character" w:styleId="WW8Num47z0">
    <w:name w:val="WW8Num47z0"/>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pPr>
    <w:rPr>
      <w:sz w:val="18"/>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4"/>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2001-03-09T16:34:00Z</dcterms:created>
  <dc:creator>Brenda Whitehead</dc:creator>
  <dc:description/>
  <dc:language>en-CA</dc:language>
  <cp:lastModifiedBy>edaniel2</cp:lastModifiedBy>
  <cp:lastPrinted>2001-03-09T10:27:00Z</cp:lastPrinted>
  <dcterms:modified xsi:type="dcterms:W3CDTF">2001-03-09T20:31:00Z</dcterms:modified>
  <cp:revision>3</cp:revision>
  <dc:subject/>
  <dc:title>COUNTERPARTY</dc:title>
</cp:coreProperties>
</file>