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Heading"/>
        <w:rPr/>
      </w:pPr>
      <w:r>
        <w:rPr/>
        <w:t>ASSIGNMENT AND ASSUMPTION AGREEMENT</w:t>
      </w:r>
    </w:p>
    <w:p>
      <w:pPr>
        <w:pStyle w:val="CenteredHeading"/>
        <w:rPr/>
      </w:pPr>
      <w:r>
        <w:rPr/>
      </w:r>
    </w:p>
    <w:p>
      <w:pPr>
        <w:pStyle w:val="WSBody-Just-51stLnIndnt"/>
        <w:rPr/>
      </w:pPr>
      <w:r>
        <w:rPr/>
        <w:t>This ASSIGNMENT AND ASSUMPTION AGREEMENT (this "</w:t>
      </w:r>
      <w:r>
        <w:rPr>
          <w:u w:val="single"/>
        </w:rPr>
        <w:t>Agreement</w:t>
      </w:r>
      <w:r>
        <w:rPr/>
        <w:t>"), dated as of December 19, 2000, is between ENRON SOUTH AMERICA TURBINE, LLC, a Delaware limited liability company (“</w:t>
      </w:r>
      <w:r>
        <w:rPr>
          <w:u w:val="single"/>
        </w:rPr>
        <w:t>ESAT</w:t>
      </w:r>
      <w:r>
        <w:rPr/>
        <w:t>”), and ENRON BRAZIL POWER HOLDINGS XVIII LTD., a Cayman company (“</w:t>
      </w:r>
      <w:r>
        <w:rPr>
          <w:u w:val="single"/>
        </w:rPr>
        <w:t>EBPH</w:t>
      </w:r>
      <w:r>
        <w:rPr/>
        <w:t>”).  Capitalized terms not otherwise defined herein are used herein as defined in the CAA (as defined below).</w:t>
      </w:r>
    </w:p>
    <w:p>
      <w:pPr>
        <w:pStyle w:val="CenteredHeading"/>
        <w:rPr/>
      </w:pPr>
      <w:r>
        <w:rPr/>
        <w:t>R E C I T A L S</w:t>
      </w:r>
    </w:p>
    <w:p>
      <w:pPr>
        <w:pStyle w:val="WSBody-Just-51stLnIndnt"/>
        <w:rPr/>
      </w:pPr>
      <w:r>
        <w:rPr/>
        <w:t>WHEREAS, ESAT, Brazilian Power Development Trust, a Delaware business trust (the “</w:t>
      </w:r>
      <w:r>
        <w:rPr>
          <w:u w:val="single"/>
        </w:rPr>
        <w:t>Owner Trust</w:t>
      </w:r>
      <w:r>
        <w:rPr/>
        <w:t>”), and Wilmington Trust Company, in its individual capacity but only to the extent expressly provided for therein, entered into a Construction Agency Agreement dated as of November 10, 2000 (the “</w:t>
      </w:r>
      <w:r>
        <w:rPr>
          <w:u w:val="single"/>
        </w:rPr>
        <w:t>CAA</w:t>
      </w:r>
      <w:r>
        <w:rPr/>
        <w:t>”), pursuant to which Owner Trust designated and appointed ESAT as its agent with respect to the Project referred to therein (which Project includes the Property and the Amended and Restated MHI Turbine Contracts referred to below);</w:t>
      </w:r>
    </w:p>
    <w:p>
      <w:pPr>
        <w:pStyle w:val="WSBody-Just-51stLnIndnt"/>
        <w:rPr/>
      </w:pPr>
      <w:r>
        <w:rPr/>
        <w:t xml:space="preserve">WHEREAS, pursuant to the Authorization of Holding SPVs and SPV Owners, dated December 19, 2000, substantially in the form attached as </w:t>
      </w:r>
      <w:r>
        <w:rPr>
          <w:u w:val="single"/>
        </w:rPr>
        <w:t>Exhibit K</w:t>
      </w:r>
      <w:r>
        <w:rPr/>
        <w:t xml:space="preserve"> to the CAA, each of Enron Brazil Turbine I Ltd. and Enron Brazil Turbine II Ltd., each a Cayman company and a wholly-owned subsidiary of Owner Trust (“</w:t>
      </w:r>
      <w:r>
        <w:rPr>
          <w:u w:val="single"/>
        </w:rPr>
        <w:t>Turbine I Ltd.</w:t>
      </w:r>
      <w:r>
        <w:rPr/>
        <w:t>” and “</w:t>
      </w:r>
      <w:r>
        <w:rPr>
          <w:u w:val="single"/>
        </w:rPr>
        <w:t>Turbine II Ltd.</w:t>
      </w:r>
      <w:r>
        <w:rPr/>
        <w:t>”, respectively), designated and appointed ESAT as its agent with respect to such Project;</w:t>
      </w:r>
    </w:p>
    <w:p>
      <w:pPr>
        <w:pStyle w:val="WSBody-Just-51stLnIndnt"/>
        <w:rPr/>
      </w:pPr>
      <w:r>
        <w:rPr/>
        <w:t>WHEREAS, Westdeutsche Landesbank Girozentrale, New York Branch (“</w:t>
      </w:r>
      <w:r>
        <w:rPr>
          <w:u w:val="single"/>
        </w:rPr>
        <w:t>WestLB</w:t>
      </w:r>
      <w:r>
        <w:rPr/>
        <w:t>”), EBPH, (as agent for WestLB pursuant to the Amended and Restated Acquisition and Development Agreement, dated as of July 19, 2000 (the “</w:t>
      </w:r>
      <w:r>
        <w:rPr>
          <w:u w:val="single"/>
        </w:rPr>
        <w:t>ADA</w:t>
      </w:r>
      <w:r>
        <w:rPr/>
        <w:t>”), between WestLB and EBPH, as assignee of ESAT) and Mitsubishi Heavy Industries, Ltd., a Japanese corporation ("</w:t>
      </w:r>
      <w:r>
        <w:rPr>
          <w:u w:val="single"/>
        </w:rPr>
        <w:t>MHI</w:t>
      </w:r>
      <w:r>
        <w:rPr/>
        <w:t>"), executed and delivered the Purchase Agreement, dated as of March 8, 2000, with respect to certain to-be-built gas turbine generator packages and related ancillary equipment described therein, as amended by the Option Exercise and Amendment, dated July 19, 2000, among MHI, WestLB and EBPH (as so amended and as in effect on the date hereof, the "</w:t>
      </w:r>
      <w:r>
        <w:rPr>
          <w:u w:val="single"/>
        </w:rPr>
        <w:t>Original MHI Turbine Contract</w:t>
      </w:r>
      <w:r>
        <w:rPr/>
        <w:t>”);</w:t>
      </w:r>
    </w:p>
    <w:p>
      <w:pPr>
        <w:pStyle w:val="WSBody-Just-51stLnIndnt"/>
        <w:rPr/>
      </w:pPr>
      <w:r>
        <w:rPr/>
        <w:t>WHEREAS, EBPH, Owner Trust, WestLB and Turbine I Ltd. entered into a Purchase Option Assignment and Assumption Agreement, dated as of December 19, 2000 (the “</w:t>
      </w:r>
      <w:r>
        <w:rPr>
          <w:u w:val="single"/>
        </w:rPr>
        <w:t>Turbine I Purchase Agreement</w:t>
      </w:r>
      <w:r>
        <w:rPr/>
        <w:t>”), pursuant to which EBPH designated Turbine I Ltd. as its Designee under (and as defined in) the ADA for purposes of acquiring the Assigned Equipment and Assigned Contract Rights referred to therein relating to the Original MHI Turbine Contract (the “</w:t>
      </w:r>
      <w:r>
        <w:rPr>
          <w:u w:val="single"/>
        </w:rPr>
        <w:t>Turbine I Property</w:t>
      </w:r>
      <w:r>
        <w:rPr/>
        <w:t>”);</w:t>
      </w:r>
    </w:p>
    <w:p>
      <w:pPr>
        <w:pStyle w:val="WSBody-Just-51stLnIndnt"/>
        <w:rPr/>
      </w:pPr>
      <w:r>
        <w:rPr/>
        <w:t>WHEREAS, EBPH, Owner Trust, WestLB and Turbine II Ltd. entered into a Purchase Option Assignment and Assumption Agreement, dated as of December 19, 2000 (the “</w:t>
      </w:r>
      <w:r>
        <w:rPr>
          <w:u w:val="single"/>
        </w:rPr>
        <w:t>Turbine II Purchase Agreement</w:t>
      </w:r>
      <w:r>
        <w:rPr/>
        <w:t>”), pursuant to which EBPH designated Turbine II Ltd. as its Designee under (and as defined in) the ADA for purposes of acquiring the Assigned Equipment and Assigned Contract Rights referred to therein relating to the Original MHI Turbine Contract (the “</w:t>
      </w:r>
      <w:r>
        <w:rPr>
          <w:u w:val="single"/>
        </w:rPr>
        <w:t>Turbine II Property</w:t>
      </w:r>
      <w:r>
        <w:rPr/>
        <w:t>”);</w:t>
      </w:r>
    </w:p>
    <w:p>
      <w:pPr>
        <w:pStyle w:val="WSBody-Just-51stLnIndnt"/>
        <w:rPr/>
      </w:pPr>
      <w:r>
        <w:rPr/>
        <w:t>WHEREAS, pursuant to the Turbine I Purchase Agreement, Turbine I Ltd. acquired all of WestLB’s right, title and interest in, to and under the Turbine I Property;</w:t>
      </w:r>
    </w:p>
    <w:p>
      <w:pPr>
        <w:pStyle w:val="WSBody-Just-51stLnIndnt"/>
        <w:rPr/>
      </w:pPr>
      <w:r>
        <w:rPr/>
        <w:t>WHEREAS, pursuant to the Turbine II Purchase Agreement, Turbine II Ltd. acquired all of WestLB’s right, title and interest in, to and under the Turbine II Property;</w:t>
      </w:r>
    </w:p>
    <w:p>
      <w:pPr>
        <w:pStyle w:val="WSBody-Just-51stLnIndnt"/>
        <w:rPr/>
      </w:pPr>
      <w:r>
        <w:rPr/>
        <w:t>WHEREAS, in accordance with the CAA, ESAT desires to assign to EBPH its rights and obligations under the CAA with respect to the Turbine I Property and the Turbine II Property (collectively, the “</w:t>
      </w:r>
      <w:r>
        <w:rPr>
          <w:u w:val="single"/>
        </w:rPr>
        <w:t>Property</w:t>
      </w:r>
      <w:r>
        <w:rPr/>
        <w:t>”) and the Amended and Restated MHI Turbine Contracts (as defined below); and</w:t>
      </w:r>
    </w:p>
    <w:p>
      <w:pPr>
        <w:pStyle w:val="WSBody-Just-51stLnIndnt"/>
        <w:rPr/>
      </w:pPr>
      <w:r>
        <w:rPr/>
        <w:t>WHEREAS, MHI and EBPH, as assignee of ESAT hereunder and in its capacity as agent for Owner Trust, desire to amend and restate the Original MHI Turbine Contract by executing and delivering two Amended and Restated Purchase Agreements covering the Property (collectively, the “</w:t>
      </w:r>
      <w:r>
        <w:rPr>
          <w:u w:val="single"/>
        </w:rPr>
        <w:t>Amended and Restated MHI Turbine Contracts</w:t>
      </w:r>
      <w:r>
        <w:rPr/>
        <w:t>”).</w:t>
      </w:r>
    </w:p>
    <w:p>
      <w:pPr>
        <w:pStyle w:val="WSBody-Just-51stLnIndnt"/>
        <w:rPr/>
      </w:pPr>
      <w:r>
        <w:rPr/>
      </w:r>
    </w:p>
    <w:p>
      <w:pPr>
        <w:pStyle w:val="CenteredText"/>
        <w:rPr/>
      </w:pPr>
      <w:r>
        <w:rPr/>
        <w:t>A G R E E M E N T S</w:t>
      </w:r>
    </w:p>
    <w:p>
      <w:pPr>
        <w:pStyle w:val="WSBody-Just-51stLnIndnt"/>
        <w:rPr/>
      </w:pPr>
      <w:r>
        <w:rPr/>
        <w:t>NOW, THEREFORE, in consideration of the recitals and the mutual promises, covenants and agreements contained herein and for other good and valuable consideration, the receipt and sufficiency of which are hereby acknowledged, the parties hereto hereby agree as follows:</w:t>
      </w:r>
    </w:p>
    <w:p>
      <w:pPr>
        <w:pStyle w:val="WSBodyStand-Just-11stLnIndnt"/>
        <w:rPr/>
      </w:pPr>
      <w:r>
        <w:rPr/>
        <w:t>1.</w:t>
        <w:tab/>
      </w:r>
      <w:r>
        <w:rPr>
          <w:u w:val="single"/>
        </w:rPr>
        <w:t>Assignment</w:t>
      </w:r>
      <w:r>
        <w:rPr/>
        <w:t xml:space="preserve">. Effective as of the date hereof, pursuant to </w:t>
      </w:r>
      <w:r>
        <w:rPr>
          <w:u w:val="single"/>
        </w:rPr>
        <w:t>Section 14.3(b)</w:t>
      </w:r>
      <w:r>
        <w:rPr/>
        <w:t xml:space="preserve"> of the CAA, ESAT hereby assigns to EBPH all of ESAT's rights and obligations under the CAA with respect to the Property and the Amended and Restated MHI Turbine Contracts.</w:t>
      </w:r>
    </w:p>
    <w:p>
      <w:pPr>
        <w:pStyle w:val="WSBodyStand-Just-11stLnIndnt"/>
        <w:rPr/>
      </w:pPr>
      <w:r>
        <w:rPr/>
        <w:t>2.</w:t>
        <w:tab/>
      </w:r>
      <w:r>
        <w:rPr>
          <w:u w:val="single"/>
        </w:rPr>
        <w:t>Assumption</w:t>
      </w:r>
      <w:r>
        <w:rPr/>
        <w:t>. EBPH hereby expressly accepts the assignment set forth above and hereby assumes all of ESAT’s obligations and contractual commitments under the CAA with respect to the Property and the Amended and Restated MHI Turbine Contracts (including, without limitation, the obligation to repay any and all amounts outstanding under the CAA in respect of the Amended and Restated MHI Turbine Contracts and the right to acquire the Amended and Restated MHI Turbine Contracts and the equipment thereunder pursuant to the CAA).</w:t>
      </w:r>
    </w:p>
    <w:p>
      <w:pPr>
        <w:pStyle w:val="WSBodyStand-Just-11stLnIndnt"/>
        <w:rPr/>
      </w:pPr>
      <w:r>
        <w:rPr/>
        <w:t>3.</w:t>
        <w:tab/>
      </w:r>
      <w:r>
        <w:rPr>
          <w:u w:val="single"/>
        </w:rPr>
        <w:t>Service of Process</w:t>
      </w:r>
      <w:r>
        <w:rPr/>
        <w:t xml:space="preserve">.  Pursuant to </w:t>
      </w:r>
      <w:r>
        <w:rPr>
          <w:u w:val="single"/>
        </w:rPr>
        <w:t>Section 14.3(b)</w:t>
      </w:r>
      <w:r>
        <w:rPr/>
        <w:t xml:space="preserve"> of the CAA, EBPH hereby agrees that service of process may be made on EBPH at the address of the Guarantor in the manner as provided for in the Guaranty (including, without limitation, the obligation to repay any and all amounts outstanding under the CAA in respect of the Amended and Restated MHI Turbine Contracts and the right to acquire the Amended and Restated MHI Turbine Contracts and the equipment thereunder pursuant to the CAA).</w:t>
      </w:r>
    </w:p>
    <w:p>
      <w:pPr>
        <w:pStyle w:val="WSBodyStand-Just-11stLnIndnt"/>
        <w:rPr/>
      </w:pPr>
      <w:r>
        <w:rPr/>
        <w:t>4.</w:t>
        <w:tab/>
      </w:r>
      <w:r>
        <w:rPr>
          <w:u w:val="single"/>
        </w:rPr>
        <w:t>Termination of Prior Agency Relationship</w:t>
      </w:r>
      <w:r>
        <w:rPr/>
        <w:t>.  Each of ESAT and EBPH acknowledges and agrees that effective upon the occurrence of the Purchase Option Closing Date (as defined in each of the Turbine I Purchase Agreement and the Turbine II Purchase Agreement), the letter agreement, dated July 19, 2000, between ESAT and EBPH (pursuant to which ESAT assigned its rights and obligations under the ADA and Cash Collateral Agreement (as defined therein) to EBPH), is terminated and of no further force or effect.</w:t>
      </w:r>
    </w:p>
    <w:p>
      <w:pPr>
        <w:pStyle w:val="WSBodyStand-Just-11stLnIndnt"/>
        <w:rPr/>
      </w:pPr>
      <w:r>
        <w:rPr/>
        <w:t>5.</w:t>
        <w:tab/>
      </w:r>
      <w:r>
        <w:rPr>
          <w:u w:val="single"/>
        </w:rPr>
        <w:t>Binding Effect: Purposes</w:t>
      </w:r>
      <w:r>
        <w:rPr/>
        <w:t>.  This Agreement shall inure to the benefit of and shall be binding upon ESAT, EBPH and their respective successors and assigns.</w:t>
      </w:r>
    </w:p>
    <w:p>
      <w:pPr>
        <w:pStyle w:val="WSBodyStand-Just-11stLnIndnt"/>
        <w:rPr/>
      </w:pPr>
      <w:r>
        <w:rPr/>
        <w:t>6.</w:t>
        <w:tab/>
      </w:r>
      <w:r>
        <w:rPr>
          <w:u w:val="single"/>
        </w:rPr>
        <w:t>Counterpart Execution</w:t>
      </w:r>
      <w:r>
        <w:rPr/>
        <w:t>.  This Agreement may be executed in counterparts, each of which shall be fully effective as an original and all of which together shall constitute one and the same instrument.</w:t>
      </w:r>
    </w:p>
    <w:p>
      <w:pPr>
        <w:pStyle w:val="WSBodyStand-Just-11stLnIndnt"/>
        <w:rPr/>
      </w:pPr>
      <w:r>
        <w:rPr/>
        <w:t>7.</w:t>
        <w:tab/>
      </w:r>
      <w:r>
        <w:rPr>
          <w:u w:val="single"/>
        </w:rPr>
        <w:t>Governing Law</w:t>
      </w:r>
      <w:r>
        <w:rPr/>
        <w:t>.  This agreement shall be interpreted and construed under the laws of the State of New York, excluding any conflict-of-law or choice-of-law rules which might lead to the application of the internal laws of another jurisdiction.</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enteredText"/>
        <w:rPr/>
      </w:pPr>
      <w:r>
        <w:rPr/>
        <w:t>[signature page follows]</w:t>
      </w:r>
    </w:p>
    <w:p>
      <w:pPr>
        <w:pStyle w:val="WSBodyStand-Just-11stLnIndnt"/>
        <w:rPr/>
      </w:pPr>
      <w:r>
        <w:rPr/>
        <w:t>IN WITNESS WHEREOF, this Assignment and Assumption Agreement has been duly executed by the parties hereto as of the date first above written.</w:t>
      </w:r>
    </w:p>
    <w:p>
      <w:pPr>
        <w:pStyle w:val="WSBodyStand-Just-11stLnIndnt"/>
        <w:rPr/>
      </w:pPr>
      <w:r>
        <w:rPr/>
      </w:r>
    </w:p>
    <w:p>
      <w:pPr>
        <w:pStyle w:val="WSSignature-35LftIndnt-RghtTab"/>
        <w:rPr/>
      </w:pPr>
      <w:r>
        <w:rPr/>
        <w:t>ENRON BRAZIL POWER HOLDINGS XVIII LTD.</w:t>
        <w:br/>
      </w:r>
    </w:p>
    <w:p>
      <w:pPr>
        <w:pStyle w:val="WSSignature-35LftIndnt-RghtTab"/>
        <w:tabs>
          <w:tab w:val="left" w:pos="5400" w:leader="none"/>
          <w:tab w:val="right" w:pos="9360" w:leader="underscore"/>
        </w:tabs>
        <w:rPr/>
      </w:pPr>
      <w:r>
        <w:rPr/>
        <w:t>By:</w:t>
        <w:tab/>
        <w:tab/>
        <w:br/>
        <w:t>Name:</w:t>
        <w:tab/>
        <w:br/>
        <w:t>Its:</w:t>
      </w:r>
    </w:p>
    <w:p>
      <w:pPr>
        <w:pStyle w:val="WSSignature-35LftIndnt-RghtTab"/>
        <w:rPr/>
      </w:pPr>
      <w:r>
        <w:rPr/>
      </w:r>
    </w:p>
    <w:p>
      <w:pPr>
        <w:pStyle w:val="WSSignature-35LftIndnt-RghtTab"/>
        <w:rPr/>
      </w:pPr>
      <w:r>
        <w:rPr/>
        <w:t>ENRON SOUTH AMERICA TURBINE, LLC</w:t>
        <w:br/>
      </w:r>
    </w:p>
    <w:p>
      <w:pPr>
        <w:pStyle w:val="WSSignature-35LftIndnt-RghtTab"/>
        <w:tabs>
          <w:tab w:val="left" w:pos="5400" w:leader="none"/>
          <w:tab w:val="right" w:pos="9360" w:leader="underscore"/>
        </w:tabs>
        <w:rPr/>
      </w:pPr>
      <w:r>
        <w:rPr/>
        <w:t>By:</w:t>
        <w:tab/>
        <w:tab/>
        <w:br/>
        <w:t>Name:</w:t>
        <w:tab/>
        <w:br/>
        <w:t>Its:</w:t>
      </w:r>
    </w:p>
    <w:p>
      <w:pPr>
        <w:pStyle w:val="WSSignature-35LftIndnt-RghtTab"/>
        <w:spacing w:before="0" w:after="240"/>
        <w:ind w:hanging="0" w:start="5040" w:end="0"/>
        <w:rPr/>
      </w:pPr>
      <w:r>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align>bottom</wp:align>
              </wp:positionV>
              <wp:extent cx="668020" cy="365760"/>
              <wp:effectExtent l="0" t="0" r="0" b="0"/>
              <wp:wrapSquare wrapText="bothSides"/>
              <wp:docPr id="1" name="Frame2"/>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HOU:593877.3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HOU:593877.3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668020" cy="365760"/>
              <wp:effectExtent l="0" t="0" r="0" b="0"/>
              <wp:wrapSquare wrapText="bothSides"/>
              <wp:docPr id="2"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HOU:593877.3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HOU:593877.3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686435" cy="365760"/>
              <wp:effectExtent l="0" t="0" r="0" b="0"/>
              <wp:wrapSquare wrapText="bothSides"/>
              <wp:docPr id="3" name="Frame4"/>
              <a:graphic xmlns:a="http://schemas.openxmlformats.org/drawingml/2006/main">
                <a:graphicData uri="http://schemas.microsoft.com/office/word/2010/wordprocessingShape">
                  <wps:wsp>
                    <wps:cNvSpPr txBox="1"/>
                    <wps:spPr>
                      <a:xfrm>
                        <a:off x="0" y="0"/>
                        <a:ext cx="686435" cy="36576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HOU:593877.3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4.05pt;height:28.8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HOU:593877.3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align>bottom</wp:align>
              </wp:positionV>
              <wp:extent cx="668020" cy="365760"/>
              <wp:effectExtent l="0" t="0" r="0" b="0"/>
              <wp:wrapSquare wrapText="bothSides"/>
              <wp:docPr id="4" name="Frame3"/>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HOU:593877.3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HOU:593877.3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EXECUTION COPY</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0" w:after="240"/>
      <w:jc w:val="center"/>
      <w:outlineLvl w:val="0"/>
    </w:pPr>
    <w:rPr>
      <w:b/>
      <w:sz w:val="32"/>
    </w:rPr>
  </w:style>
  <w:style w:type="paragraph" w:styleId="Heading2">
    <w:name w:val="heading 2"/>
    <w:basedOn w:val="Normal"/>
    <w:next w:val="Normal"/>
    <w:qFormat/>
    <w:pPr>
      <w:keepNext w:val="true"/>
      <w:numPr>
        <w:ilvl w:val="1"/>
        <w:numId w:val="1"/>
      </w:numPr>
      <w:spacing w:before="0" w:after="240"/>
      <w:outlineLvl w:val="1"/>
    </w:pPr>
    <w:rPr>
      <w:b/>
      <w:i/>
      <w:sz w:val="28"/>
    </w:rPr>
  </w:style>
  <w:style w:type="paragraph" w:styleId="Heading3">
    <w:name w:val="heading 3"/>
    <w:basedOn w:val="Normal"/>
    <w:next w:val="Normal"/>
    <w:qFormat/>
    <w:pPr>
      <w:keepNext w:val="true"/>
      <w:numPr>
        <w:ilvl w:val="2"/>
        <w:numId w:val="1"/>
      </w:numPr>
      <w:spacing w:before="0" w:after="240"/>
      <w:outlineLvl w:val="2"/>
    </w:pPr>
    <w:rPr>
      <w:sz w:val="24"/>
    </w:rPr>
  </w:style>
  <w:style w:type="paragraph" w:styleId="Heading4">
    <w:name w:val="heading 4"/>
    <w:basedOn w:val="Normal"/>
    <w:next w:val="Normal"/>
    <w:qFormat/>
    <w:pPr>
      <w:keepNext w:val="true"/>
      <w:numPr>
        <w:ilvl w:val="3"/>
        <w:numId w:val="1"/>
      </w:numPr>
      <w:spacing w:before="0" w:after="240"/>
      <w:ind w:hanging="0" w:start="720" w:end="0"/>
      <w:outlineLvl w:val="3"/>
    </w:pPr>
    <w:rPr>
      <w:b/>
      <w:sz w:val="24"/>
    </w:rPr>
  </w:style>
  <w:style w:type="paragraph" w:styleId="Heading5">
    <w:name w:val="heading 5"/>
    <w:basedOn w:val="Normal"/>
    <w:next w:val="Normal"/>
    <w:qFormat/>
    <w:pPr>
      <w:numPr>
        <w:ilvl w:val="4"/>
        <w:numId w:val="1"/>
      </w:numPr>
      <w:spacing w:before="0" w:after="240"/>
      <w:ind w:hanging="0" w:start="720" w:end="0"/>
      <w:outlineLvl w:val="4"/>
    </w:pPr>
    <w:rPr>
      <w:i/>
      <w:sz w:val="24"/>
    </w:rPr>
  </w:style>
  <w:style w:type="paragraph" w:styleId="Heading6">
    <w:name w:val="heading 6"/>
    <w:basedOn w:val="Normal"/>
    <w:next w:val="Normal"/>
    <w:qFormat/>
    <w:pPr>
      <w:numPr>
        <w:ilvl w:val="5"/>
        <w:numId w:val="1"/>
      </w:numPr>
      <w:spacing w:before="0" w:after="240"/>
      <w:outlineLvl w:val="5"/>
    </w:pPr>
    <w:rPr>
      <w:b/>
    </w:rPr>
  </w:style>
  <w:style w:type="paragraph" w:styleId="Heading7">
    <w:name w:val="heading 7"/>
    <w:basedOn w:val="Normal"/>
    <w:next w:val="Normal"/>
    <w:qFormat/>
    <w:pPr>
      <w:numPr>
        <w:ilvl w:val="6"/>
        <w:numId w:val="1"/>
      </w:numPr>
      <w:spacing w:before="0" w:after="240"/>
      <w:outlineLvl w:val="6"/>
    </w:pPr>
    <w:rPr>
      <w:b/>
      <w:i/>
    </w:rPr>
  </w:style>
  <w:style w:type="paragraph" w:styleId="Heading8">
    <w:name w:val="heading 8"/>
    <w:basedOn w:val="Normal"/>
    <w:next w:val="Normal"/>
    <w:qFormat/>
    <w:pPr>
      <w:numPr>
        <w:ilvl w:val="7"/>
        <w:numId w:val="1"/>
      </w:numPr>
      <w:spacing w:before="0" w:after="240"/>
      <w:outlineLvl w:val="7"/>
    </w:pPr>
    <w:rPr>
      <w:i/>
    </w:rPr>
  </w:style>
  <w:style w:type="paragraph" w:styleId="Heading9">
    <w:name w:val="heading 9"/>
    <w:basedOn w:val="Normal"/>
    <w:next w:val="Normal"/>
    <w:qFormat/>
    <w:pPr>
      <w:numPr>
        <w:ilvl w:val="8"/>
        <w:numId w:val="1"/>
      </w:numPr>
      <w:spacing w:before="0" w:after="240"/>
      <w:outlineLvl w:val="8"/>
    </w:pPr>
    <w:rPr/>
  </w:style>
  <w:style w:type="character" w:styleId="DefaultParagraphFont">
    <w:name w:val="Default Paragraph Font"/>
    <w:qFormat/>
    <w:rPr/>
  </w:style>
  <w:style w:type="character" w:styleId="PageNumber">
    <w:name w:val="page number"/>
    <w:basedOn w:val="DefaultParagraphFont"/>
    <w:rPr/>
  </w:style>
  <w:style w:type="character" w:styleId="ParaNum">
    <w:name w:val="ParaNum"/>
    <w:basedOn w:val="DefaultParagraphFont"/>
    <w:qFormat/>
    <w:rPr>
      <w:b w:val="false"/>
      <w:i w:val="false"/>
      <w:vanish w:val="false"/>
      <w:u w:val="none"/>
    </w:rPr>
  </w:style>
  <w:style w:type="character" w:styleId="DocID">
    <w:name w:val="DocID"/>
    <w:basedOn w:val="DefaultParagraphFont"/>
    <w:qFormat/>
    <w:rPr>
      <w:sz w:val="12"/>
    </w:rPr>
  </w:style>
  <w:style w:type="paragraph" w:styleId="Heading">
    <w:name w:val="Heading"/>
    <w:basedOn w:val="Normal"/>
    <w:next w:val="BodyTextFirstIndent"/>
    <w:qFormat/>
    <w:pPr>
      <w:spacing w:before="0" w:after="240"/>
      <w:jc w:val="center"/>
    </w:pPr>
    <w:rPr>
      <w:b/>
      <w:sz w:val="24"/>
    </w:rPr>
  </w:style>
  <w:style w:type="paragraph" w:styleId="BodyText">
    <w:name w:val="Body Text"/>
    <w:basedOn w:val="Normal"/>
    <w:pPr>
      <w:spacing w:before="0" w:after="24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ind w:firstLine="720" w:start="0" w:end="0"/>
    </w:pPr>
    <w:rPr/>
  </w:style>
  <w:style w:type="paragraph" w:styleId="BodyText2">
    <w:name w:val="Body Text 2"/>
    <w:basedOn w:val="Normal"/>
    <w:qFormat/>
    <w:pPr>
      <w:spacing w:lineRule="auto" w:line="480"/>
      <w:jc w:val="both"/>
    </w:pPr>
    <w:rPr>
      <w:sz w:val="24"/>
    </w:rPr>
  </w:style>
  <w:style w:type="paragraph" w:styleId="BodyTextIndent">
    <w:name w:val="Body Text Indent"/>
    <w:basedOn w:val="Normal"/>
    <w:pPr>
      <w:spacing w:before="0" w:after="240"/>
      <w:ind w:hanging="0" w:start="720" w:end="0"/>
      <w:jc w:val="both"/>
    </w:pPr>
    <w:rPr>
      <w:sz w:val="24"/>
    </w:rPr>
  </w:style>
  <w:style w:type="paragraph" w:styleId="BodyTextFirstIndent2">
    <w:name w:val="Body Text First Indent 2"/>
    <w:basedOn w:val="BodyText"/>
    <w:qFormat/>
    <w:pPr>
      <w:ind w:firstLine="1440" w:start="0" w:end="0"/>
    </w:pPr>
    <w:rPr/>
  </w:style>
  <w:style w:type="paragraph" w:styleId="BodyTextIndent2">
    <w:name w:val="Body Text Indent 2"/>
    <w:basedOn w:val="Normal"/>
    <w:qFormat/>
    <w:pPr>
      <w:spacing w:before="0" w:after="240"/>
      <w:ind w:hanging="0" w:start="1440" w:end="0"/>
    </w:pPr>
    <w:rPr/>
  </w:style>
  <w:style w:type="paragraph" w:styleId="BodyTextIndent3">
    <w:name w:val="Body Text Indent 3"/>
    <w:basedOn w:val="Normal"/>
    <w:qFormat/>
    <w:pPr>
      <w:spacing w:lineRule="auto" w:line="480"/>
      <w:ind w:hanging="0" w:start="720" w:end="0"/>
      <w:jc w:val="both"/>
    </w:pPr>
    <w:rPr>
      <w:sz w:val="24"/>
    </w:rPr>
  </w:style>
  <w:style w:type="paragraph" w:styleId="Signature">
    <w:name w:val="Signature"/>
    <w:basedOn w:val="Normal"/>
    <w:pPr>
      <w:keepNext w:val="true"/>
      <w:keepLines/>
      <w:ind w:hanging="0" w:start="4320" w:end="0"/>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Body-Just">
    <w:name w:val="WS Body-Just"/>
    <w:basedOn w:val="Normal"/>
    <w:qFormat/>
    <w:pPr>
      <w:spacing w:before="0" w:after="240"/>
      <w:jc w:val="both"/>
    </w:pPr>
    <w:rPr/>
  </w:style>
  <w:style w:type="paragraph" w:styleId="WSBody-Just-51stLnIndnt">
    <w:name w:val="WS Body-Just-.5&quot; 1st Ln Indnt"/>
    <w:basedOn w:val="Normal"/>
    <w:qFormat/>
    <w:pPr>
      <w:spacing w:before="0" w:after="240"/>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CenteredHeading">
    <w:name w:val="Centered Heading"/>
    <w:basedOn w:val="Normal"/>
    <w:qFormat/>
    <w:pPr>
      <w:spacing w:before="0" w:after="240"/>
      <w:jc w:val="center"/>
    </w:pPr>
    <w:rPr>
      <w:u w:val="single"/>
    </w:rPr>
  </w:style>
  <w:style w:type="paragraph" w:styleId="CenteredText">
    <w:name w:val="Centered Text"/>
    <w:basedOn w:val="CenteredHeading"/>
    <w:qFormat/>
    <w:pPr/>
    <w:rPr>
      <w:u w:val="non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2000-12-19T22:10:00Z</dcterms:created>
  <dc:creator>A&amp;K</dc:creator>
  <dc:description/>
  <dc:language>en-CA</dc:language>
  <cp:lastModifiedBy>A&amp;K</cp:lastModifiedBy>
  <cp:lastPrinted>2000-12-19T18:40:00Z</cp:lastPrinted>
  <dcterms:modified xsi:type="dcterms:W3CDTF">2000-12-19T22:10:00Z</dcterms:modified>
  <cp:revision>2</cp:revision>
  <dc:subject/>
  <dc:title>EXHIBIT G TO THE ACQUISITION 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HOU:593877.3 </vt:lpwstr>
  </property>
</Properties>
</file>