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South America Turbine L.L.C.</w:t>
      </w:r>
    </w:p>
    <w:p>
      <w:pPr>
        <w:pStyle w:val="Caption"/>
        <w:rPr/>
      </w:pPr>
      <w:r>
        <w:rPr/>
        <w:t>1400 Smith Street</w:t>
      </w:r>
    </w:p>
    <w:p>
      <w:pPr>
        <w:pStyle w:val="Caption"/>
        <w:spacing w:before="0" w:after="480"/>
        <w:rPr/>
      </w:pPr>
      <w:r>
        <w:rPr/>
        <w:t>Houston, Texas  77002</w:t>
      </w:r>
    </w:p>
    <w:p>
      <w:pPr>
        <w:pStyle w:val="Caption"/>
        <w:rPr/>
      </w:pPr>
      <w:r>
        <w:rPr/>
        <w:t>Brazilian Power Development Trust</w:t>
      </w:r>
    </w:p>
    <w:p>
      <w:pPr>
        <w:pStyle w:val="Caption"/>
        <w:rPr/>
      </w:pPr>
      <w:r>
        <w:rPr/>
        <w:t>C/O Enron South America Turbine L.L.C</w:t>
      </w:r>
    </w:p>
    <w:p>
      <w:pPr>
        <w:pStyle w:val="Normal"/>
        <w:jc w:val="center"/>
        <w:rPr/>
      </w:pPr>
      <w:r>
        <w:rPr/>
        <w:t>1400 Smith Steet</w:t>
      </w:r>
    </w:p>
    <w:p>
      <w:pPr>
        <w:pStyle w:val="Normal"/>
        <w:jc w:val="center"/>
        <w:rPr/>
      </w:pPr>
      <w:r>
        <w:rPr/>
        <w:t>Houston, Texas 77002</w:t>
      </w:r>
    </w:p>
    <w:p>
      <w:pPr>
        <w:pStyle w:val="Caption"/>
        <w:spacing w:before="0" w:after="480"/>
        <w:rPr/>
      </w:pPr>
      <w:r>
        <w:rPr/>
      </w:r>
    </w:p>
    <w:p>
      <w:pPr>
        <w:pStyle w:val="Caption"/>
        <w:spacing w:before="0" w:after="480"/>
        <w:rPr/>
      </w:pPr>
      <w:r>
        <w:rPr/>
        <w:t>December __, 2000</w:t>
      </w:r>
    </w:p>
    <w:p>
      <w:pPr>
        <w:pStyle w:val="BodyText2"/>
        <w:rPr/>
      </w:pPr>
      <w:r>
        <w:rPr/>
        <w:t>GE Packaged Power, Inc.</w:t>
      </w:r>
    </w:p>
    <w:p>
      <w:pPr>
        <w:pStyle w:val="BodyText2"/>
        <w:spacing w:before="0" w:after="240"/>
        <w:rPr/>
      </w:pPr>
      <w:r>
        <w:rPr/>
        <w:t>2707 North Loop West</w:t>
      </w:r>
    </w:p>
    <w:p>
      <w:pPr>
        <w:pStyle w:val="BodyText2"/>
        <w:spacing w:before="0" w:after="240"/>
        <w:rPr/>
      </w:pPr>
      <w:r>
        <w:rPr/>
        <w:t>Houston, Texas  77008</w:t>
      </w:r>
    </w:p>
    <w:p>
      <w:pPr>
        <w:pStyle w:val="BodyText2"/>
        <w:spacing w:before="0" w:after="240"/>
        <w:rPr/>
      </w:pPr>
      <w:r>
        <w:rPr/>
        <w:t>Attn:  Mr. Lee Johnson</w:t>
      </w:r>
    </w:p>
    <w:p>
      <w:pPr>
        <w:pStyle w:val="BodyText"/>
        <w:rPr/>
      </w:pPr>
      <w:r>
        <w:rPr/>
        <w:t>Dear Mr. Johnson:</w:t>
      </w:r>
    </w:p>
    <w:p>
      <w:pPr>
        <w:pStyle w:val="BodyTextFirstIndent"/>
        <w:rPr/>
      </w:pPr>
      <w:r>
        <w:rPr/>
        <w:t>Reference is made to the Agreement, dated December __, 2000, between Brazilian Power Development Trust (the “</w:t>
      </w:r>
      <w:r>
        <w:rPr>
          <w:rStyle w:val="underline"/>
        </w:rPr>
        <w:t>Purchaser</w:t>
      </w:r>
      <w:r>
        <w:rPr/>
        <w:t>”) and GE Packaged Power, Inc. (“</w:t>
      </w:r>
      <w:r>
        <w:rPr>
          <w:rStyle w:val="underline"/>
        </w:rPr>
        <w:t>GE</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Unless otherwise specified herein, terms defined in the Turbine Contract are used herein as defined therein after giving effect to this letter agreement.</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r>
        <w:rPr/>
        <w:t>“</w:t>
      </w:r>
      <w:r>
        <w:rPr>
          <w:rStyle w:val="underline"/>
        </w:rPr>
        <w:t>Agent</w:t>
      </w:r>
      <w:r>
        <w:rPr/>
        <w:t>. Shall mean Enron South America Turbine L.L.C., a Delaware limited liability company.”</w:t>
      </w:r>
    </w:p>
    <w:p>
      <w:pPr>
        <w:pStyle w:val="Heading1"/>
        <w:ind w:hanging="0" w:start="0"/>
        <w:rPr/>
      </w:pPr>
      <w:r>
        <w:rPr/>
        <w:t xml:space="preserve">The definition of “Lender” set forth in </w:t>
      </w:r>
      <w:r>
        <w:rPr>
          <w:rStyle w:val="underline"/>
        </w:rPr>
        <w:t>Section 1.51</w:t>
      </w:r>
      <w:r>
        <w:rPr/>
        <w:t xml:space="preserve"> of the Turbine Contract shall be deemed amended by inserting the word “Agent” after the word “Purchaser.”</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inserting the word Agent after the word “Purchaser” set forth in the body of such definition (but not in the term “Power Purchaser”) and deleting the words “or its Affiliate” and inserting the words “or an Affiliate of either”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Heading1"/>
        <w:ind w:hanging="0" w:start="0"/>
        <w:rPr/>
      </w:pPr>
      <w:r>
        <w:rPr/>
        <w:t>Sections 26.4 and 26.5 of the Turbine Contract shall be deemed amended in their entirety to read as set forth on Annex IV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t>All notices to the Agent shall be delivered to the address set forth above in accordance with Article XXV of the Turbine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SOUTH AMERICA TURBINE L.L.C.</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BRAZILIAN POWER DEVELOPMENT TRUST</w:t>
      </w:r>
    </w:p>
    <w:p>
      <w:pPr>
        <w:pStyle w:val="Signature"/>
        <w:spacing w:before="0" w:after="240"/>
        <w:rPr/>
      </w:pPr>
      <w:r>
        <w:rPr/>
        <w:t>By: Wilmington Trust Company, not in its individual capacity, but solely as Trustee</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jc w:val="center"/>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1"/>
          <w:numId w:val="7"/>
        </w:numPr>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2"/>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a commercially reasonable manner from such Agent of any amounts claimed in such Notice.  Upon receipt of any such payments from the Agent, the Purchaser shall deliver such amounts to Seller in accordance with this Article XX.</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jc w:val="center"/>
        <w:rPr/>
      </w:pPr>
      <w:r>
        <w:rPr/>
        <w:t>ANNEX III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szCs w:val="24"/>
        </w:rPr>
      </w:pPr>
      <w:r>
        <w:rPr>
          <w:color w:val="000000"/>
          <w:szCs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szCs w:val="24"/>
        </w:rPr>
      </w:pPr>
      <w:r>
        <w:rPr>
          <w:color w:val="000000"/>
          <w:szCs w:val="24"/>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r>
    </w:p>
    <w:p>
      <w:pPr>
        <w:pStyle w:val="rightjust"/>
        <w:jc w:val="center"/>
        <w:rPr/>
      </w:pPr>
      <w:r>
        <w:rPr/>
        <w:t>ANNEX IV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numPr>
          <w:ilvl w:val="1"/>
          <w:numId w:val="8"/>
        </w:numPr>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ind w:hanging="0" w:start="0"/>
        <w:rPr/>
      </w:pPr>
      <w:r>
        <w:rPr/>
        <w:t>any arbitration proceeding referred to in Section 26.4 (a) shall be deemed a Related Dispute hereunder.</w:t>
      </w:r>
    </w:p>
    <w:p>
      <w:pPr>
        <w:pStyle w:val="BodyText"/>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7" name="Frame1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14605"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6" name="Frame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8">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2000-12-07T21:35:00Z</dcterms:created>
  <dc:creator>A&amp;K</dc:creator>
  <dc:description/>
  <dc:language>en-CA</dc:language>
  <cp:lastModifiedBy>kmann</cp:lastModifiedBy>
  <cp:lastPrinted>2000-12-07T19:24:00Z</cp:lastPrinted>
  <dcterms:modified xsi:type="dcterms:W3CDTF">2000-12-07T23:15:00Z</dcterms:modified>
  <cp:revision>5</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