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media/image2.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0" w:leader="none"/>
        </w:tabs>
        <w:jc w:val="end"/>
        <w:rPr>
          <w:b/>
          <w:i/>
          <w:i/>
          <w:sz w:val="16"/>
        </w:rPr>
      </w:pPr>
      <w:r>
        <w:rPr>
          <w:b/>
          <w:i/>
          <w:sz w:val="16"/>
        </w:rPr>
        <w:drawing>
          <wp:inline distT="0" distB="0" distL="0" distR="0">
            <wp:extent cx="1944370" cy="2857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8" t="-79" r="-8" b="-79"/>
                    <a:stretch>
                      <a:fillRect/>
                    </a:stretch>
                  </pic:blipFill>
                  <pic:spPr bwMode="auto">
                    <a:xfrm>
                      <a:off x="0" y="0"/>
                      <a:ext cx="1944370" cy="285750"/>
                    </a:xfrm>
                    <a:prstGeom prst="rect">
                      <a:avLst/>
                    </a:prstGeom>
                    <a:noFill/>
                  </pic:spPr>
                </pic:pic>
              </a:graphicData>
            </a:graphic>
          </wp:inline>
        </w:drawing>
      </w:r>
    </w:p>
    <w:p>
      <w:pPr>
        <w:pStyle w:val="Caption"/>
        <w:jc w:val="center"/>
        <w:rPr/>
      </w:pPr>
      <w:r>
        <w:rPr/>
        <w:t xml:space="preserve">                                                                                                                                                 </w:t>
      </w:r>
      <w:r>
        <w:rPr/>
        <w:t>A California Limited Liability Company</w:t>
      </w:r>
    </w:p>
    <w:p>
      <w:pPr>
        <w:pStyle w:val="Heading8"/>
        <w:ind w:hanging="0" w:start="0"/>
        <w:jc w:val="center"/>
        <w:rPr/>
      </w:pPr>
      <w:r>
        <w:rPr>
          <w:rFonts w:eastAsia="Lucida Sans" w:cs="Lucida Sans"/>
        </w:rPr>
        <w:t xml:space="preserve">                                </w:t>
      </w:r>
      <w:r>
        <w:rPr>
          <w:rFonts w:cs="Arial"/>
        </w:rPr>
        <w:t xml:space="preserve">For subscription information, please call (916) 797-3106, or e-mail </w:t>
      </w:r>
      <w:hyperlink r:id="rId3">
        <w:r>
          <w:rPr>
            <w:rStyle w:val="Hyperlink"/>
            <w:rFonts w:cs="Arial"/>
          </w:rPr>
          <w:t>Schneider@rsvl.net</w:t>
        </w:r>
      </w:hyperlink>
      <w:r>
        <w:rPr>
          <w:rFonts w:cs="Arial"/>
        </w:rPr>
        <w:t xml:space="preserve"> </w:t>
      </w:r>
    </w:p>
    <w:p>
      <w:pPr>
        <w:pStyle w:val="Heading2"/>
        <w:pBdr>
          <w:top w:val="single" w:sz="18" w:space="1" w:color="000000"/>
          <w:left w:val="single" w:sz="18" w:space="4" w:color="000000"/>
          <w:bottom w:val="single" w:sz="18" w:space="1" w:color="000000"/>
          <w:right w:val="single" w:sz="18" w:space="4" w:color="000000"/>
        </w:pBdr>
        <w:shd w:fill="E0E0E0" w:val="clear"/>
        <w:ind w:hanging="0" w:start="0"/>
        <w:jc w:val="center"/>
        <w:rPr>
          <w:shadow/>
          <w:color w:val="0000FF"/>
          <w:sz w:val="56"/>
        </w:rPr>
      </w:pPr>
      <w:r>
        <w:rPr>
          <w:i/>
          <w:iCs/>
          <w:shadow/>
          <w:color w:val="0000FF"/>
          <w:sz w:val="56"/>
        </w:rPr>
        <w:t>KNOW THE ISO</w:t>
      </w:r>
      <w:r>
        <w:rPr>
          <w:shadow/>
          <w:color w:val="0000FF"/>
          <w:sz w:val="56"/>
        </w:rPr>
        <w:t xml:space="preserve"> </w:t>
      </w:r>
      <w:r>
        <w:rPr>
          <w:rFonts w:cs="Arial" w:ascii="Arial" w:hAnsi="Arial"/>
          <w:shadow/>
          <w:color w:val="0000FF"/>
          <w:sz w:val="56"/>
        </w:rPr>
        <w:t xml:space="preserve">Event Report </w:t>
      </w:r>
    </w:p>
    <w:p>
      <w:pPr>
        <w:pStyle w:val="Heading6"/>
        <w:ind w:hanging="0" w:start="0"/>
        <w:rPr/>
      </w:pPr>
      <w:r>
        <w:rPr/>
        <w:t>Market Surveillance Committee Meeting</w:t>
      </w:r>
    </w:p>
    <w:p>
      <w:pPr>
        <w:pStyle w:val="Normal"/>
        <w:jc w:val="center"/>
        <w:rPr/>
      </w:pPr>
      <w:r>
        <w:rPr>
          <w:b/>
          <w:bCs/>
        </w:rPr>
        <w:t>February 2</w:t>
      </w:r>
      <w:r>
        <w:rPr>
          <w:b/>
          <w:bCs/>
          <w:vertAlign w:val="superscript"/>
        </w:rPr>
        <w:t>nd</w:t>
      </w:r>
      <w:r>
        <w:rPr>
          <w:b/>
          <w:bCs/>
        </w:rPr>
        <w:t>, 2001</w:t>
      </w:r>
    </w:p>
    <w:p>
      <w:pPr>
        <w:pStyle w:val="Normal"/>
        <w:rPr>
          <w:sz w:val="16"/>
        </w:rPr>
      </w:pPr>
      <w:r>
        <w:rPr>
          <w:sz w:val="16"/>
        </w:rPr>
        <w:drawing>
          <wp:inline distT="0" distB="0" distL="0" distR="0">
            <wp:extent cx="5486400" cy="9144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4"/>
                    <a:srcRect l="-6" t="-377" r="-6" b="-377"/>
                    <a:stretch>
                      <a:fillRect/>
                    </a:stretch>
                  </pic:blipFill>
                  <pic:spPr bwMode="auto">
                    <a:xfrm>
                      <a:off x="0" y="0"/>
                      <a:ext cx="5486400" cy="91440"/>
                    </a:xfrm>
                    <a:prstGeom prst="rect">
                      <a:avLst/>
                    </a:prstGeom>
                    <a:noFill/>
                  </pic:spPr>
                </pic:pic>
              </a:graphicData>
            </a:graphic>
          </wp:inline>
        </w:drawing>
      </w:r>
    </w:p>
    <w:p>
      <w:pPr>
        <w:pStyle w:val="Normal"/>
        <w:rPr>
          <w:rFonts w:ascii="Lucida Sans" w:hAnsi="Lucida Sans" w:cs="Lucida Sans"/>
          <w:b/>
          <w:bCs/>
          <w:sz w:val="28"/>
          <w:u w:val="single"/>
        </w:rPr>
      </w:pPr>
      <w:r>
        <w:rPr>
          <w:rFonts w:cs="Lucida Sans" w:ascii="Lucida Sans" w:hAnsi="Lucida Sans"/>
          <w:b/>
          <w:bCs/>
          <w:sz w:val="28"/>
          <w:u w:val="single"/>
        </w:rPr>
        <w:t xml:space="preserve">Important Topics Covered:  </w:t>
      </w:r>
    </w:p>
    <w:p>
      <w:pPr>
        <w:pStyle w:val="Normal"/>
        <w:numPr>
          <w:ilvl w:val="0"/>
          <w:numId w:val="4"/>
        </w:numPr>
        <w:tabs>
          <w:tab w:val="clear" w:pos="720"/>
          <w:tab w:val="left" w:pos="540" w:leader="none"/>
        </w:tabs>
        <w:ind w:hanging="1080" w:start="1260" w:end="0"/>
        <w:rPr/>
      </w:pPr>
      <w:r>
        <w:rPr>
          <w:rFonts w:cs="Lucida Sans" w:ascii="Lucida Sans" w:hAnsi="Lucida Sans"/>
          <w:b/>
          <w:bCs/>
        </w:rPr>
        <w:t>January market performance (and statistics);</w:t>
      </w:r>
    </w:p>
    <w:p>
      <w:pPr>
        <w:pStyle w:val="Normal"/>
        <w:numPr>
          <w:ilvl w:val="0"/>
          <w:numId w:val="4"/>
        </w:numPr>
        <w:tabs>
          <w:tab w:val="clear" w:pos="720"/>
          <w:tab w:val="left" w:pos="540" w:leader="none"/>
        </w:tabs>
        <w:ind w:hanging="1080" w:start="1260" w:end="0"/>
        <w:rPr/>
      </w:pPr>
      <w:r>
        <w:rPr>
          <w:rFonts w:cs="Lucida Sans" w:ascii="Lucida Sans" w:hAnsi="Lucida Sans"/>
          <w:b/>
          <w:bCs/>
        </w:rPr>
        <w:t>Replacement Reserve cost saving from FERC order;</w:t>
      </w:r>
    </w:p>
    <w:p>
      <w:pPr>
        <w:pStyle w:val="Normal"/>
        <w:numPr>
          <w:ilvl w:val="0"/>
          <w:numId w:val="4"/>
        </w:numPr>
        <w:tabs>
          <w:tab w:val="clear" w:pos="720"/>
          <w:tab w:val="left" w:pos="540" w:leader="none"/>
        </w:tabs>
        <w:ind w:hanging="1080" w:start="1260" w:end="0"/>
        <w:rPr/>
      </w:pPr>
      <w:r>
        <w:rPr>
          <w:rFonts w:cs="Lucida Sans" w:ascii="Lucida Sans" w:hAnsi="Lucida Sans"/>
          <w:b/>
          <w:bCs/>
        </w:rPr>
        <w:t>Generator market power exercise in January;</w:t>
      </w:r>
    </w:p>
    <w:p>
      <w:pPr>
        <w:pStyle w:val="Normal"/>
        <w:numPr>
          <w:ilvl w:val="0"/>
          <w:numId w:val="4"/>
        </w:numPr>
        <w:tabs>
          <w:tab w:val="clear" w:pos="720"/>
          <w:tab w:val="left" w:pos="540" w:leader="none"/>
        </w:tabs>
        <w:ind w:hanging="1080" w:start="1260" w:end="0"/>
        <w:rPr/>
      </w:pPr>
      <w:r>
        <w:rPr>
          <w:rFonts w:cs="Lucida Sans" w:ascii="Lucida Sans" w:hAnsi="Lucida Sans"/>
          <w:b/>
          <w:bCs/>
        </w:rPr>
        <w:t>ISO Market Power Mitigation Proposal;</w:t>
      </w:r>
    </w:p>
    <w:p>
      <w:pPr>
        <w:pStyle w:val="Normal"/>
        <w:numPr>
          <w:ilvl w:val="0"/>
          <w:numId w:val="4"/>
        </w:numPr>
        <w:tabs>
          <w:tab w:val="clear" w:pos="720"/>
          <w:tab w:val="left" w:pos="540" w:leader="none"/>
        </w:tabs>
        <w:ind w:hanging="1080" w:start="1260" w:end="0"/>
        <w:rPr/>
      </w:pPr>
      <w:r>
        <w:rPr>
          <w:rFonts w:cs="Lucida Sans" w:ascii="Lucida Sans" w:hAnsi="Lucida Sans"/>
          <w:b/>
          <w:bCs/>
        </w:rPr>
        <w:t>Splitting Operating Reserve from the real-time dispatch list; and</w:t>
      </w:r>
    </w:p>
    <w:p>
      <w:pPr>
        <w:pStyle w:val="Normal"/>
        <w:numPr>
          <w:ilvl w:val="0"/>
          <w:numId w:val="4"/>
        </w:numPr>
        <w:tabs>
          <w:tab w:val="clear" w:pos="720"/>
          <w:tab w:val="left" w:pos="540" w:leader="none"/>
        </w:tabs>
        <w:ind w:hanging="1080" w:start="1260" w:end="0"/>
        <w:rPr/>
      </w:pPr>
      <w:r>
        <w:rPr>
          <w:rFonts w:cs="Lucida Sans" w:ascii="Lucida Sans" w:hAnsi="Lucida Sans"/>
          <w:b/>
          <w:bCs/>
        </w:rPr>
        <w:t>Shortage of Adjustment Bids to resolve inter-zonal congestion.</w:t>
      </w:r>
    </w:p>
    <w:p>
      <w:pPr>
        <w:pStyle w:val="Normal"/>
        <w:rPr>
          <w:sz w:val="16"/>
        </w:rPr>
      </w:pPr>
      <w:r>
        <w:rPr>
          <w:sz w:val="16"/>
        </w:rPr>
        <w:drawing>
          <wp:inline distT="0" distB="0" distL="0" distR="0">
            <wp:extent cx="5486400" cy="91440"/>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5"/>
                    <a:srcRect l="-6" t="-377" r="-6" b="-377"/>
                    <a:stretch>
                      <a:fillRect/>
                    </a:stretch>
                  </pic:blipFill>
                  <pic:spPr bwMode="auto">
                    <a:xfrm>
                      <a:off x="0" y="0"/>
                      <a:ext cx="5486400" cy="91440"/>
                    </a:xfrm>
                    <a:prstGeom prst="rect">
                      <a:avLst/>
                    </a:prstGeom>
                    <a:noFill/>
                  </pic:spPr>
                </pic:pic>
              </a:graphicData>
            </a:graphic>
          </wp:inline>
        </w:drawing>
      </w:r>
    </w:p>
    <w:p>
      <w:pPr>
        <w:pStyle w:val="Normal"/>
        <w:rPr/>
      </w:pPr>
      <w:r>
        <w:rPr/>
        <w:t>The Market Surveillance Committee (MSC) advises the ISO on important policy matters and meets monthly to discuss them.  The members are:</w:t>
      </w:r>
    </w:p>
    <w:p>
      <w:pPr>
        <w:pStyle w:val="Normal"/>
        <w:rPr>
          <w:sz w:val="16"/>
        </w:rPr>
      </w:pPr>
      <w:r>
        <w:rPr>
          <w:sz w:val="16"/>
        </w:rPr>
      </w:r>
    </w:p>
    <w:p>
      <w:pPr>
        <w:pStyle w:val="Normal"/>
        <w:numPr>
          <w:ilvl w:val="0"/>
          <w:numId w:val="2"/>
        </w:numPr>
        <w:rPr/>
      </w:pPr>
      <w:r>
        <w:rPr>
          <w:rFonts w:cs="Lucida Sans" w:ascii="Lucida Sans" w:hAnsi="Lucida Sans"/>
          <w:b/>
          <w:bCs/>
          <w:u w:val="single"/>
        </w:rPr>
        <w:t>Frank Wolak</w:t>
      </w:r>
      <w:r>
        <w:rPr>
          <w:u w:val="single"/>
        </w:rPr>
        <w:t xml:space="preserve"> </w:t>
      </w:r>
      <w:r>
        <w:rPr>
          <w:rFonts w:cs="Lucida Sans" w:ascii="Lucida Sans" w:hAnsi="Lucida Sans"/>
          <w:b/>
          <w:bCs/>
          <w:u w:val="single"/>
        </w:rPr>
        <w:t>(chair)</w:t>
      </w:r>
      <w:r>
        <w:rPr/>
        <w:t>, Professor of Business Strategy at UC Berkeley and a former Deputy Assistant Attorney General in the Antitrust Division of the Department of Justice;  and</w:t>
      </w:r>
    </w:p>
    <w:p>
      <w:pPr>
        <w:pStyle w:val="Normal"/>
        <w:ind w:start="360" w:end="0"/>
        <w:rPr>
          <w:sz w:val="8"/>
        </w:rPr>
      </w:pPr>
      <w:r>
        <w:rPr>
          <w:sz w:val="8"/>
        </w:rPr>
      </w:r>
    </w:p>
    <w:p>
      <w:pPr>
        <w:pStyle w:val="Normal"/>
        <w:numPr>
          <w:ilvl w:val="0"/>
          <w:numId w:val="2"/>
        </w:numPr>
        <w:rPr/>
      </w:pPr>
      <w:r>
        <w:rPr>
          <w:rFonts w:cs="Lucida Sans" w:ascii="Lucida Sans" w:hAnsi="Lucida Sans"/>
          <w:b/>
          <w:bCs/>
          <w:u w:val="single"/>
        </w:rPr>
        <w:t>Bob Nordhaus</w:t>
      </w:r>
      <w:r>
        <w:rPr/>
        <w:t xml:space="preserve">, a partner at Van Ness Feldman law firm and former General Counsel for FERC and the Department of Energy. </w:t>
      </w:r>
    </w:p>
    <w:p>
      <w:pPr>
        <w:pStyle w:val="Normal"/>
        <w:rPr>
          <w:sz w:val="16"/>
        </w:rPr>
      </w:pPr>
      <w:r>
        <w:rPr>
          <w:sz w:val="16"/>
        </w:rPr>
      </w:r>
    </w:p>
    <w:p>
      <w:pPr>
        <w:pStyle w:val="Heading3"/>
        <w:shd w:fill="auto" w:val="clear"/>
        <w:ind w:hanging="0" w:start="0"/>
        <w:rPr/>
      </w:pPr>
      <w:r>
        <w:rPr>
          <w:rFonts w:cs="Abadi MT Condensed Light" w:ascii="Abadi MT Condensed Light" w:hAnsi="Abadi MT Condensed Light"/>
          <w:i/>
          <w:iCs/>
          <w:sz w:val="24"/>
        </w:rPr>
        <w:t xml:space="preserve">(Professor Carl Shapiro of Stanford University resigned from the Committee in December.  Management hasn’t yet nominated the fourth MSC member (to be someone with actual market experience) authorized by the Board last February.  See the </w:t>
      </w:r>
      <w:r>
        <w:rPr>
          <w:i/>
          <w:iCs/>
          <w:sz w:val="24"/>
        </w:rPr>
        <w:t xml:space="preserve">February (2000) </w:t>
      </w:r>
      <w:r>
        <w:rPr>
          <w:i/>
          <w:iCs/>
          <w:color w:val="0000FF"/>
          <w:sz w:val="24"/>
        </w:rPr>
        <w:t>Board Event Report</w:t>
      </w:r>
      <w:r>
        <w:rPr>
          <w:i/>
          <w:iCs/>
          <w:sz w:val="24"/>
        </w:rPr>
        <w:t>, Part 1</w:t>
      </w:r>
      <w:r>
        <w:rPr>
          <w:rFonts w:cs="Abadi MT Condensed Light" w:ascii="Abadi MT Condensed Light" w:hAnsi="Abadi MT Condensed Light"/>
          <w:i/>
          <w:iCs/>
          <w:sz w:val="24"/>
        </w:rPr>
        <w:t>, p.3.)</w:t>
      </w:r>
    </w:p>
    <w:p>
      <w:pPr>
        <w:pStyle w:val="Footer"/>
        <w:tabs>
          <w:tab w:val="clear" w:pos="4320"/>
          <w:tab w:val="clear" w:pos="8640"/>
        </w:tabs>
        <w:rPr>
          <w:rFonts w:ascii="Abadi MT Condensed Light" w:hAnsi="Abadi MT Condensed Light" w:cs="Abadi MT Condensed Light"/>
          <w:i/>
          <w:i/>
          <w:iCs/>
          <w:sz w:val="16"/>
        </w:rPr>
      </w:pPr>
      <w:r>
        <w:rPr>
          <w:rFonts w:cs="Abadi MT Condensed Light" w:ascii="Abadi MT Condensed Light" w:hAnsi="Abadi MT Condensed Light"/>
          <w:i/>
          <w:iCs/>
          <w:sz w:val="16"/>
        </w:rPr>
      </w:r>
    </w:p>
    <w:p>
      <w:pPr>
        <w:pStyle w:val="Footer"/>
        <w:tabs>
          <w:tab w:val="clear" w:pos="4320"/>
          <w:tab w:val="clear" w:pos="8640"/>
        </w:tabs>
        <w:rPr/>
      </w:pPr>
      <w:r>
        <w:rPr/>
        <w:t>This report summarizes the ISO presentations, and the subsequent discussion, at the February 2</w:t>
      </w:r>
      <w:r>
        <w:rPr>
          <w:vertAlign w:val="superscript"/>
        </w:rPr>
        <w:t>nd</w:t>
      </w:r>
      <w:r>
        <w:rPr/>
        <w:t xml:space="preserve"> MSC meeting.  Some source documents are on the ISO Web site at </w:t>
      </w:r>
      <w:hyperlink r:id="rId6">
        <w:r>
          <w:rPr>
            <w:rStyle w:val="Hyperlink"/>
          </w:rPr>
          <w:t>http://www.caiso.com/pubinfo/BOG/documents/market/msc/</w:t>
        </w:r>
      </w:hyperlink>
      <w:r>
        <w:rPr/>
        <w:t xml:space="preserve">, though the presentations have not been posted. </w:t>
      </w:r>
    </w:p>
    <w:p>
      <w:pPr>
        <w:pStyle w:val="Footer"/>
        <w:tabs>
          <w:tab w:val="clear" w:pos="4320"/>
          <w:tab w:val="clear" w:pos="8640"/>
        </w:tabs>
        <w:rPr>
          <w:sz w:val="16"/>
        </w:rPr>
      </w:pPr>
      <w:r>
        <w:rPr>
          <w:sz w:val="16"/>
        </w:rPr>
      </w:r>
    </w:p>
    <w:p>
      <w:pPr>
        <w:pStyle w:val="Footer"/>
        <w:tabs>
          <w:tab w:val="clear" w:pos="4320"/>
          <w:tab w:val="clear" w:pos="8640"/>
        </w:tabs>
        <w:rPr/>
      </w:pPr>
      <w:r>
        <w:rPr/>
        <w:t>The ISO Department of Market Analysis (DMA) made all the presentations.  DMA is semi-autonomous, so the views expressed here may not mirror exactly those of the ISO Management or Board (especially the new one, which may not have had time to formulate views on all these issues yet).  However, there are rarely serious disagreements on major policy positions.</w:t>
      </w:r>
    </w:p>
    <w:p>
      <w:pPr>
        <w:pStyle w:val="Footer"/>
        <w:tabs>
          <w:tab w:val="clear" w:pos="4320"/>
          <w:tab w:val="clear" w:pos="8640"/>
        </w:tabs>
        <w:rPr>
          <w:sz w:val="16"/>
        </w:rPr>
      </w:pPr>
      <w:r>
        <w:rPr>
          <w:sz w:val="16"/>
        </w:rPr>
      </w:r>
    </w:p>
    <w:p>
      <w:pPr>
        <w:pStyle w:val="Footer"/>
        <w:tabs>
          <w:tab w:val="clear" w:pos="4320"/>
          <w:tab w:val="clear" w:pos="8640"/>
        </w:tabs>
        <w:rPr/>
      </w:pPr>
      <w:r>
        <w:rPr/>
        <w:t xml:space="preserve">Discussions at the meeting on the ISO Management draft Congestion Management (CM) Reform proposal will be covered in a separate </w:t>
      </w:r>
      <w:r>
        <w:rPr>
          <w:b/>
          <w:bCs/>
          <w:i/>
          <w:iCs/>
          <w:color w:val="0000FF"/>
        </w:rPr>
        <w:t>KTISO Special Report</w:t>
      </w:r>
      <w:r>
        <w:rPr/>
        <w:t xml:space="preserve"> later this week and are not covered in this report.</w:t>
      </w:r>
    </w:p>
    <w:p>
      <w:pPr>
        <w:pStyle w:val="Footer"/>
        <w:pBdr>
          <w:bottom w:val="single" w:sz="12" w:space="1" w:color="000000"/>
        </w:pBdr>
        <w:tabs>
          <w:tab w:val="clear" w:pos="4320"/>
          <w:tab w:val="clear" w:pos="8640"/>
        </w:tabs>
        <w:rPr>
          <w:sz w:val="16"/>
        </w:rPr>
      </w:pPr>
      <w:r>
        <w:rPr>
          <w:sz w:val="16"/>
        </w:rPr>
      </w:r>
    </w:p>
    <w:p>
      <w:pPr>
        <w:pStyle w:val="Normal"/>
        <w:rPr>
          <w:sz w:val="8"/>
        </w:rPr>
      </w:pPr>
      <w:r>
        <w:rPr>
          <w:sz w:val="8"/>
        </w:rPr>
      </w:r>
    </w:p>
    <w:p>
      <w:pPr>
        <w:pStyle w:val="Heading3"/>
        <w:pBdr>
          <w:top w:val="single" w:sz="12" w:space="1" w:color="000000"/>
          <w:left w:val="single" w:sz="12" w:space="4" w:color="000000"/>
          <w:bottom w:val="single" w:sz="12" w:space="2" w:color="000000"/>
          <w:right w:val="single" w:sz="12" w:space="4" w:color="000000"/>
        </w:pBdr>
        <w:ind w:hanging="0" w:start="0"/>
        <w:rPr>
          <w:rFonts w:ascii="Lucida Sans" w:hAnsi="Lucida Sans" w:cs="Lucida Sans Unicode"/>
        </w:rPr>
      </w:pPr>
      <w:r>
        <w:rPr>
          <w:rFonts w:cs="Lucida Sans Unicode" w:ascii="Lucida Sans" w:hAnsi="Lucida Sans"/>
        </w:rPr>
        <w:t>January market performance (partial report)</w:t>
      </w:r>
    </w:p>
    <w:p>
      <w:pPr>
        <w:pStyle w:val="Footer"/>
        <w:tabs>
          <w:tab w:val="clear" w:pos="4320"/>
          <w:tab w:val="clear" w:pos="8640"/>
        </w:tabs>
        <w:rPr/>
      </w:pPr>
      <w:r>
        <w:rPr/>
        <w:t>This was an early peek at the market statistics for January.  It doesn’t include all the information typically provided, but presumably the remainder will be supplied in the regular report at the Board meeting near the end of February.</w:t>
      </w:r>
    </w:p>
    <w:p>
      <w:pPr>
        <w:pStyle w:val="Footer"/>
        <w:tabs>
          <w:tab w:val="clear" w:pos="4320"/>
          <w:tab w:val="clear" w:pos="8640"/>
        </w:tabs>
        <w:rPr>
          <w:rFonts w:ascii="BookmanITC Lt BT" w:hAnsi="BookmanITC Lt BT" w:cs="BookmanITC Lt BT"/>
          <w:b/>
          <w:bCs/>
          <w:sz w:val="16"/>
          <w:u w:val="single"/>
        </w:rPr>
      </w:pPr>
      <w:r>
        <w:rPr>
          <w:rFonts w:cs="BookmanITC Lt BT" w:ascii="BookmanITC Lt BT" w:hAnsi="BookmanITC Lt BT"/>
          <w:b/>
          <w:bCs/>
          <w:sz w:val="16"/>
          <w:u w:val="single"/>
        </w:rPr>
      </w:r>
    </w:p>
    <w:p>
      <w:pPr>
        <w:pStyle w:val="Footer"/>
        <w:tabs>
          <w:tab w:val="clear" w:pos="4320"/>
          <w:tab w:val="clear" w:pos="8640"/>
        </w:tabs>
        <w:rPr/>
      </w:pPr>
      <w:r>
        <w:rPr>
          <w:rFonts w:cs="Arial" w:ascii="Arial" w:hAnsi="Arial"/>
          <w:b/>
          <w:bCs/>
          <w:u w:val="single"/>
        </w:rPr>
        <w:t>Overall market assessment</w:t>
      </w:r>
      <w:r>
        <w:rPr>
          <w:rFonts w:cs="Arial" w:ascii="Arial" w:hAnsi="Arial"/>
        </w:rPr>
        <w:t xml:space="preserve"> </w:t>
      </w:r>
    </w:p>
    <w:p>
      <w:pPr>
        <w:pStyle w:val="Footer"/>
        <w:tabs>
          <w:tab w:val="clear" w:pos="4320"/>
          <w:tab w:val="clear" w:pos="8640"/>
        </w:tabs>
        <w:rPr/>
      </w:pPr>
      <w:r>
        <w:rPr/>
        <w:t>January was characterized by continued system shortages and high prices, a result of:</w:t>
      </w:r>
    </w:p>
    <w:p>
      <w:pPr>
        <w:pStyle w:val="Footer"/>
        <w:tabs>
          <w:tab w:val="clear" w:pos="4320"/>
          <w:tab w:val="clear" w:pos="8640"/>
        </w:tabs>
        <w:ind w:start="180" w:end="0"/>
        <w:rPr>
          <w:rFonts w:ascii="BookmanITC Lt BT" w:hAnsi="BookmanITC Lt BT" w:cs="BookmanITC Lt BT"/>
          <w:b/>
          <w:bCs/>
          <w:sz w:val="8"/>
          <w:u w:val="single"/>
        </w:rPr>
      </w:pPr>
      <w:r>
        <w:rPr>
          <w:rFonts w:cs="BookmanITC Lt BT" w:ascii="BookmanITC Lt BT" w:hAnsi="BookmanITC Lt BT"/>
          <w:b/>
          <w:bCs/>
          <w:sz w:val="8"/>
          <w:u w:val="single"/>
        </w:rPr>
      </w:r>
    </w:p>
    <w:p>
      <w:pPr>
        <w:pStyle w:val="Footer"/>
        <w:numPr>
          <w:ilvl w:val="0"/>
          <w:numId w:val="4"/>
        </w:numPr>
        <w:tabs>
          <w:tab w:val="clear" w:pos="4320"/>
          <w:tab w:val="clear" w:pos="8640"/>
          <w:tab w:val="left" w:pos="540" w:leader="none"/>
        </w:tabs>
        <w:ind w:hanging="360" w:start="540" w:end="0"/>
        <w:rPr/>
      </w:pPr>
      <w:r>
        <w:rPr/>
        <w:t>High levels planned and forced outages of generation capacity;</w:t>
      </w:r>
    </w:p>
    <w:p>
      <w:pPr>
        <w:pStyle w:val="Footer"/>
        <w:numPr>
          <w:ilvl w:val="0"/>
          <w:numId w:val="4"/>
        </w:numPr>
        <w:tabs>
          <w:tab w:val="clear" w:pos="4320"/>
          <w:tab w:val="clear" w:pos="8640"/>
          <w:tab w:val="left" w:pos="540" w:leader="none"/>
        </w:tabs>
        <w:ind w:hanging="360" w:start="540" w:end="0"/>
        <w:rPr/>
      </w:pPr>
      <w:r>
        <w:rPr/>
        <w:t>Low California hydroelectric generation;</w:t>
      </w:r>
    </w:p>
    <w:p>
      <w:pPr>
        <w:pStyle w:val="Footer"/>
        <w:numPr>
          <w:ilvl w:val="0"/>
          <w:numId w:val="4"/>
        </w:numPr>
        <w:tabs>
          <w:tab w:val="clear" w:pos="4320"/>
          <w:tab w:val="clear" w:pos="8640"/>
          <w:tab w:val="left" w:pos="540" w:leader="none"/>
        </w:tabs>
        <w:ind w:hanging="360" w:start="540" w:end="0"/>
        <w:rPr/>
      </w:pPr>
      <w:r>
        <w:rPr/>
        <w:t>Low level of imports;</w:t>
      </w:r>
    </w:p>
    <w:p>
      <w:pPr>
        <w:pStyle w:val="Footer"/>
        <w:numPr>
          <w:ilvl w:val="0"/>
          <w:numId w:val="4"/>
        </w:numPr>
        <w:tabs>
          <w:tab w:val="clear" w:pos="4320"/>
          <w:tab w:val="clear" w:pos="8640"/>
          <w:tab w:val="left" w:pos="540" w:leader="none"/>
        </w:tabs>
        <w:ind w:hanging="360" w:start="540" w:end="0"/>
        <w:rPr/>
      </w:pPr>
      <w:r>
        <w:rPr/>
        <w:t>High spot-market gas prices;</w:t>
      </w:r>
    </w:p>
    <w:p>
      <w:pPr>
        <w:pStyle w:val="Footer"/>
        <w:numPr>
          <w:ilvl w:val="0"/>
          <w:numId w:val="4"/>
        </w:numPr>
        <w:tabs>
          <w:tab w:val="clear" w:pos="4320"/>
          <w:tab w:val="clear" w:pos="8640"/>
          <w:tab w:val="left" w:pos="540" w:leader="none"/>
        </w:tabs>
        <w:ind w:hanging="360" w:start="540" w:end="0"/>
        <w:rPr/>
      </w:pPr>
      <w:r>
        <w:rPr/>
        <w:t>High NOx emissions costs for some units;</w:t>
      </w:r>
    </w:p>
    <w:p>
      <w:pPr>
        <w:pStyle w:val="Footer"/>
        <w:numPr>
          <w:ilvl w:val="0"/>
          <w:numId w:val="4"/>
        </w:numPr>
        <w:tabs>
          <w:tab w:val="clear" w:pos="4320"/>
          <w:tab w:val="clear" w:pos="8640"/>
          <w:tab w:val="left" w:pos="540" w:leader="none"/>
        </w:tabs>
        <w:ind w:hanging="360" w:start="540" w:end="0"/>
        <w:rPr/>
      </w:pPr>
      <w:r>
        <w:rPr/>
        <w:t>Potential supply availability/price impact of financial uncertainty;  and</w:t>
      </w:r>
    </w:p>
    <w:p>
      <w:pPr>
        <w:pStyle w:val="Footer"/>
        <w:numPr>
          <w:ilvl w:val="0"/>
          <w:numId w:val="4"/>
        </w:numPr>
        <w:tabs>
          <w:tab w:val="clear" w:pos="4320"/>
          <w:tab w:val="clear" w:pos="8640"/>
          <w:tab w:val="left" w:pos="540" w:leader="none"/>
        </w:tabs>
        <w:ind w:hanging="360" w:start="540" w:end="0"/>
        <w:rPr/>
      </w:pPr>
      <w:r>
        <w:rPr/>
        <w:t>Generation market power.</w:t>
      </w:r>
    </w:p>
    <w:p>
      <w:pPr>
        <w:pStyle w:val="Footer"/>
        <w:tabs>
          <w:tab w:val="clear" w:pos="4320"/>
          <w:tab w:val="clear" w:pos="8640"/>
        </w:tabs>
        <w:ind w:start="45" w:end="0"/>
        <w:rPr>
          <w:sz w:val="16"/>
        </w:rPr>
      </w:pPr>
      <w:r>
        <w:rPr>
          <w:sz w:val="16"/>
        </w:rPr>
      </w:r>
    </w:p>
    <w:p>
      <w:pPr>
        <w:pStyle w:val="Footer"/>
        <w:tabs>
          <w:tab w:val="clear" w:pos="4320"/>
          <w:tab w:val="clear" w:pos="8640"/>
        </w:tabs>
        <w:rPr>
          <w:rFonts w:ascii="Arial" w:hAnsi="Arial" w:cs="Arial"/>
          <w:b/>
          <w:bCs/>
          <w:u w:val="single"/>
        </w:rPr>
      </w:pPr>
      <w:r>
        <w:rPr>
          <w:rFonts w:cs="Arial" w:ascii="Arial" w:hAnsi="Arial"/>
          <w:b/>
          <w:bCs/>
          <w:u w:val="single"/>
        </w:rPr>
        <w:t>January market features provided in the report</w:t>
      </w:r>
    </w:p>
    <w:p>
      <w:pPr>
        <w:pStyle w:val="Footer"/>
        <w:tabs>
          <w:tab w:val="clear" w:pos="4320"/>
          <w:tab w:val="clear" w:pos="8640"/>
        </w:tabs>
        <w:ind w:start="45" w:end="0"/>
        <w:rPr>
          <w:sz w:val="8"/>
        </w:rPr>
      </w:pPr>
      <w:r>
        <w:rPr/>
        <w:t xml:space="preserve">    </w:t>
      </w:r>
    </w:p>
    <w:p>
      <w:pPr>
        <w:pStyle w:val="Footer"/>
        <w:numPr>
          <w:ilvl w:val="0"/>
          <w:numId w:val="4"/>
        </w:numPr>
        <w:tabs>
          <w:tab w:val="clear" w:pos="4320"/>
          <w:tab w:val="clear" w:pos="8640"/>
          <w:tab w:val="left" w:pos="540" w:leader="none"/>
        </w:tabs>
        <w:ind w:hanging="360" w:start="540" w:end="0"/>
        <w:rPr/>
      </w:pPr>
      <w:r>
        <w:rPr>
          <w:rFonts w:cs="BookmanITC Lt BT" w:ascii="BookmanITC Lt BT" w:hAnsi="BookmanITC Lt BT"/>
          <w:b/>
          <w:bCs/>
          <w:u w:val="single"/>
        </w:rPr>
        <w:t>Energy use</w:t>
      </w:r>
      <w:r>
        <w:rPr/>
        <w:t xml:space="preserve">   </w:t>
      </w:r>
    </w:p>
    <w:p>
      <w:pPr>
        <w:pStyle w:val="Footer"/>
        <w:tabs>
          <w:tab w:val="clear" w:pos="4320"/>
          <w:tab w:val="clear" w:pos="8640"/>
        </w:tabs>
        <w:rPr>
          <w:sz w:val="8"/>
        </w:rPr>
      </w:pPr>
      <w:r>
        <w:rPr>
          <w:sz w:val="8"/>
        </w:rPr>
      </w:r>
    </w:p>
    <w:tbl>
      <w:tblPr>
        <w:tblW w:w="7998" w:type="dxa"/>
        <w:jc w:val="start"/>
        <w:tblInd w:w="474" w:type="dxa"/>
        <w:tblLayout w:type="fixed"/>
        <w:tblCellMar>
          <w:top w:w="12" w:type="dxa"/>
          <w:start w:w="12" w:type="dxa"/>
          <w:bottom w:w="0" w:type="dxa"/>
          <w:end w:w="12" w:type="dxa"/>
        </w:tblCellMar>
      </w:tblPr>
      <w:tblGrid>
        <w:gridCol w:w="1632"/>
        <w:gridCol w:w="2610"/>
        <w:gridCol w:w="3756"/>
      </w:tblGrid>
      <w:tr>
        <w:trPr>
          <w:trHeight w:val="297" w:hRule="atLeast"/>
        </w:trPr>
        <w:tc>
          <w:tcPr>
            <w:tcW w:w="1632" w:type="dxa"/>
            <w:tcBorders>
              <w:top w:val="single" w:sz="12" w:space="0" w:color="0000FF"/>
              <w:start w:val="single" w:sz="12" w:space="0" w:color="0000FF"/>
              <w:bottom w:val="single" w:sz="12" w:space="0" w:color="000000"/>
              <w:end w:val="single" w:sz="12" w:space="0" w:color="000000"/>
            </w:tcBorders>
            <w:shd w:fill="E0E0E0" w:val="clear"/>
            <w:vAlign w:val="bottom"/>
          </w:tcPr>
          <w:p>
            <w:pPr>
              <w:pStyle w:val="Heading7"/>
              <w:ind w:hanging="0" w:start="0"/>
              <w:rPr>
                <w:rFonts w:ascii="Lucida Sans" w:hAnsi="Lucida Sans" w:cs="Arial"/>
              </w:rPr>
            </w:pPr>
            <w:r>
              <w:rPr>
                <w:rFonts w:cs="Arial" w:ascii="Lucida Sans" w:hAnsi="Lucida Sans"/>
              </w:rPr>
              <w:t>Month</w:t>
            </w:r>
          </w:p>
        </w:tc>
        <w:tc>
          <w:tcPr>
            <w:tcW w:w="2610" w:type="dxa"/>
            <w:tcBorders>
              <w:top w:val="single" w:sz="12" w:space="0" w:color="0000FF"/>
              <w:start w:val="single" w:sz="12" w:space="0" w:color="000000"/>
              <w:bottom w:val="single" w:sz="12" w:space="0" w:color="000000"/>
              <w:end w:val="single" w:sz="4" w:space="0" w:color="000000"/>
            </w:tcBorders>
            <w:shd w:fill="E0E0E0" w:val="clear"/>
            <w:tcMar>
              <w:top w:w="0" w:type="dxa"/>
              <w:start w:w="0" w:type="dxa"/>
              <w:end w:w="0" w:type="dxa"/>
            </w:tcMar>
          </w:tcPr>
          <w:p>
            <w:pPr>
              <w:pStyle w:val="Footer"/>
              <w:tabs>
                <w:tab w:val="clear" w:pos="4320"/>
                <w:tab w:val="clear" w:pos="8640"/>
              </w:tabs>
              <w:rPr>
                <w:rFonts w:ascii="Lucida Sans" w:hAnsi="Lucida Sans" w:cs="Arial"/>
                <w:b/>
                <w:bCs/>
              </w:rPr>
            </w:pPr>
            <w:r>
              <w:rPr>
                <w:rFonts w:cs="Arial" w:ascii="Lucida Sans" w:hAnsi="Lucida Sans"/>
                <w:b/>
                <w:bCs/>
              </w:rPr>
              <w:t>Energy use</w:t>
            </w:r>
            <w:r>
              <w:rPr>
                <w:rFonts w:cs="Arial" w:ascii="Arial" w:hAnsi="Arial"/>
              </w:rPr>
              <w:t xml:space="preserve"> </w:t>
            </w:r>
            <w:r>
              <w:rPr>
                <w:i/>
                <w:iCs/>
              </w:rPr>
              <w:t>(‘000GWh)</w:t>
            </w:r>
          </w:p>
        </w:tc>
        <w:tc>
          <w:tcPr>
            <w:tcW w:w="3756" w:type="dxa"/>
            <w:tcBorders>
              <w:top w:val="single" w:sz="12" w:space="0" w:color="0000FF"/>
              <w:start w:val="single" w:sz="4" w:space="0" w:color="000000"/>
              <w:bottom w:val="single" w:sz="12" w:space="0" w:color="000000"/>
              <w:end w:val="single" w:sz="12" w:space="0" w:color="0000FF"/>
            </w:tcBorders>
            <w:shd w:fill="E0E0E0" w:val="clear"/>
            <w:vAlign w:val="bottom"/>
          </w:tcPr>
          <w:p>
            <w:pPr>
              <w:pStyle w:val="Footer"/>
              <w:tabs>
                <w:tab w:val="clear" w:pos="4320"/>
                <w:tab w:val="clear" w:pos="8640"/>
              </w:tabs>
              <w:rPr/>
            </w:pPr>
            <w:r>
              <w:rPr>
                <w:rFonts w:cs="Arial" w:ascii="Lucida Sans" w:hAnsi="Lucida Sans"/>
                <w:b/>
                <w:bCs/>
              </w:rPr>
              <w:t>Percent change</w:t>
            </w:r>
            <w:r>
              <w:rPr>
                <w:i/>
                <w:iCs/>
              </w:rPr>
              <w:t xml:space="preserve"> (here to Jan ‘01)</w:t>
            </w:r>
          </w:p>
        </w:tc>
      </w:tr>
      <w:tr>
        <w:trPr>
          <w:trHeight w:val="297" w:hRule="atLeast"/>
        </w:trPr>
        <w:tc>
          <w:tcPr>
            <w:tcW w:w="1632" w:type="dxa"/>
            <w:tcBorders>
              <w:top w:val="single" w:sz="12" w:space="0" w:color="000000"/>
              <w:start w:val="single" w:sz="12" w:space="0" w:color="0000FF"/>
              <w:bottom w:val="single" w:sz="4" w:space="0" w:color="000000"/>
              <w:end w:val="single" w:sz="12" w:space="0" w:color="000000"/>
            </w:tcBorders>
            <w:shd w:fill="E0E0E0" w:val="clear"/>
            <w:vAlign w:val="bottom"/>
          </w:tcPr>
          <w:p>
            <w:pPr>
              <w:pStyle w:val="Heading7"/>
              <w:ind w:hanging="0" w:start="0"/>
              <w:rPr>
                <w:rFonts w:ascii="Technical" w:hAnsi="Technical" w:cs="Technical"/>
              </w:rPr>
            </w:pPr>
            <w:r>
              <w:rPr>
                <w:rFonts w:cs="Technical" w:ascii="Technical" w:hAnsi="Technical"/>
              </w:rPr>
              <w:t>January 2001</w:t>
            </w:r>
          </w:p>
        </w:tc>
        <w:tc>
          <w:tcPr>
            <w:tcW w:w="2610" w:type="dxa"/>
            <w:tcBorders>
              <w:top w:val="single" w:sz="12" w:space="0" w:color="000000"/>
              <w:start w:val="single" w:sz="12" w:space="0" w:color="000000"/>
              <w:bottom w:val="single" w:sz="4" w:space="0" w:color="000000"/>
              <w:end w:val="single" w:sz="4" w:space="0" w:color="000000"/>
            </w:tcBorders>
            <w:tcMar>
              <w:top w:w="0" w:type="dxa"/>
              <w:start w:w="0" w:type="dxa"/>
              <w:end w:w="0" w:type="dxa"/>
            </w:tcMar>
          </w:tcPr>
          <w:p>
            <w:pPr>
              <w:pStyle w:val="Normal"/>
              <w:jc w:val="center"/>
              <w:rPr/>
            </w:pPr>
            <w:r>
              <w:rPr/>
              <w:t>17.5</w:t>
            </w:r>
          </w:p>
        </w:tc>
        <w:tc>
          <w:tcPr>
            <w:tcW w:w="3756" w:type="dxa"/>
            <w:tcBorders>
              <w:top w:val="single" w:sz="12" w:space="0" w:color="000000"/>
              <w:start w:val="single" w:sz="4" w:space="0" w:color="000000"/>
              <w:bottom w:val="single" w:sz="4" w:space="0" w:color="000000"/>
              <w:end w:val="single" w:sz="12" w:space="0" w:color="0000FF"/>
            </w:tcBorders>
            <w:vAlign w:val="bottom"/>
          </w:tcPr>
          <w:p>
            <w:pPr>
              <w:pStyle w:val="Normal"/>
              <w:jc w:val="center"/>
              <w:rPr/>
            </w:pPr>
            <w:r>
              <w:rPr/>
              <w:t>-</w:t>
            </w:r>
          </w:p>
        </w:tc>
      </w:tr>
      <w:tr>
        <w:trPr>
          <w:trHeight w:val="297" w:hRule="atLeast"/>
        </w:trPr>
        <w:tc>
          <w:tcPr>
            <w:tcW w:w="1632" w:type="dxa"/>
            <w:tcBorders>
              <w:top w:val="single" w:sz="4" w:space="0" w:color="000000"/>
              <w:start w:val="single" w:sz="12" w:space="0" w:color="0000FF"/>
              <w:bottom w:val="single" w:sz="4" w:space="0" w:color="000000"/>
              <w:end w:val="single" w:sz="12" w:space="0" w:color="000000"/>
            </w:tcBorders>
            <w:shd w:fill="E0E0E0" w:val="clear"/>
            <w:vAlign w:val="bottom"/>
          </w:tcPr>
          <w:p>
            <w:pPr>
              <w:pStyle w:val="Heading7"/>
              <w:ind w:hanging="0" w:start="0"/>
              <w:rPr>
                <w:rFonts w:ascii="Technical" w:hAnsi="Technical" w:cs="Technical"/>
              </w:rPr>
            </w:pPr>
            <w:r>
              <w:rPr>
                <w:rFonts w:cs="Technical" w:ascii="Technical" w:hAnsi="Technical"/>
              </w:rPr>
              <w:t>December 2000</w:t>
            </w:r>
          </w:p>
        </w:tc>
        <w:tc>
          <w:tcPr>
            <w:tcW w:w="2610" w:type="dxa"/>
            <w:tcBorders>
              <w:top w:val="single" w:sz="4" w:space="0" w:color="000000"/>
              <w:start w:val="single" w:sz="12" w:space="0" w:color="000000"/>
              <w:bottom w:val="single" w:sz="4" w:space="0" w:color="000000"/>
              <w:end w:val="single" w:sz="4" w:space="0" w:color="000000"/>
            </w:tcBorders>
            <w:tcMar>
              <w:top w:w="0" w:type="dxa"/>
              <w:start w:w="0" w:type="dxa"/>
              <w:end w:w="0" w:type="dxa"/>
            </w:tcMar>
          </w:tcPr>
          <w:p>
            <w:pPr>
              <w:pStyle w:val="Normal"/>
              <w:jc w:val="center"/>
              <w:rPr/>
            </w:pPr>
            <w:r>
              <w:rPr/>
              <w:t>19.4</w:t>
            </w:r>
          </w:p>
        </w:tc>
        <w:tc>
          <w:tcPr>
            <w:tcW w:w="3756" w:type="dxa"/>
            <w:tcBorders>
              <w:top w:val="single" w:sz="4" w:space="0" w:color="000000"/>
              <w:start w:val="single" w:sz="4" w:space="0" w:color="000000"/>
              <w:bottom w:val="single" w:sz="4" w:space="0" w:color="000000"/>
              <w:end w:val="single" w:sz="12" w:space="0" w:color="0000FF"/>
            </w:tcBorders>
            <w:vAlign w:val="bottom"/>
          </w:tcPr>
          <w:p>
            <w:pPr>
              <w:pStyle w:val="Normal"/>
              <w:jc w:val="center"/>
              <w:rPr/>
            </w:pPr>
            <w:r>
              <w:rPr/>
              <w:t>-10.9%</w:t>
            </w:r>
          </w:p>
        </w:tc>
      </w:tr>
      <w:tr>
        <w:trPr>
          <w:trHeight w:val="297" w:hRule="atLeast"/>
        </w:trPr>
        <w:tc>
          <w:tcPr>
            <w:tcW w:w="1632" w:type="dxa"/>
            <w:tcBorders>
              <w:top w:val="single" w:sz="4" w:space="0" w:color="000000"/>
              <w:start w:val="single" w:sz="12" w:space="0" w:color="0000FF"/>
              <w:bottom w:val="single" w:sz="12" w:space="0" w:color="0000FF"/>
              <w:end w:val="single" w:sz="12" w:space="0" w:color="000000"/>
            </w:tcBorders>
            <w:shd w:fill="E0E0E0" w:val="clear"/>
            <w:vAlign w:val="bottom"/>
          </w:tcPr>
          <w:p>
            <w:pPr>
              <w:pStyle w:val="Normal"/>
              <w:rPr>
                <w:rFonts w:ascii="Technical" w:hAnsi="Technical" w:cs="Technical"/>
                <w:b/>
                <w:bCs/>
              </w:rPr>
            </w:pPr>
            <w:r>
              <w:rPr>
                <w:rFonts w:cs="Technical" w:ascii="Technical" w:hAnsi="Technical"/>
                <w:b/>
                <w:bCs/>
              </w:rPr>
              <w:t>January 2000</w:t>
            </w:r>
          </w:p>
        </w:tc>
        <w:tc>
          <w:tcPr>
            <w:tcW w:w="2610" w:type="dxa"/>
            <w:tcBorders>
              <w:top w:val="single" w:sz="4" w:space="0" w:color="000000"/>
              <w:start w:val="single" w:sz="12" w:space="0" w:color="000000"/>
              <w:bottom w:val="single" w:sz="12" w:space="0" w:color="0000FF"/>
              <w:end w:val="single" w:sz="4" w:space="0" w:color="000000"/>
            </w:tcBorders>
            <w:tcMar>
              <w:top w:w="0" w:type="dxa"/>
              <w:start w:w="0" w:type="dxa"/>
              <w:end w:w="0" w:type="dxa"/>
            </w:tcMar>
          </w:tcPr>
          <w:p>
            <w:pPr>
              <w:pStyle w:val="Normal"/>
              <w:jc w:val="center"/>
              <w:rPr/>
            </w:pPr>
            <w:r>
              <w:rPr/>
              <w:t>19.0</w:t>
            </w:r>
          </w:p>
        </w:tc>
        <w:tc>
          <w:tcPr>
            <w:tcW w:w="3756" w:type="dxa"/>
            <w:tcBorders>
              <w:top w:val="single" w:sz="4" w:space="0" w:color="000000"/>
              <w:start w:val="single" w:sz="4" w:space="0" w:color="000000"/>
              <w:bottom w:val="single" w:sz="12" w:space="0" w:color="0000FF"/>
              <w:end w:val="single" w:sz="12" w:space="0" w:color="0000FF"/>
            </w:tcBorders>
            <w:vAlign w:val="bottom"/>
          </w:tcPr>
          <w:p>
            <w:pPr>
              <w:pStyle w:val="Normal"/>
              <w:jc w:val="center"/>
              <w:rPr/>
            </w:pPr>
            <w:r>
              <w:rPr/>
              <w:t>-8.6%</w:t>
            </w:r>
          </w:p>
        </w:tc>
      </w:tr>
    </w:tbl>
    <w:p>
      <w:pPr>
        <w:pStyle w:val="Footer"/>
        <w:tabs>
          <w:tab w:val="clear" w:pos="4320"/>
          <w:tab w:val="clear" w:pos="8640"/>
        </w:tabs>
        <w:rPr>
          <w:sz w:val="16"/>
        </w:rPr>
      </w:pPr>
      <w:r>
        <w:rPr>
          <w:sz w:val="16"/>
        </w:rPr>
      </w:r>
    </w:p>
    <w:p>
      <w:pPr>
        <w:pStyle w:val="Footer"/>
        <w:numPr>
          <w:ilvl w:val="0"/>
          <w:numId w:val="4"/>
        </w:numPr>
        <w:tabs>
          <w:tab w:val="clear" w:pos="4320"/>
          <w:tab w:val="clear" w:pos="8640"/>
          <w:tab w:val="left" w:pos="540" w:leader="none"/>
        </w:tabs>
        <w:ind w:hanging="360" w:start="540" w:end="0"/>
        <w:rPr/>
      </w:pPr>
      <w:r>
        <w:rPr>
          <w:rFonts w:cs="BookmanITC Lt BT" w:ascii="BookmanITC Lt BT" w:hAnsi="BookmanITC Lt BT"/>
          <w:b/>
          <w:bCs/>
          <w:u w:val="single"/>
        </w:rPr>
        <w:t>Energy costs:</w:t>
      </w:r>
      <w:r>
        <w:rPr/>
        <w:t xml:space="preserve">  The ISO implemented the $150 “soft cap” structure ordered by FERC on January 1</w:t>
      </w:r>
      <w:r>
        <w:rPr>
          <w:vertAlign w:val="superscript"/>
        </w:rPr>
        <w:t>st</w:t>
      </w:r>
      <w:r>
        <w:rPr/>
        <w:t>, though the Cal-PX did not.  The price reported in at the meeting was the total energy price, consisting of the weighted average (by hour) of the following:</w:t>
      </w:r>
    </w:p>
    <w:p>
      <w:pPr>
        <w:pStyle w:val="Footer"/>
        <w:tabs>
          <w:tab w:val="clear" w:pos="4320"/>
          <w:tab w:val="clear" w:pos="8640"/>
        </w:tabs>
        <w:rPr>
          <w:sz w:val="8"/>
        </w:rPr>
      </w:pPr>
      <w:r>
        <w:rPr>
          <w:sz w:val="8"/>
        </w:rPr>
      </w:r>
    </w:p>
    <w:p>
      <w:pPr>
        <w:pStyle w:val="Footer"/>
        <w:numPr>
          <w:ilvl w:val="0"/>
          <w:numId w:val="2"/>
        </w:numPr>
        <w:tabs>
          <w:tab w:val="clear" w:pos="4320"/>
          <w:tab w:val="clear" w:pos="8640"/>
          <w:tab w:val="left" w:pos="1080" w:leader="none"/>
        </w:tabs>
        <w:ind w:hanging="360" w:start="1080" w:end="0"/>
        <w:rPr/>
      </w:pPr>
      <w:r>
        <w:rPr>
          <w:rFonts w:cs="Lucida Sans" w:ascii="Lucida Sans" w:hAnsi="Lucida Sans"/>
          <w:b/>
          <w:bCs/>
          <w:u w:val="single"/>
        </w:rPr>
        <w:t>Cal-PX energy prices</w:t>
      </w:r>
      <w:r>
        <w:rPr/>
        <w:t>:  Constrained prices (bids accepted after congestion was taken into account);</w:t>
      </w:r>
    </w:p>
    <w:p>
      <w:pPr>
        <w:pStyle w:val="Footer"/>
        <w:tabs>
          <w:tab w:val="clear" w:pos="4320"/>
          <w:tab w:val="clear" w:pos="8640"/>
          <w:tab w:val="left" w:pos="1080" w:leader="none"/>
        </w:tabs>
        <w:ind w:hanging="360" w:start="1080" w:end="0"/>
        <w:rPr>
          <w:sz w:val="8"/>
        </w:rPr>
      </w:pPr>
      <w:r>
        <w:rPr>
          <w:sz w:val="8"/>
        </w:rPr>
      </w:r>
    </w:p>
    <w:p>
      <w:pPr>
        <w:pStyle w:val="Footer"/>
        <w:numPr>
          <w:ilvl w:val="0"/>
          <w:numId w:val="2"/>
        </w:numPr>
        <w:tabs>
          <w:tab w:val="clear" w:pos="4320"/>
          <w:tab w:val="clear" w:pos="8640"/>
          <w:tab w:val="left" w:pos="1080" w:leader="none"/>
        </w:tabs>
        <w:ind w:hanging="360" w:start="1080" w:end="0"/>
        <w:rPr/>
      </w:pPr>
      <w:r>
        <w:rPr>
          <w:rFonts w:cs="Lucida Sans" w:ascii="Lucida Sans" w:hAnsi="Lucida Sans"/>
          <w:b/>
          <w:bCs/>
          <w:u w:val="single"/>
        </w:rPr>
        <w:t>Bilateral energy prices:</w:t>
      </w:r>
      <w:r>
        <w:rPr/>
        <w:t xml:space="preserve">  Assumes that transactions are priced at the Cal-PX price; and</w:t>
      </w:r>
    </w:p>
    <w:p>
      <w:pPr>
        <w:pStyle w:val="Footer"/>
        <w:tabs>
          <w:tab w:val="clear" w:pos="4320"/>
          <w:tab w:val="clear" w:pos="8640"/>
          <w:tab w:val="left" w:pos="1080" w:leader="none"/>
        </w:tabs>
        <w:ind w:hanging="360" w:start="1080" w:end="0"/>
        <w:rPr>
          <w:sz w:val="8"/>
        </w:rPr>
      </w:pPr>
      <w:r>
        <w:rPr>
          <w:sz w:val="8"/>
        </w:rPr>
      </w:r>
    </w:p>
    <w:p>
      <w:pPr>
        <w:pStyle w:val="Footer"/>
        <w:numPr>
          <w:ilvl w:val="0"/>
          <w:numId w:val="2"/>
        </w:numPr>
        <w:tabs>
          <w:tab w:val="clear" w:pos="4320"/>
          <w:tab w:val="clear" w:pos="8640"/>
          <w:tab w:val="left" w:pos="1080" w:leader="none"/>
        </w:tabs>
        <w:ind w:hanging="360" w:start="1080" w:end="0"/>
        <w:rPr>
          <w:i/>
          <w:i/>
          <w:iCs/>
        </w:rPr>
      </w:pPr>
      <w:r>
        <w:rPr>
          <w:rFonts w:cs="Lucida Sans" w:ascii="Lucida Sans" w:hAnsi="Lucida Sans"/>
          <w:b/>
          <w:bCs/>
          <w:u w:val="single"/>
        </w:rPr>
        <w:t>ISO Real Time energy prices</w:t>
      </w:r>
      <w:r>
        <w:rPr/>
        <w:t>:  All market bids and Out-of-Market (OOM) calls.</w:t>
      </w:r>
    </w:p>
    <w:p>
      <w:pPr>
        <w:pStyle w:val="Footer"/>
        <w:tabs>
          <w:tab w:val="clear" w:pos="4320"/>
          <w:tab w:val="clear" w:pos="8640"/>
        </w:tabs>
        <w:rPr>
          <w:i/>
          <w:i/>
          <w:iCs/>
          <w:sz w:val="8"/>
        </w:rPr>
      </w:pPr>
      <w:r>
        <w:rPr>
          <w:i/>
          <w:iCs/>
          <w:sz w:val="8"/>
        </w:rPr>
      </w:r>
    </w:p>
    <w:tbl>
      <w:tblPr>
        <w:tblW w:w="8205" w:type="dxa"/>
        <w:jc w:val="start"/>
        <w:tblInd w:w="462" w:type="dxa"/>
        <w:tblLayout w:type="fixed"/>
        <w:tblCellMar>
          <w:top w:w="12" w:type="dxa"/>
          <w:start w:w="12" w:type="dxa"/>
          <w:bottom w:w="0" w:type="dxa"/>
          <w:end w:w="12" w:type="dxa"/>
        </w:tblCellMar>
      </w:tblPr>
      <w:tblGrid>
        <w:gridCol w:w="1620"/>
        <w:gridCol w:w="2250"/>
        <w:gridCol w:w="2070"/>
        <w:gridCol w:w="2265"/>
      </w:tblGrid>
      <w:tr>
        <w:trPr>
          <w:trHeight w:val="297" w:hRule="atLeast"/>
        </w:trPr>
        <w:tc>
          <w:tcPr>
            <w:tcW w:w="1620" w:type="dxa"/>
            <w:tcBorders>
              <w:top w:val="single" w:sz="12" w:space="0" w:color="0000FF"/>
              <w:start w:val="single" w:sz="12" w:space="0" w:color="0000FF"/>
              <w:bottom w:val="single" w:sz="12" w:space="0" w:color="000000"/>
              <w:end w:val="single" w:sz="12" w:space="0" w:color="000000"/>
            </w:tcBorders>
            <w:shd w:fill="E0E0E0" w:val="clear"/>
            <w:vAlign w:val="bottom"/>
          </w:tcPr>
          <w:p>
            <w:pPr>
              <w:pStyle w:val="Heading7"/>
              <w:ind w:hanging="0" w:start="0"/>
              <w:rPr>
                <w:rFonts w:ascii="Lucida Sans" w:hAnsi="Lucida Sans" w:cs="Arial"/>
              </w:rPr>
            </w:pPr>
            <w:r>
              <w:rPr>
                <w:rFonts w:cs="Arial" w:ascii="Lucida Sans" w:hAnsi="Lucida Sans"/>
              </w:rPr>
              <w:t>Month</w:t>
            </w:r>
          </w:p>
        </w:tc>
        <w:tc>
          <w:tcPr>
            <w:tcW w:w="2250" w:type="dxa"/>
            <w:tcBorders>
              <w:top w:val="single" w:sz="12" w:space="0" w:color="0000FF"/>
              <w:start w:val="single" w:sz="4" w:space="0" w:color="000000"/>
              <w:bottom w:val="single" w:sz="12" w:space="0" w:color="000000"/>
              <w:end w:val="single" w:sz="4" w:space="0" w:color="000000"/>
            </w:tcBorders>
            <w:shd w:fill="E0E0E0" w:val="clear"/>
            <w:tcMar>
              <w:top w:w="0" w:type="dxa"/>
              <w:start w:w="0" w:type="dxa"/>
              <w:end w:w="0" w:type="dxa"/>
            </w:tcMar>
          </w:tcPr>
          <w:p>
            <w:pPr>
              <w:pStyle w:val="Footer"/>
              <w:tabs>
                <w:tab w:val="clear" w:pos="4320"/>
                <w:tab w:val="clear" w:pos="8640"/>
              </w:tabs>
              <w:snapToGrid w:val="false"/>
              <w:jc w:val="center"/>
              <w:rPr>
                <w:rFonts w:ascii="Lucida Sans" w:hAnsi="Lucida Sans" w:cs="Arial"/>
                <w:b/>
                <w:bCs/>
              </w:rPr>
            </w:pPr>
            <w:r>
              <w:rPr>
                <w:rFonts w:cs="Arial" w:ascii="Lucida Sans" w:hAnsi="Lucida Sans"/>
                <w:b/>
                <w:bCs/>
              </w:rPr>
            </w:r>
          </w:p>
          <w:p>
            <w:pPr>
              <w:pStyle w:val="Footer"/>
              <w:tabs>
                <w:tab w:val="clear" w:pos="4320"/>
                <w:tab w:val="clear" w:pos="8640"/>
              </w:tabs>
              <w:jc w:val="center"/>
              <w:rPr>
                <w:rFonts w:ascii="Lucida Sans" w:hAnsi="Lucida Sans" w:cs="Arial"/>
                <w:b/>
                <w:bCs/>
              </w:rPr>
            </w:pPr>
            <w:r>
              <w:rPr>
                <w:rFonts w:cs="Arial" w:ascii="Lucida Sans" w:hAnsi="Lucida Sans"/>
                <w:b/>
                <w:bCs/>
              </w:rPr>
              <w:t xml:space="preserve">Total energy costs </w:t>
            </w:r>
          </w:p>
        </w:tc>
        <w:tc>
          <w:tcPr>
            <w:tcW w:w="2070" w:type="dxa"/>
            <w:tcBorders>
              <w:top w:val="single" w:sz="12" w:space="0" w:color="0000FF"/>
              <w:start w:val="single" w:sz="4" w:space="0" w:color="000000"/>
              <w:bottom w:val="single" w:sz="12" w:space="0" w:color="000000"/>
              <w:end w:val="single" w:sz="4" w:space="0" w:color="000000"/>
            </w:tcBorders>
            <w:shd w:fill="E0E0E0" w:val="clear"/>
            <w:vAlign w:val="bottom"/>
          </w:tcPr>
          <w:p>
            <w:pPr>
              <w:pStyle w:val="Footer"/>
              <w:tabs>
                <w:tab w:val="clear" w:pos="4320"/>
                <w:tab w:val="clear" w:pos="8640"/>
              </w:tabs>
              <w:jc w:val="center"/>
              <w:rPr/>
            </w:pPr>
            <w:r>
              <w:rPr>
                <w:rFonts w:cs="Arial" w:ascii="Lucida Sans" w:hAnsi="Lucida Sans"/>
                <w:b/>
                <w:bCs/>
              </w:rPr>
              <w:t xml:space="preserve">Total energy price </w:t>
            </w:r>
            <w:r>
              <w:rPr>
                <w:i/>
                <w:iCs/>
              </w:rPr>
              <w:t>($/MWh)</w:t>
            </w:r>
          </w:p>
        </w:tc>
        <w:tc>
          <w:tcPr>
            <w:tcW w:w="2265" w:type="dxa"/>
            <w:tcBorders>
              <w:top w:val="single" w:sz="12" w:space="0" w:color="0000FF"/>
              <w:start w:val="single" w:sz="4" w:space="0" w:color="000000"/>
              <w:bottom w:val="single" w:sz="12" w:space="0" w:color="000000"/>
              <w:end w:val="single" w:sz="12" w:space="0" w:color="0000FF"/>
            </w:tcBorders>
            <w:shd w:fill="E0E0E0" w:val="clear"/>
            <w:tcMar>
              <w:top w:w="0" w:type="dxa"/>
              <w:start w:w="0" w:type="dxa"/>
              <w:end w:w="0" w:type="dxa"/>
            </w:tcMar>
          </w:tcPr>
          <w:p>
            <w:pPr>
              <w:pStyle w:val="Footer"/>
              <w:tabs>
                <w:tab w:val="clear" w:pos="4320"/>
                <w:tab w:val="clear" w:pos="8640"/>
              </w:tabs>
              <w:jc w:val="center"/>
              <w:rPr>
                <w:rFonts w:ascii="Lucida Sans" w:hAnsi="Lucida Sans" w:cs="Arial"/>
                <w:b/>
                <w:bCs/>
              </w:rPr>
            </w:pPr>
            <w:r>
              <w:rPr>
                <w:rFonts w:cs="Arial" w:ascii="Lucida Sans" w:hAnsi="Lucida Sans"/>
                <w:b/>
                <w:bCs/>
              </w:rPr>
              <w:t xml:space="preserve">Percent change </w:t>
            </w:r>
          </w:p>
          <w:p>
            <w:pPr>
              <w:pStyle w:val="Footer"/>
              <w:tabs>
                <w:tab w:val="clear" w:pos="4320"/>
                <w:tab w:val="clear" w:pos="8640"/>
              </w:tabs>
              <w:jc w:val="center"/>
              <w:rPr>
                <w:rFonts w:ascii="Lucida Sans" w:hAnsi="Lucida Sans" w:cs="Arial"/>
                <w:b/>
                <w:bCs/>
              </w:rPr>
            </w:pPr>
            <w:r>
              <w:rPr>
                <w:i/>
                <w:iCs/>
              </w:rPr>
              <w:t>(this month to Jan ’01)</w:t>
            </w:r>
          </w:p>
        </w:tc>
      </w:tr>
      <w:tr>
        <w:trPr>
          <w:trHeight w:val="297" w:hRule="atLeast"/>
        </w:trPr>
        <w:tc>
          <w:tcPr>
            <w:tcW w:w="1620" w:type="dxa"/>
            <w:tcBorders>
              <w:top w:val="single" w:sz="12" w:space="0" w:color="000000"/>
              <w:start w:val="single" w:sz="12" w:space="0" w:color="0000FF"/>
              <w:bottom w:val="single" w:sz="4" w:space="0" w:color="000000"/>
              <w:end w:val="single" w:sz="12" w:space="0" w:color="000000"/>
            </w:tcBorders>
            <w:shd w:fill="E0E0E0" w:val="clear"/>
            <w:vAlign w:val="bottom"/>
          </w:tcPr>
          <w:p>
            <w:pPr>
              <w:pStyle w:val="Heading7"/>
              <w:ind w:hanging="0" w:start="0"/>
              <w:rPr>
                <w:rFonts w:ascii="Technical" w:hAnsi="Technical" w:cs="Technical"/>
              </w:rPr>
            </w:pPr>
            <w:r>
              <w:rPr>
                <w:rFonts w:cs="Technical" w:ascii="Technical" w:hAnsi="Technical"/>
              </w:rPr>
              <w:t>January 2001</w:t>
            </w:r>
          </w:p>
        </w:tc>
        <w:tc>
          <w:tcPr>
            <w:tcW w:w="2250" w:type="dxa"/>
            <w:tcBorders>
              <w:top w:val="single" w:sz="12" w:space="0" w:color="000000"/>
              <w:start w:val="single" w:sz="4" w:space="0" w:color="000000"/>
              <w:bottom w:val="single" w:sz="4" w:space="0" w:color="000000"/>
              <w:end w:val="single" w:sz="4" w:space="0" w:color="000000"/>
            </w:tcBorders>
            <w:tcMar>
              <w:top w:w="0" w:type="dxa"/>
              <w:start w:w="0" w:type="dxa"/>
              <w:end w:w="0" w:type="dxa"/>
            </w:tcMar>
          </w:tcPr>
          <w:p>
            <w:pPr>
              <w:pStyle w:val="Normal"/>
              <w:jc w:val="center"/>
              <w:rPr/>
            </w:pPr>
            <w:r>
              <w:rPr/>
              <w:t>$5.1 billion</w:t>
            </w:r>
          </w:p>
        </w:tc>
        <w:tc>
          <w:tcPr>
            <w:tcW w:w="2070" w:type="dxa"/>
            <w:tcBorders>
              <w:top w:val="single" w:sz="12" w:space="0" w:color="000000"/>
              <w:start w:val="single" w:sz="4" w:space="0" w:color="000000"/>
              <w:bottom w:val="single" w:sz="4" w:space="0" w:color="000000"/>
              <w:end w:val="single" w:sz="4" w:space="0" w:color="000000"/>
            </w:tcBorders>
          </w:tcPr>
          <w:p>
            <w:pPr>
              <w:pStyle w:val="Normal"/>
              <w:jc w:val="center"/>
              <w:rPr/>
            </w:pPr>
            <w:r>
              <w:rPr/>
              <w:t xml:space="preserve">  </w:t>
            </w:r>
            <w:r>
              <w:rPr/>
              <w:t>$291</w:t>
            </w:r>
            <w:r>
              <w:rPr>
                <w:rFonts w:cs="Abadi MT Condensed Light" w:ascii="Abadi MT Condensed Light" w:hAnsi="Abadi MT Condensed Light"/>
                <w:b/>
                <w:bCs/>
                <w:i/>
                <w:iCs/>
              </w:rPr>
              <w:t>*</w:t>
            </w:r>
          </w:p>
        </w:tc>
        <w:tc>
          <w:tcPr>
            <w:tcW w:w="2265" w:type="dxa"/>
            <w:tcBorders>
              <w:top w:val="single" w:sz="12" w:space="0" w:color="000000"/>
              <w:start w:val="single" w:sz="4" w:space="0" w:color="000000"/>
              <w:bottom w:val="single" w:sz="4" w:space="0" w:color="000000"/>
              <w:end w:val="single" w:sz="12" w:space="0" w:color="0000FF"/>
            </w:tcBorders>
            <w:tcMar>
              <w:top w:w="0" w:type="dxa"/>
              <w:start w:w="0" w:type="dxa"/>
              <w:end w:w="0" w:type="dxa"/>
            </w:tcMar>
          </w:tcPr>
          <w:p>
            <w:pPr>
              <w:pStyle w:val="Normal"/>
              <w:jc w:val="center"/>
              <w:rPr/>
            </w:pPr>
            <w:r>
              <w:rPr/>
              <w:t>-</w:t>
            </w:r>
          </w:p>
        </w:tc>
      </w:tr>
      <w:tr>
        <w:trPr>
          <w:trHeight w:val="297" w:hRule="atLeast"/>
        </w:trPr>
        <w:tc>
          <w:tcPr>
            <w:tcW w:w="1620" w:type="dxa"/>
            <w:tcBorders>
              <w:top w:val="single" w:sz="4" w:space="0" w:color="000000"/>
              <w:start w:val="single" w:sz="12" w:space="0" w:color="0000FF"/>
              <w:bottom w:val="single" w:sz="4" w:space="0" w:color="000000"/>
              <w:end w:val="single" w:sz="12" w:space="0" w:color="000000"/>
            </w:tcBorders>
            <w:shd w:fill="E0E0E0" w:val="clear"/>
            <w:vAlign w:val="bottom"/>
          </w:tcPr>
          <w:p>
            <w:pPr>
              <w:pStyle w:val="Heading7"/>
              <w:ind w:hanging="0" w:start="0"/>
              <w:rPr>
                <w:rFonts w:ascii="Technical" w:hAnsi="Technical" w:cs="Technical"/>
              </w:rPr>
            </w:pPr>
            <w:r>
              <w:rPr>
                <w:rFonts w:cs="Technical" w:ascii="Technical" w:hAnsi="Technical"/>
              </w:rPr>
              <w:t>December 2000</w:t>
            </w:r>
          </w:p>
        </w:tc>
        <w:tc>
          <w:tcPr>
            <w:tcW w:w="2250" w:type="dxa"/>
            <w:tcBorders>
              <w:top w:val="single" w:sz="4" w:space="0" w:color="000000"/>
              <w:start w:val="single" w:sz="4" w:space="0" w:color="000000"/>
              <w:bottom w:val="single" w:sz="4" w:space="0" w:color="000000"/>
              <w:end w:val="single" w:sz="4" w:space="0" w:color="000000"/>
            </w:tcBorders>
            <w:tcMar>
              <w:top w:w="0" w:type="dxa"/>
              <w:start w:w="0" w:type="dxa"/>
              <w:end w:w="0" w:type="dxa"/>
            </w:tcMar>
          </w:tcPr>
          <w:p>
            <w:pPr>
              <w:pStyle w:val="Normal"/>
              <w:jc w:val="center"/>
              <w:rPr/>
            </w:pPr>
            <w:r>
              <w:rPr/>
              <w:t>$5.7 billion</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$294</w:t>
            </w:r>
          </w:p>
        </w:tc>
        <w:tc>
          <w:tcPr>
            <w:tcW w:w="2265" w:type="dxa"/>
            <w:tcBorders>
              <w:top w:val="single" w:sz="4" w:space="0" w:color="000000"/>
              <w:start w:val="single" w:sz="4" w:space="0" w:color="000000"/>
              <w:bottom w:val="single" w:sz="4" w:space="0" w:color="000000"/>
              <w:end w:val="single" w:sz="12" w:space="0" w:color="0000FF"/>
            </w:tcBorders>
            <w:tcMar>
              <w:top w:w="0" w:type="dxa"/>
              <w:start w:w="0" w:type="dxa"/>
              <w:end w:w="0" w:type="dxa"/>
            </w:tcMar>
          </w:tcPr>
          <w:p>
            <w:pPr>
              <w:pStyle w:val="Normal"/>
              <w:jc w:val="center"/>
              <w:rPr/>
            </w:pPr>
            <w:r>
              <w:rPr/>
              <w:t>-1%</w:t>
            </w:r>
          </w:p>
        </w:tc>
      </w:tr>
      <w:tr>
        <w:trPr>
          <w:trHeight w:val="297" w:hRule="atLeast"/>
        </w:trPr>
        <w:tc>
          <w:tcPr>
            <w:tcW w:w="1620" w:type="dxa"/>
            <w:tcBorders>
              <w:top w:val="single" w:sz="4" w:space="0" w:color="000000"/>
              <w:start w:val="single" w:sz="12" w:space="0" w:color="0000FF"/>
              <w:bottom w:val="single" w:sz="12" w:space="0" w:color="0000FF"/>
              <w:end w:val="single" w:sz="12" w:space="0" w:color="000000"/>
            </w:tcBorders>
            <w:shd w:fill="E0E0E0" w:val="clear"/>
            <w:vAlign w:val="bottom"/>
          </w:tcPr>
          <w:p>
            <w:pPr>
              <w:pStyle w:val="Normal"/>
              <w:rPr>
                <w:rFonts w:ascii="Technical" w:hAnsi="Technical" w:cs="Technical"/>
                <w:b/>
                <w:bCs/>
              </w:rPr>
            </w:pPr>
            <w:r>
              <w:rPr>
                <w:rFonts w:cs="Technical" w:ascii="Technical" w:hAnsi="Technical"/>
                <w:b/>
                <w:bCs/>
              </w:rPr>
              <w:t>January 2000</w:t>
            </w:r>
          </w:p>
        </w:tc>
        <w:tc>
          <w:tcPr>
            <w:tcW w:w="2250" w:type="dxa"/>
            <w:tcBorders>
              <w:top w:val="single" w:sz="4" w:space="0" w:color="000000"/>
              <w:start w:val="single" w:sz="4" w:space="0" w:color="000000"/>
              <w:bottom w:val="single" w:sz="12" w:space="0" w:color="0000FF"/>
              <w:end w:val="single" w:sz="4" w:space="0" w:color="000000"/>
            </w:tcBorders>
            <w:tcMar>
              <w:top w:w="0" w:type="dxa"/>
              <w:start w:w="0" w:type="dxa"/>
              <w:end w:w="0" w:type="dxa"/>
            </w:tcMar>
          </w:tcPr>
          <w:p>
            <w:pPr>
              <w:pStyle w:val="Normal"/>
              <w:jc w:val="center"/>
              <w:rPr/>
            </w:pPr>
            <w:r>
              <w:rPr/>
              <w:t>$600 million</w:t>
            </w:r>
          </w:p>
        </w:tc>
        <w:tc>
          <w:tcPr>
            <w:tcW w:w="2070" w:type="dxa"/>
            <w:tcBorders>
              <w:top w:val="single" w:sz="4" w:space="0" w:color="000000"/>
              <w:start w:val="single" w:sz="4" w:space="0" w:color="000000"/>
              <w:bottom w:val="single" w:sz="12" w:space="0" w:color="0000FF"/>
              <w:end w:val="single" w:sz="4" w:space="0" w:color="000000"/>
            </w:tcBorders>
          </w:tcPr>
          <w:p>
            <w:pPr>
              <w:pStyle w:val="Normal"/>
              <w:jc w:val="center"/>
              <w:rPr/>
            </w:pPr>
            <w:r>
              <w:rPr/>
              <w:t>$32</w:t>
            </w:r>
          </w:p>
        </w:tc>
        <w:tc>
          <w:tcPr>
            <w:tcW w:w="2265" w:type="dxa"/>
            <w:tcBorders>
              <w:top w:val="single" w:sz="4" w:space="0" w:color="000000"/>
              <w:start w:val="single" w:sz="4" w:space="0" w:color="000000"/>
              <w:bottom w:val="single" w:sz="12" w:space="0" w:color="0000FF"/>
              <w:end w:val="single" w:sz="12" w:space="0" w:color="0000FF"/>
            </w:tcBorders>
            <w:tcMar>
              <w:top w:w="0" w:type="dxa"/>
              <w:start w:w="0" w:type="dxa"/>
              <w:end w:w="0" w:type="dxa"/>
            </w:tcMar>
          </w:tcPr>
          <w:p>
            <w:pPr>
              <w:pStyle w:val="Normal"/>
              <w:jc w:val="center"/>
              <w:rPr/>
            </w:pPr>
            <w:r>
              <w:rPr/>
              <w:t>863%</w:t>
            </w:r>
          </w:p>
        </w:tc>
      </w:tr>
    </w:tbl>
    <w:p>
      <w:pPr>
        <w:pStyle w:val="Footer"/>
        <w:tabs>
          <w:tab w:val="clear" w:pos="4320"/>
          <w:tab w:val="clear" w:pos="8640"/>
        </w:tabs>
        <w:jc w:val="center"/>
        <w:rPr>
          <w:rFonts w:ascii="Abadi MT Condensed Light" w:hAnsi="Abadi MT Condensed Light" w:cs="Abadi MT Condensed Light"/>
          <w:b/>
          <w:bCs/>
          <w:i/>
          <w:i/>
          <w:iCs/>
        </w:rPr>
      </w:pPr>
      <w:r>
        <w:rPr>
          <w:rFonts w:cs="Abadi MT Condensed Light" w:ascii="Abadi MT Condensed Light" w:hAnsi="Abadi MT Condensed Light"/>
          <w:b/>
          <w:bCs/>
          <w:i/>
          <w:iCs/>
        </w:rPr>
        <w:t>* Second highest since April 1998, after December 2000.</w:t>
      </w:r>
    </w:p>
    <w:p>
      <w:pPr>
        <w:pStyle w:val="Footer"/>
        <w:tabs>
          <w:tab w:val="clear" w:pos="4320"/>
          <w:tab w:val="clear" w:pos="8640"/>
        </w:tabs>
        <w:rPr>
          <w:rFonts w:ascii="Abadi MT Condensed Light" w:hAnsi="Abadi MT Condensed Light" w:cs="Abadi MT Condensed Light"/>
          <w:b/>
          <w:bCs/>
          <w:i/>
          <w:i/>
          <w:iCs/>
          <w:sz w:val="16"/>
        </w:rPr>
      </w:pPr>
      <w:r>
        <w:rPr>
          <w:rFonts w:cs="Abadi MT Condensed Light" w:ascii="Abadi MT Condensed Light" w:hAnsi="Abadi MT Condensed Light"/>
          <w:b/>
          <w:bCs/>
          <w:i/>
          <w:iCs/>
          <w:sz w:val="16"/>
        </w:rPr>
      </w:r>
    </w:p>
    <w:p>
      <w:pPr>
        <w:pStyle w:val="Footer"/>
        <w:tabs>
          <w:tab w:val="clear" w:pos="4320"/>
          <w:tab w:val="clear" w:pos="8640"/>
        </w:tabs>
        <w:ind w:start="360" w:end="0"/>
        <w:rPr>
          <w:sz w:val="16"/>
        </w:rPr>
      </w:pPr>
      <w:r>
        <w:rPr>
          <w:sz w:val="16"/>
        </w:rPr>
      </w:r>
    </w:p>
    <w:p>
      <w:pPr>
        <w:pStyle w:val="Footer"/>
        <w:numPr>
          <w:ilvl w:val="0"/>
          <w:numId w:val="2"/>
        </w:numPr>
        <w:tabs>
          <w:tab w:val="clear" w:pos="4320"/>
          <w:tab w:val="clear" w:pos="8640"/>
        </w:tabs>
        <w:rPr/>
      </w:pPr>
      <w:r>
        <w:rPr>
          <w:rFonts w:cs="Lucida Sans" w:ascii="Lucida Sans" w:hAnsi="Lucida Sans"/>
          <w:b/>
          <w:bCs/>
          <w:u w:val="single"/>
        </w:rPr>
        <w:t>Future price reporting:</w:t>
      </w:r>
      <w:r>
        <w:rPr/>
        <w:t xml:space="preserve">  In the future, the ISO will probably report Real-Time energy prices in 3 ways, as shown below, in addition to average overall prices:  </w:t>
      </w:r>
    </w:p>
    <w:p>
      <w:pPr>
        <w:pStyle w:val="Footer"/>
        <w:tabs>
          <w:tab w:val="clear" w:pos="4320"/>
          <w:tab w:val="clear" w:pos="8640"/>
        </w:tabs>
        <w:rPr>
          <w:sz w:val="16"/>
        </w:rPr>
      </w:pPr>
      <w:r>
        <w:rPr>
          <w:sz w:val="16"/>
        </w:rPr>
      </w:r>
    </w:p>
    <w:tbl>
      <w:tblPr>
        <w:tblW w:w="8460" w:type="dxa"/>
        <w:jc w:val="start"/>
        <w:tblInd w:w="282" w:type="dxa"/>
        <w:tblLayout w:type="fixed"/>
        <w:tblCellMar>
          <w:top w:w="12" w:type="dxa"/>
          <w:start w:w="12" w:type="dxa"/>
          <w:bottom w:w="0" w:type="dxa"/>
          <w:end w:w="12" w:type="dxa"/>
        </w:tblCellMar>
      </w:tblPr>
      <w:tblGrid>
        <w:gridCol w:w="3150"/>
        <w:gridCol w:w="2790"/>
        <w:gridCol w:w="2520"/>
      </w:tblGrid>
      <w:tr>
        <w:trPr>
          <w:trHeight w:val="297" w:hRule="atLeast"/>
        </w:trPr>
        <w:tc>
          <w:tcPr>
            <w:tcW w:w="3150" w:type="dxa"/>
            <w:tcBorders>
              <w:top w:val="single" w:sz="12" w:space="0" w:color="0000FF"/>
              <w:start w:val="single" w:sz="12" w:space="0" w:color="0000FF"/>
              <w:bottom w:val="single" w:sz="12" w:space="0" w:color="000000"/>
              <w:end w:val="single" w:sz="12" w:space="0" w:color="000000"/>
            </w:tcBorders>
            <w:shd w:fill="E0E0E0" w:val="clear"/>
            <w:vAlign w:val="bottom"/>
          </w:tcPr>
          <w:p>
            <w:pPr>
              <w:pStyle w:val="Heading7"/>
              <w:ind w:hanging="0" w:start="0"/>
              <w:rPr>
                <w:rFonts w:ascii="Lucida Sans" w:hAnsi="Lucida Sans" w:cs="Arial"/>
              </w:rPr>
            </w:pPr>
            <w:r>
              <w:rPr>
                <w:rFonts w:cs="Arial" w:ascii="Lucida Sans" w:hAnsi="Lucida Sans"/>
              </w:rPr>
              <w:t>Energy price measure</w:t>
            </w:r>
          </w:p>
        </w:tc>
        <w:tc>
          <w:tcPr>
            <w:tcW w:w="2790" w:type="dxa"/>
            <w:tcBorders>
              <w:top w:val="single" w:sz="12" w:space="0" w:color="0000FF"/>
              <w:start w:val="single" w:sz="12" w:space="0" w:color="000000"/>
              <w:bottom w:val="single" w:sz="12" w:space="0" w:color="000000"/>
              <w:end w:val="single" w:sz="4" w:space="0" w:color="000000"/>
            </w:tcBorders>
            <w:shd w:fill="E0E0E0" w:val="clear"/>
            <w:tcMar>
              <w:top w:w="0" w:type="dxa"/>
              <w:start w:w="0" w:type="dxa"/>
              <w:end w:w="0" w:type="dxa"/>
            </w:tcMar>
          </w:tcPr>
          <w:p>
            <w:pPr>
              <w:pStyle w:val="Footer"/>
              <w:tabs>
                <w:tab w:val="clear" w:pos="4320"/>
                <w:tab w:val="clear" w:pos="8640"/>
              </w:tabs>
              <w:rPr>
                <w:rFonts w:ascii="Lucida Sans" w:hAnsi="Lucida Sans" w:cs="Arial"/>
                <w:b/>
                <w:bCs/>
              </w:rPr>
            </w:pPr>
            <w:r>
              <w:rPr>
                <w:rFonts w:cs="Arial" w:ascii="Lucida Sans" w:hAnsi="Lucida Sans"/>
                <w:b/>
                <w:bCs/>
              </w:rPr>
              <w:t>Statistic to be reported</w:t>
            </w:r>
          </w:p>
        </w:tc>
        <w:tc>
          <w:tcPr>
            <w:tcW w:w="2520" w:type="dxa"/>
            <w:tcBorders>
              <w:top w:val="single" w:sz="12" w:space="0" w:color="0000FF"/>
              <w:start w:val="single" w:sz="4" w:space="0" w:color="000000"/>
              <w:bottom w:val="single" w:sz="12" w:space="0" w:color="000000"/>
              <w:end w:val="single" w:sz="12" w:space="0" w:color="0000FF"/>
            </w:tcBorders>
            <w:shd w:fill="E0E0E0" w:val="clear"/>
            <w:vAlign w:val="bottom"/>
          </w:tcPr>
          <w:p>
            <w:pPr>
              <w:pStyle w:val="Footer"/>
              <w:tabs>
                <w:tab w:val="clear" w:pos="4320"/>
                <w:tab w:val="clear" w:pos="8640"/>
              </w:tabs>
              <w:rPr>
                <w:rFonts w:ascii="Lucida Sans" w:hAnsi="Lucida Sans" w:cs="Lucida Sans"/>
                <w:b/>
                <w:bCs/>
                <w:i/>
                <w:i/>
                <w:iCs/>
              </w:rPr>
            </w:pPr>
            <w:r>
              <w:rPr>
                <w:rFonts w:cs="Lucida Sans" w:ascii="Lucida Sans" w:hAnsi="Lucida Sans"/>
                <w:b/>
                <w:bCs/>
                <w:i/>
                <w:iCs/>
              </w:rPr>
              <w:t>Price paid to sellers</w:t>
            </w:r>
          </w:p>
        </w:tc>
      </w:tr>
      <w:tr>
        <w:trPr>
          <w:trHeight w:val="297" w:hRule="atLeast"/>
        </w:trPr>
        <w:tc>
          <w:tcPr>
            <w:tcW w:w="3150" w:type="dxa"/>
            <w:tcBorders>
              <w:top w:val="single" w:sz="12" w:space="0" w:color="000000"/>
              <w:start w:val="single" w:sz="12" w:space="0" w:color="0000FF"/>
              <w:bottom w:val="single" w:sz="4" w:space="0" w:color="000000"/>
              <w:end w:val="single" w:sz="12" w:space="0" w:color="000000"/>
            </w:tcBorders>
            <w:shd w:fill="E0E0E0" w:val="clear"/>
            <w:vAlign w:val="bottom"/>
          </w:tcPr>
          <w:p>
            <w:pPr>
              <w:pStyle w:val="Heading7"/>
              <w:ind w:hanging="0" w:start="0"/>
              <w:rPr>
                <w:rFonts w:ascii="Technical" w:hAnsi="Technical" w:cs="Technical"/>
              </w:rPr>
            </w:pPr>
            <w:r>
              <w:rPr>
                <w:rFonts w:cs="Technical" w:ascii="Technical" w:hAnsi="Technical"/>
              </w:rPr>
              <w:t>Real-Time Imbalance Energy</w:t>
            </w:r>
            <w:r>
              <w:rPr>
                <w:rFonts w:cs="Abadi MT Condensed Light" w:ascii="Abadi MT Condensed Light" w:hAnsi="Abadi MT Condensed Light"/>
                <w:i/>
                <w:iCs/>
              </w:rPr>
              <w:t>*</w:t>
            </w:r>
          </w:p>
        </w:tc>
        <w:tc>
          <w:tcPr>
            <w:tcW w:w="2790" w:type="dxa"/>
            <w:tcBorders>
              <w:top w:val="single" w:sz="12" w:space="0" w:color="000000"/>
              <w:start w:val="single" w:sz="12" w:space="0" w:color="000000"/>
              <w:bottom w:val="single" w:sz="4" w:space="0" w:color="000000"/>
              <w:end w:val="single" w:sz="4" w:space="0" w:color="000000"/>
            </w:tcBorders>
            <w:tcMar>
              <w:top w:w="0" w:type="dxa"/>
              <w:start w:w="0" w:type="dxa"/>
              <w:end w:w="0" w:type="dxa"/>
            </w:tcMar>
          </w:tcPr>
          <w:p>
            <w:pPr>
              <w:pStyle w:val="Normal"/>
              <w:snapToGrid w:val="false"/>
              <w:jc w:val="center"/>
              <w:rPr>
                <w:rFonts w:ascii="Technical" w:hAnsi="Technical" w:cs="Technical"/>
              </w:rPr>
            </w:pPr>
            <w:r>
              <w:rPr>
                <w:rFonts w:cs="Technical" w:ascii="Technical" w:hAnsi="Technical"/>
              </w:rPr>
            </w:r>
          </w:p>
        </w:tc>
        <w:tc>
          <w:tcPr>
            <w:tcW w:w="2520" w:type="dxa"/>
            <w:tcBorders>
              <w:top w:val="single" w:sz="12" w:space="0" w:color="000000"/>
              <w:start w:val="single" w:sz="4" w:space="0" w:color="000000"/>
              <w:bottom w:val="single" w:sz="4" w:space="0" w:color="000000"/>
              <w:end w:val="single" w:sz="12" w:space="0" w:color="0000FF"/>
            </w:tcBorders>
            <w:vAlign w:val="bottom"/>
          </w:tcPr>
          <w:p>
            <w:pPr>
              <w:pStyle w:val="Normal"/>
              <w:snapToGrid w:val="false"/>
              <w:jc w:val="center"/>
              <w:rPr/>
            </w:pPr>
            <w:r>
              <w:rPr/>
            </w:r>
          </w:p>
        </w:tc>
      </w:tr>
      <w:tr>
        <w:trPr>
          <w:trHeight w:val="297" w:hRule="atLeast"/>
        </w:trPr>
        <w:tc>
          <w:tcPr>
            <w:tcW w:w="3150" w:type="dxa"/>
            <w:tcBorders>
              <w:top w:val="single" w:sz="4" w:space="0" w:color="000000"/>
              <w:start w:val="single" w:sz="12" w:space="0" w:color="0000FF"/>
              <w:bottom w:val="single" w:sz="4" w:space="0" w:color="000000"/>
              <w:end w:val="single" w:sz="12" w:space="0" w:color="000000"/>
            </w:tcBorders>
            <w:shd w:fill="E0E0E0" w:val="clear"/>
            <w:vAlign w:val="bottom"/>
          </w:tcPr>
          <w:p>
            <w:pPr>
              <w:pStyle w:val="Heading7"/>
              <w:ind w:hanging="0" w:start="0"/>
              <w:rPr>
                <w:rFonts w:ascii="Technical" w:hAnsi="Technical" w:cs="Technical"/>
              </w:rPr>
            </w:pPr>
            <w:r>
              <w:rPr>
                <w:rFonts w:eastAsia="Technical" w:cs="Technical" w:ascii="Technical" w:hAnsi="Technical"/>
              </w:rPr>
              <w:t xml:space="preserve">   </w:t>
            </w:r>
            <w:r>
              <w:rPr>
                <w:rFonts w:cs="Technical" w:ascii="Technical" w:hAnsi="Technical"/>
              </w:rPr>
              <w:t>- Bids below $150 “soft cap”</w:t>
            </w:r>
          </w:p>
        </w:tc>
        <w:tc>
          <w:tcPr>
            <w:tcW w:w="2790" w:type="dxa"/>
            <w:tcBorders>
              <w:top w:val="single" w:sz="4" w:space="0" w:color="000000"/>
              <w:start w:val="single" w:sz="12" w:space="0" w:color="000000"/>
              <w:bottom w:val="single" w:sz="4" w:space="0" w:color="000000"/>
              <w:end w:val="single" w:sz="4" w:space="0" w:color="000000"/>
            </w:tcBorders>
            <w:tcMar>
              <w:top w:w="0" w:type="dxa"/>
              <w:start w:w="0" w:type="dxa"/>
              <w:end w:w="0" w:type="dxa"/>
            </w:tcMar>
          </w:tcPr>
          <w:p>
            <w:pPr>
              <w:pStyle w:val="Normal"/>
              <w:jc w:val="center"/>
              <w:rPr/>
            </w:pPr>
            <w:r>
              <w:rPr/>
              <w:t>MCP</w:t>
            </w:r>
            <w:r>
              <w:rPr>
                <w:rFonts w:cs="Abadi MT Condensed Light" w:ascii="Abadi MT Condensed Light" w:hAnsi="Abadi MT Condensed Light"/>
                <w:b/>
                <w:bCs/>
                <w:i/>
                <w:iCs/>
              </w:rPr>
              <w:t>**</w:t>
            </w:r>
            <w:r>
              <w:rPr>
                <w:rFonts w:cs="Lucida Sans" w:ascii="Lucida Sans" w:hAnsi="Lucida Sans"/>
                <w:b/>
                <w:bCs/>
                <w:i/>
                <w:iCs/>
              </w:rPr>
              <w:t xml:space="preserve"> </w:t>
            </w:r>
            <w:r>
              <w:rPr/>
              <w:t>for those bids only</w:t>
            </w:r>
          </w:p>
        </w:tc>
        <w:tc>
          <w:tcPr>
            <w:tcW w:w="2520" w:type="dxa"/>
            <w:tcBorders>
              <w:top w:val="single" w:sz="4" w:space="0" w:color="000000"/>
              <w:start w:val="single" w:sz="4" w:space="0" w:color="000000"/>
              <w:bottom w:val="single" w:sz="4" w:space="0" w:color="000000"/>
              <w:end w:val="single" w:sz="12" w:space="0" w:color="0000FF"/>
            </w:tcBorders>
            <w:vAlign w:val="bottom"/>
          </w:tcPr>
          <w:p>
            <w:pPr>
              <w:pStyle w:val="Normal"/>
              <w:jc w:val="center"/>
              <w:rPr/>
            </w:pPr>
            <w:r>
              <w:rPr/>
              <w:t>MCP for those bids only</w:t>
            </w:r>
          </w:p>
        </w:tc>
      </w:tr>
      <w:tr>
        <w:trPr>
          <w:trHeight w:val="297" w:hRule="atLeast"/>
        </w:trPr>
        <w:tc>
          <w:tcPr>
            <w:tcW w:w="3150" w:type="dxa"/>
            <w:tcBorders>
              <w:top w:val="single" w:sz="4" w:space="0" w:color="000000"/>
              <w:start w:val="single" w:sz="12" w:space="0" w:color="0000FF"/>
              <w:bottom w:val="single" w:sz="4" w:space="0" w:color="000000"/>
              <w:end w:val="single" w:sz="12" w:space="0" w:color="000000"/>
            </w:tcBorders>
            <w:shd w:fill="E0E0E0" w:val="clear"/>
            <w:vAlign w:val="bottom"/>
          </w:tcPr>
          <w:p>
            <w:pPr>
              <w:pStyle w:val="Heading7"/>
              <w:ind w:hanging="0" w:start="0"/>
              <w:rPr>
                <w:rFonts w:ascii="Technical" w:hAnsi="Technical" w:cs="Technical"/>
              </w:rPr>
            </w:pPr>
            <w:r>
              <w:rPr>
                <w:rFonts w:eastAsia="Technical" w:cs="Technical" w:ascii="Technical" w:hAnsi="Technical"/>
              </w:rPr>
              <w:t xml:space="preserve">   </w:t>
            </w:r>
            <w:r>
              <w:rPr>
                <w:rFonts w:cs="Technical" w:ascii="Technical" w:hAnsi="Technical"/>
              </w:rPr>
              <w:t>- Bids above $150</w:t>
            </w:r>
          </w:p>
        </w:tc>
        <w:tc>
          <w:tcPr>
            <w:tcW w:w="2790" w:type="dxa"/>
            <w:tcBorders>
              <w:top w:val="single" w:sz="4" w:space="0" w:color="000000"/>
              <w:start w:val="single" w:sz="12" w:space="0" w:color="000000"/>
              <w:bottom w:val="single" w:sz="4" w:space="0" w:color="000000"/>
              <w:end w:val="single" w:sz="4" w:space="0" w:color="000000"/>
            </w:tcBorders>
            <w:tcMar>
              <w:top w:w="0" w:type="dxa"/>
              <w:start w:w="0" w:type="dxa"/>
              <w:end w:w="0" w:type="dxa"/>
            </w:tcMar>
          </w:tcPr>
          <w:p>
            <w:pPr>
              <w:pStyle w:val="Normal"/>
              <w:jc w:val="center"/>
              <w:rPr/>
            </w:pPr>
            <w:r>
              <w:rPr/>
              <w:t>Weighted average price</w:t>
            </w:r>
          </w:p>
        </w:tc>
        <w:tc>
          <w:tcPr>
            <w:tcW w:w="2520" w:type="dxa"/>
            <w:tcBorders>
              <w:top w:val="single" w:sz="4" w:space="0" w:color="000000"/>
              <w:start w:val="single" w:sz="4" w:space="0" w:color="000000"/>
              <w:bottom w:val="single" w:sz="4" w:space="0" w:color="000000"/>
              <w:end w:val="single" w:sz="12" w:space="0" w:color="0000FF"/>
            </w:tcBorders>
            <w:vAlign w:val="bottom"/>
          </w:tcPr>
          <w:p>
            <w:pPr>
              <w:pStyle w:val="Normal"/>
              <w:jc w:val="center"/>
              <w:rPr/>
            </w:pPr>
            <w:r>
              <w:rPr/>
              <w:t>“</w:t>
            </w:r>
            <w:r>
              <w:rPr/>
              <w:t>As-bid” price</w:t>
            </w:r>
          </w:p>
        </w:tc>
      </w:tr>
      <w:tr>
        <w:trPr>
          <w:trHeight w:val="297" w:hRule="atLeast"/>
        </w:trPr>
        <w:tc>
          <w:tcPr>
            <w:tcW w:w="3150" w:type="dxa"/>
            <w:tcBorders>
              <w:top w:val="single" w:sz="4" w:space="0" w:color="000000"/>
              <w:start w:val="single" w:sz="12" w:space="0" w:color="0000FF"/>
              <w:bottom w:val="single" w:sz="12" w:space="0" w:color="0000FF"/>
              <w:end w:val="single" w:sz="12" w:space="0" w:color="000000"/>
            </w:tcBorders>
            <w:shd w:fill="E0E0E0" w:val="clear"/>
            <w:vAlign w:val="bottom"/>
          </w:tcPr>
          <w:p>
            <w:pPr>
              <w:pStyle w:val="Normal"/>
              <w:rPr>
                <w:rFonts w:ascii="Technical" w:hAnsi="Technical" w:cs="Technical"/>
                <w:b/>
                <w:bCs/>
              </w:rPr>
            </w:pPr>
            <w:r>
              <w:rPr>
                <w:rFonts w:cs="Technical" w:ascii="Technical" w:hAnsi="Technical"/>
                <w:b/>
                <w:bCs/>
              </w:rPr>
              <w:t>Out-of-Market (OOM) energy</w:t>
            </w:r>
          </w:p>
        </w:tc>
        <w:tc>
          <w:tcPr>
            <w:tcW w:w="2790" w:type="dxa"/>
            <w:tcBorders>
              <w:top w:val="single" w:sz="4" w:space="0" w:color="000000"/>
              <w:start w:val="single" w:sz="12" w:space="0" w:color="000000"/>
              <w:bottom w:val="single" w:sz="12" w:space="0" w:color="0000FF"/>
              <w:end w:val="single" w:sz="4" w:space="0" w:color="000000"/>
            </w:tcBorders>
            <w:tcMar>
              <w:top w:w="0" w:type="dxa"/>
              <w:start w:w="0" w:type="dxa"/>
              <w:end w:w="0" w:type="dxa"/>
            </w:tcMar>
          </w:tcPr>
          <w:p>
            <w:pPr>
              <w:pStyle w:val="Normal"/>
              <w:jc w:val="center"/>
              <w:rPr/>
            </w:pPr>
            <w:r>
              <w:rPr/>
              <w:t>Weighted average price</w:t>
            </w:r>
          </w:p>
        </w:tc>
        <w:tc>
          <w:tcPr>
            <w:tcW w:w="2520" w:type="dxa"/>
            <w:tcBorders>
              <w:top w:val="single" w:sz="4" w:space="0" w:color="000000"/>
              <w:start w:val="single" w:sz="4" w:space="0" w:color="000000"/>
              <w:bottom w:val="single" w:sz="12" w:space="0" w:color="0000FF"/>
              <w:end w:val="single" w:sz="12" w:space="0" w:color="0000FF"/>
            </w:tcBorders>
            <w:vAlign w:val="bottom"/>
          </w:tcPr>
          <w:p>
            <w:pPr>
              <w:pStyle w:val="Normal"/>
              <w:jc w:val="center"/>
              <w:rPr/>
            </w:pPr>
            <w:r>
              <w:rPr/>
              <w:t>As agreed, or FERC</w:t>
            </w:r>
            <w:r>
              <w:rPr>
                <w:rFonts w:cs="Abadi MT Condensed Light" w:ascii="Abadi MT Condensed Light" w:hAnsi="Abadi MT Condensed Light"/>
                <w:b/>
                <w:bCs/>
                <w:i/>
                <w:iCs/>
              </w:rPr>
              <w:t>***</w:t>
            </w:r>
          </w:p>
        </w:tc>
      </w:tr>
    </w:tbl>
    <w:p>
      <w:pPr>
        <w:pStyle w:val="Footer"/>
        <w:tabs>
          <w:tab w:val="clear" w:pos="4320"/>
          <w:tab w:val="clear" w:pos="8640"/>
        </w:tabs>
        <w:ind w:hanging="360" w:start="900" w:end="0"/>
        <w:rPr>
          <w:rFonts w:ascii="Abadi MT Condensed Light" w:hAnsi="Abadi MT Condensed Light" w:cs="Abadi MT Condensed Light"/>
          <w:b/>
          <w:bCs/>
          <w:i/>
          <w:i/>
          <w:iCs/>
          <w:sz w:val="4"/>
        </w:rPr>
      </w:pPr>
      <w:r>
        <w:rPr>
          <w:rFonts w:cs="Abadi MT Condensed Light" w:ascii="Abadi MT Condensed Light" w:hAnsi="Abadi MT Condensed Light"/>
          <w:b/>
          <w:bCs/>
          <w:i/>
          <w:iCs/>
          <w:sz w:val="4"/>
        </w:rPr>
      </w:r>
    </w:p>
    <w:p>
      <w:pPr>
        <w:pStyle w:val="Footer"/>
        <w:tabs>
          <w:tab w:val="clear" w:pos="4320"/>
          <w:tab w:val="clear" w:pos="8640"/>
        </w:tabs>
        <w:ind w:hanging="360" w:start="900" w:end="0"/>
        <w:rPr>
          <w:rFonts w:ascii="Abadi MT Condensed Light" w:hAnsi="Abadi MT Condensed Light" w:cs="Abadi MT Condensed Light"/>
          <w:b/>
          <w:bCs/>
          <w:i/>
          <w:i/>
          <w:iCs/>
          <w:sz w:val="4"/>
        </w:rPr>
      </w:pPr>
      <w:r>
        <w:rPr>
          <w:rFonts w:cs="Abadi MT Condensed Light" w:ascii="Abadi MT Condensed Light" w:hAnsi="Abadi MT Condensed Light"/>
          <w:b/>
          <w:bCs/>
          <w:i/>
          <w:iCs/>
          <w:sz w:val="4"/>
        </w:rPr>
      </w:r>
    </w:p>
    <w:p>
      <w:pPr>
        <w:pStyle w:val="Footer"/>
        <w:tabs>
          <w:tab w:val="clear" w:pos="4320"/>
          <w:tab w:val="clear" w:pos="8640"/>
        </w:tabs>
        <w:ind w:hanging="360" w:start="900" w:end="0"/>
        <w:rPr>
          <w:rFonts w:ascii="Abadi MT Condensed Light" w:hAnsi="Abadi MT Condensed Light" w:cs="Abadi MT Condensed Light"/>
          <w:b/>
          <w:bCs/>
          <w:i/>
          <w:i/>
          <w:iCs/>
        </w:rPr>
      </w:pPr>
      <w:r>
        <w:rPr>
          <w:rFonts w:cs="Abadi MT Condensed Light" w:ascii="Abadi MT Condensed Light" w:hAnsi="Abadi MT Condensed Light"/>
          <w:b/>
          <w:bCs/>
          <w:i/>
          <w:iCs/>
        </w:rPr>
        <w:t>* Energy dispatched from Ancillary Services capacity, plus Supplemental Energy.</w:t>
      </w:r>
    </w:p>
    <w:p>
      <w:pPr>
        <w:pStyle w:val="Footer"/>
        <w:tabs>
          <w:tab w:val="clear" w:pos="4320"/>
          <w:tab w:val="clear" w:pos="8640"/>
        </w:tabs>
        <w:ind w:hanging="360" w:start="900" w:end="0"/>
        <w:rPr>
          <w:rFonts w:ascii="Abadi MT Condensed Light" w:hAnsi="Abadi MT Condensed Light" w:cs="Abadi MT Condensed Light"/>
          <w:b/>
          <w:bCs/>
          <w:i/>
          <w:i/>
          <w:iCs/>
        </w:rPr>
      </w:pPr>
      <w:r>
        <w:rPr>
          <w:rFonts w:cs="Abadi MT Condensed Light" w:ascii="Abadi MT Condensed Light" w:hAnsi="Abadi MT Condensed Light"/>
          <w:b/>
          <w:bCs/>
          <w:i/>
          <w:iCs/>
        </w:rPr>
        <w:t>** Market-Clearing Price:  Price of the last (most expensive) bid accepted.</w:t>
      </w:r>
    </w:p>
    <w:p>
      <w:pPr>
        <w:pStyle w:val="Footer"/>
        <w:tabs>
          <w:tab w:val="clear" w:pos="4320"/>
          <w:tab w:val="clear" w:pos="8640"/>
        </w:tabs>
        <w:ind w:hanging="360" w:start="900" w:end="0"/>
        <w:rPr/>
      </w:pPr>
      <w:r>
        <w:rPr>
          <w:rFonts w:cs="Abadi MT Condensed Light" w:ascii="Abadi MT Condensed Light" w:hAnsi="Abadi MT Condensed Light"/>
          <w:b/>
          <w:bCs/>
          <w:i/>
          <w:iCs/>
        </w:rPr>
        <w:t>*** FERC would decide if the energy is procured subject to the DOE emergency order, and the ISO and the seller can’t agree on a price.  (Note that the DOE order expires on February 7</w:t>
      </w:r>
      <w:r>
        <w:rPr>
          <w:rFonts w:cs="Abadi MT Condensed Light" w:ascii="Abadi MT Condensed Light" w:hAnsi="Abadi MT Condensed Light"/>
          <w:b/>
          <w:bCs/>
          <w:i/>
          <w:iCs/>
          <w:vertAlign w:val="superscript"/>
        </w:rPr>
        <w:t>th</w:t>
      </w:r>
      <w:r>
        <w:rPr>
          <w:rFonts w:cs="Abadi MT Condensed Light" w:ascii="Abadi MT Condensed Light" w:hAnsi="Abadi MT Condensed Light"/>
          <w:b/>
          <w:bCs/>
          <w:i/>
          <w:iCs/>
        </w:rPr>
        <w:t>.)</w:t>
      </w:r>
    </w:p>
    <w:p>
      <w:pPr>
        <w:pStyle w:val="Footer"/>
        <w:tabs>
          <w:tab w:val="clear" w:pos="4320"/>
          <w:tab w:val="clear" w:pos="8640"/>
        </w:tabs>
        <w:ind w:start="360" w:end="0"/>
        <w:rPr>
          <w:rFonts w:ascii="Abadi MT Condensed Light" w:hAnsi="Abadi MT Condensed Light" w:cs="Abadi MT Condensed Light"/>
          <w:b/>
          <w:bCs/>
          <w:i/>
          <w:i/>
          <w:iCs/>
          <w:sz w:val="16"/>
        </w:rPr>
      </w:pPr>
      <w:r>
        <w:rPr>
          <w:rFonts w:cs="Abadi MT Condensed Light" w:ascii="Abadi MT Condensed Light" w:hAnsi="Abadi MT Condensed Light"/>
          <w:b/>
          <w:bCs/>
          <w:i/>
          <w:iCs/>
          <w:sz w:val="16"/>
        </w:rPr>
      </w:r>
    </w:p>
    <w:p>
      <w:pPr>
        <w:pStyle w:val="Footer"/>
        <w:numPr>
          <w:ilvl w:val="0"/>
          <w:numId w:val="2"/>
        </w:numPr>
        <w:tabs>
          <w:tab w:val="clear" w:pos="4320"/>
          <w:tab w:val="clear" w:pos="8640"/>
        </w:tabs>
        <w:rPr/>
      </w:pPr>
      <w:r>
        <w:rPr>
          <w:rFonts w:cs="Lucida Sans" w:ascii="Lucida Sans" w:hAnsi="Lucida Sans"/>
          <w:b/>
          <w:bCs/>
          <w:u w:val="single"/>
        </w:rPr>
        <w:t>ISO Real-Time energy prices vs. other regional spot-market prices:</w:t>
      </w:r>
      <w:r>
        <w:rPr/>
        <w:t xml:space="preserve">  The DMA noted that these markets are thinly traded, and the data are largely self-reported, so the accuracy of these numbers is uncertain.</w:t>
      </w:r>
    </w:p>
    <w:p>
      <w:pPr>
        <w:pStyle w:val="Footer"/>
        <w:tabs>
          <w:tab w:val="clear" w:pos="4320"/>
          <w:tab w:val="clear" w:pos="8640"/>
        </w:tabs>
        <w:rPr>
          <w:sz w:val="16"/>
        </w:rPr>
      </w:pPr>
      <w:r>
        <w:rPr>
          <w:sz w:val="16"/>
        </w:rPr>
      </w:r>
    </w:p>
    <w:p>
      <w:pPr>
        <w:pStyle w:val="Footer"/>
        <w:tabs>
          <w:tab w:val="clear" w:pos="4320"/>
          <w:tab w:val="clear" w:pos="8640"/>
        </w:tabs>
        <w:jc w:val="center"/>
        <w:rPr>
          <w:b/>
          <w:bCs/>
        </w:rPr>
      </w:pPr>
      <w:r>
        <w:rPr>
          <w:b/>
          <w:bCs/>
        </w:rPr>
        <w:t xml:space="preserve">On-Peak Spot Energy Prices </w:t>
      </w:r>
      <w:r>
        <w:rPr>
          <w:i/>
          <w:iCs/>
        </w:rPr>
        <w:t>(nearest $10)</w:t>
      </w:r>
    </w:p>
    <w:p>
      <w:pPr>
        <w:pStyle w:val="Footer"/>
        <w:tabs>
          <w:tab w:val="clear" w:pos="4320"/>
          <w:tab w:val="clear" w:pos="8640"/>
        </w:tabs>
        <w:rPr>
          <w:b/>
          <w:bCs/>
          <w:sz w:val="4"/>
        </w:rPr>
      </w:pPr>
      <w:r>
        <w:rPr>
          <w:b/>
          <w:bCs/>
          <w:sz w:val="4"/>
        </w:rPr>
      </w:r>
    </w:p>
    <w:tbl>
      <w:tblPr>
        <w:tblW w:w="8550" w:type="dxa"/>
        <w:jc w:val="start"/>
        <w:tblInd w:w="462" w:type="dxa"/>
        <w:tblLayout w:type="fixed"/>
        <w:tblCellMar>
          <w:top w:w="12" w:type="dxa"/>
          <w:start w:w="12" w:type="dxa"/>
          <w:bottom w:w="0" w:type="dxa"/>
          <w:end w:w="12" w:type="dxa"/>
        </w:tblCellMar>
      </w:tblPr>
      <w:tblGrid>
        <w:gridCol w:w="3150"/>
        <w:gridCol w:w="2700"/>
        <w:gridCol w:w="2700"/>
      </w:tblGrid>
      <w:tr>
        <w:trPr>
          <w:trHeight w:val="297" w:hRule="atLeast"/>
        </w:trPr>
        <w:tc>
          <w:tcPr>
            <w:tcW w:w="3150" w:type="dxa"/>
            <w:tcBorders>
              <w:top w:val="single" w:sz="12" w:space="0" w:color="0000FF"/>
              <w:start w:val="single" w:sz="12" w:space="0" w:color="0000FF"/>
              <w:bottom w:val="single" w:sz="12" w:space="0" w:color="000000"/>
              <w:end w:val="single" w:sz="12" w:space="0" w:color="000000"/>
            </w:tcBorders>
            <w:shd w:fill="E0E0E0" w:val="clear"/>
            <w:vAlign w:val="bottom"/>
          </w:tcPr>
          <w:p>
            <w:pPr>
              <w:pStyle w:val="Heading7"/>
              <w:ind w:hanging="0" w:start="0"/>
              <w:rPr>
                <w:rFonts w:ascii="Lucida Sans" w:hAnsi="Lucida Sans" w:cs="Arial"/>
              </w:rPr>
            </w:pPr>
            <w:r>
              <w:rPr>
                <w:rFonts w:cs="Arial" w:ascii="Lucida Sans" w:hAnsi="Lucida Sans"/>
              </w:rPr>
              <w:t>Market</w:t>
            </w:r>
          </w:p>
        </w:tc>
        <w:tc>
          <w:tcPr>
            <w:tcW w:w="2700" w:type="dxa"/>
            <w:tcBorders>
              <w:top w:val="single" w:sz="12" w:space="0" w:color="0000FF"/>
              <w:start w:val="single" w:sz="4" w:space="0" w:color="000000"/>
              <w:bottom w:val="single" w:sz="12" w:space="0" w:color="000000"/>
              <w:end w:val="single" w:sz="4" w:space="0" w:color="000000"/>
            </w:tcBorders>
            <w:shd w:fill="E0E0E0" w:val="clear"/>
            <w:tcMar>
              <w:top w:w="0" w:type="dxa"/>
              <w:start w:w="0" w:type="dxa"/>
              <w:end w:w="0" w:type="dxa"/>
            </w:tcMar>
          </w:tcPr>
          <w:p>
            <w:pPr>
              <w:pStyle w:val="Footer"/>
              <w:tabs>
                <w:tab w:val="clear" w:pos="4320"/>
                <w:tab w:val="clear" w:pos="8640"/>
              </w:tabs>
              <w:jc w:val="center"/>
              <w:rPr/>
            </w:pPr>
            <w:r>
              <w:rPr>
                <w:rFonts w:cs="Arial" w:ascii="Lucida Sans" w:hAnsi="Lucida Sans"/>
                <w:b/>
                <w:bCs/>
              </w:rPr>
              <w:t xml:space="preserve">January market price* </w:t>
            </w:r>
            <w:r>
              <w:rPr>
                <w:i/>
                <w:iCs/>
              </w:rPr>
              <w:t>($/MWh)</w:t>
            </w:r>
          </w:p>
        </w:tc>
        <w:tc>
          <w:tcPr>
            <w:tcW w:w="2700" w:type="dxa"/>
            <w:tcBorders>
              <w:top w:val="single" w:sz="12" w:space="0" w:color="0000FF"/>
              <w:start w:val="single" w:sz="4" w:space="0" w:color="000000"/>
              <w:bottom w:val="single" w:sz="12" w:space="0" w:color="000000"/>
              <w:end w:val="single" w:sz="12" w:space="0" w:color="0000FF"/>
            </w:tcBorders>
            <w:shd w:fill="E0E0E0" w:val="clear"/>
            <w:tcMar>
              <w:top w:w="0" w:type="dxa"/>
              <w:start w:w="0" w:type="dxa"/>
              <w:end w:w="0" w:type="dxa"/>
            </w:tcMar>
          </w:tcPr>
          <w:p>
            <w:pPr>
              <w:pStyle w:val="Footer"/>
              <w:tabs>
                <w:tab w:val="clear" w:pos="4320"/>
                <w:tab w:val="clear" w:pos="8640"/>
              </w:tabs>
              <w:jc w:val="center"/>
              <w:rPr>
                <w:rFonts w:ascii="Lucida Sans" w:hAnsi="Lucida Sans" w:cs="Arial"/>
                <w:b/>
                <w:bCs/>
              </w:rPr>
            </w:pPr>
            <w:r>
              <w:rPr>
                <w:rFonts w:cs="Arial" w:ascii="Lucida Sans" w:hAnsi="Lucida Sans"/>
                <w:b/>
                <w:bCs/>
              </w:rPr>
              <w:t xml:space="preserve">December market price* </w:t>
            </w:r>
            <w:r>
              <w:rPr>
                <w:i/>
                <w:iCs/>
              </w:rPr>
              <w:t>($/MWh)</w:t>
            </w:r>
          </w:p>
        </w:tc>
      </w:tr>
      <w:tr>
        <w:trPr>
          <w:trHeight w:val="297" w:hRule="atLeast"/>
        </w:trPr>
        <w:tc>
          <w:tcPr>
            <w:tcW w:w="3150" w:type="dxa"/>
            <w:tcBorders>
              <w:top w:val="single" w:sz="12" w:space="0" w:color="000000"/>
              <w:start w:val="single" w:sz="12" w:space="0" w:color="0000FF"/>
              <w:bottom w:val="single" w:sz="4" w:space="0" w:color="000000"/>
              <w:end w:val="single" w:sz="12" w:space="0" w:color="000000"/>
            </w:tcBorders>
            <w:vAlign w:val="bottom"/>
          </w:tcPr>
          <w:p>
            <w:pPr>
              <w:pStyle w:val="Heading7"/>
              <w:ind w:hanging="0" w:start="0"/>
              <w:rPr>
                <w:rFonts w:ascii="Technical" w:hAnsi="Technical" w:cs="Technical"/>
              </w:rPr>
            </w:pPr>
            <w:r>
              <w:rPr>
                <w:rFonts w:cs="Technical" w:ascii="Technical" w:hAnsi="Technical"/>
              </w:rPr>
              <w:t>ISO Real Time</w:t>
            </w:r>
          </w:p>
        </w:tc>
        <w:tc>
          <w:tcPr>
            <w:tcW w:w="2700" w:type="dxa"/>
            <w:tcBorders>
              <w:top w:val="single" w:sz="12" w:space="0" w:color="000000"/>
              <w:start w:val="single" w:sz="4" w:space="0" w:color="000000"/>
              <w:bottom w:val="single" w:sz="4" w:space="0" w:color="000000"/>
              <w:end w:val="single" w:sz="4" w:space="0" w:color="000000"/>
            </w:tcBorders>
            <w:tcMar>
              <w:top w:w="0" w:type="dxa"/>
              <w:start w:w="0" w:type="dxa"/>
              <w:end w:w="0" w:type="dxa"/>
            </w:tcMar>
          </w:tcPr>
          <w:p>
            <w:pPr>
              <w:pStyle w:val="Normal"/>
              <w:jc w:val="center"/>
              <w:rPr/>
            </w:pPr>
            <w:r>
              <w:rPr/>
              <w:t>$300</w:t>
            </w:r>
          </w:p>
        </w:tc>
        <w:tc>
          <w:tcPr>
            <w:tcW w:w="2700" w:type="dxa"/>
            <w:tcBorders>
              <w:top w:val="single" w:sz="12" w:space="0" w:color="000000"/>
              <w:start w:val="single" w:sz="4" w:space="0" w:color="000000"/>
              <w:bottom w:val="single" w:sz="4" w:space="0" w:color="000000"/>
              <w:end w:val="single" w:sz="12" w:space="0" w:color="0000FF"/>
            </w:tcBorders>
            <w:tcMar>
              <w:top w:w="0" w:type="dxa"/>
              <w:start w:w="0" w:type="dxa"/>
              <w:end w:w="0" w:type="dxa"/>
            </w:tcMar>
          </w:tcPr>
          <w:p>
            <w:pPr>
              <w:pStyle w:val="Normal"/>
              <w:jc w:val="center"/>
              <w:rPr/>
            </w:pPr>
            <w:r>
              <w:rPr/>
              <w:t>$460</w:t>
            </w:r>
          </w:p>
        </w:tc>
      </w:tr>
      <w:tr>
        <w:trPr>
          <w:trHeight w:val="297" w:hRule="atLeast"/>
        </w:trPr>
        <w:tc>
          <w:tcPr>
            <w:tcW w:w="3150" w:type="dxa"/>
            <w:tcBorders>
              <w:top w:val="single" w:sz="4" w:space="0" w:color="000000"/>
              <w:start w:val="single" w:sz="12" w:space="0" w:color="0000FF"/>
              <w:bottom w:val="single" w:sz="4" w:space="0" w:color="000000"/>
              <w:end w:val="single" w:sz="12" w:space="0" w:color="000000"/>
            </w:tcBorders>
            <w:vAlign w:val="bottom"/>
          </w:tcPr>
          <w:p>
            <w:pPr>
              <w:pStyle w:val="Heading7"/>
              <w:ind w:hanging="0" w:start="0"/>
              <w:rPr>
                <w:rFonts w:ascii="Technical" w:hAnsi="Technical" w:cs="Technical"/>
              </w:rPr>
            </w:pPr>
            <w:r>
              <w:rPr>
                <w:rFonts w:cs="Technical" w:ascii="Technical" w:hAnsi="Technical"/>
              </w:rPr>
              <w:t>California-Oregon Border (COB)</w:t>
            </w:r>
          </w:p>
        </w:tc>
        <w:tc>
          <w:tcPr>
            <w:tcW w:w="2700" w:type="dxa"/>
            <w:tcBorders>
              <w:top w:val="single" w:sz="4" w:space="0" w:color="000000"/>
              <w:start w:val="single" w:sz="4" w:space="0" w:color="000000"/>
              <w:bottom w:val="single" w:sz="4" w:space="0" w:color="000000"/>
              <w:end w:val="single" w:sz="4" w:space="0" w:color="000000"/>
            </w:tcBorders>
            <w:tcMar>
              <w:top w:w="0" w:type="dxa"/>
              <w:start w:w="0" w:type="dxa"/>
              <w:end w:w="0" w:type="dxa"/>
            </w:tcMar>
          </w:tcPr>
          <w:p>
            <w:pPr>
              <w:pStyle w:val="Normal"/>
              <w:jc w:val="center"/>
              <w:rPr/>
            </w:pPr>
            <w:r>
              <w:rPr/>
              <w:t>$280</w:t>
            </w:r>
          </w:p>
        </w:tc>
        <w:tc>
          <w:tcPr>
            <w:tcW w:w="2700" w:type="dxa"/>
            <w:tcBorders>
              <w:top w:val="single" w:sz="4" w:space="0" w:color="000000"/>
              <w:start w:val="single" w:sz="4" w:space="0" w:color="000000"/>
              <w:bottom w:val="single" w:sz="4" w:space="0" w:color="000000"/>
              <w:end w:val="single" w:sz="12" w:space="0" w:color="0000FF"/>
            </w:tcBorders>
            <w:tcMar>
              <w:top w:w="0" w:type="dxa"/>
              <w:start w:w="0" w:type="dxa"/>
              <w:end w:w="0" w:type="dxa"/>
            </w:tcMar>
          </w:tcPr>
          <w:p>
            <w:pPr>
              <w:pStyle w:val="Normal"/>
              <w:jc w:val="center"/>
              <w:rPr/>
            </w:pPr>
            <w:r>
              <w:rPr/>
              <w:t>$660</w:t>
            </w:r>
          </w:p>
        </w:tc>
      </w:tr>
      <w:tr>
        <w:trPr>
          <w:trHeight w:val="297" w:hRule="atLeast"/>
        </w:trPr>
        <w:tc>
          <w:tcPr>
            <w:tcW w:w="3150" w:type="dxa"/>
            <w:tcBorders>
              <w:top w:val="single" w:sz="4" w:space="0" w:color="000000"/>
              <w:start w:val="single" w:sz="12" w:space="0" w:color="0000FF"/>
              <w:bottom w:val="single" w:sz="4" w:space="0" w:color="000000"/>
              <w:end w:val="single" w:sz="12" w:space="0" w:color="000000"/>
            </w:tcBorders>
            <w:vAlign w:val="bottom"/>
          </w:tcPr>
          <w:p>
            <w:pPr>
              <w:pStyle w:val="Heading7"/>
              <w:ind w:hanging="0" w:start="0"/>
              <w:rPr>
                <w:rFonts w:ascii="Technical" w:hAnsi="Technical" w:cs="Technical"/>
              </w:rPr>
            </w:pPr>
            <w:r>
              <w:rPr>
                <w:rFonts w:cs="Technical" w:ascii="Technical" w:hAnsi="Technical"/>
              </w:rPr>
              <w:t>Mid-Columbia (Mid-C)</w:t>
            </w:r>
          </w:p>
        </w:tc>
        <w:tc>
          <w:tcPr>
            <w:tcW w:w="2700" w:type="dxa"/>
            <w:tcBorders>
              <w:top w:val="single" w:sz="4" w:space="0" w:color="000000"/>
              <w:start w:val="single" w:sz="4" w:space="0" w:color="000000"/>
              <w:bottom w:val="single" w:sz="4" w:space="0" w:color="000000"/>
              <w:end w:val="single" w:sz="4" w:space="0" w:color="000000"/>
            </w:tcBorders>
            <w:tcMar>
              <w:top w:w="0" w:type="dxa"/>
              <w:start w:w="0" w:type="dxa"/>
              <w:end w:w="0" w:type="dxa"/>
            </w:tcMar>
          </w:tcPr>
          <w:p>
            <w:pPr>
              <w:pStyle w:val="Normal"/>
              <w:jc w:val="center"/>
              <w:rPr/>
            </w:pPr>
            <w:r>
              <w:rPr/>
              <w:t>$250</w:t>
            </w:r>
          </w:p>
        </w:tc>
        <w:tc>
          <w:tcPr>
            <w:tcW w:w="2700" w:type="dxa"/>
            <w:tcBorders>
              <w:top w:val="single" w:sz="4" w:space="0" w:color="000000"/>
              <w:start w:val="single" w:sz="4" w:space="0" w:color="000000"/>
              <w:bottom w:val="single" w:sz="4" w:space="0" w:color="000000"/>
              <w:end w:val="single" w:sz="12" w:space="0" w:color="0000FF"/>
            </w:tcBorders>
            <w:tcMar>
              <w:top w:w="0" w:type="dxa"/>
              <w:start w:w="0" w:type="dxa"/>
              <w:end w:w="0" w:type="dxa"/>
            </w:tcMar>
          </w:tcPr>
          <w:p>
            <w:pPr>
              <w:pStyle w:val="Normal"/>
              <w:jc w:val="center"/>
              <w:rPr/>
            </w:pPr>
            <w:r>
              <w:rPr/>
              <w:t>$670</w:t>
            </w:r>
          </w:p>
        </w:tc>
      </w:tr>
      <w:tr>
        <w:trPr>
          <w:trHeight w:val="297" w:hRule="atLeast"/>
        </w:trPr>
        <w:tc>
          <w:tcPr>
            <w:tcW w:w="3150" w:type="dxa"/>
            <w:tcBorders>
              <w:top w:val="single" w:sz="4" w:space="0" w:color="000000"/>
              <w:start w:val="single" w:sz="12" w:space="0" w:color="0000FF"/>
              <w:bottom w:val="single" w:sz="12" w:space="0" w:color="0000FF"/>
              <w:end w:val="single" w:sz="12" w:space="0" w:color="000000"/>
            </w:tcBorders>
            <w:vAlign w:val="bottom"/>
          </w:tcPr>
          <w:p>
            <w:pPr>
              <w:pStyle w:val="Normal"/>
              <w:rPr>
                <w:rFonts w:ascii="Technical" w:hAnsi="Technical" w:cs="Technical"/>
                <w:b/>
                <w:bCs/>
              </w:rPr>
            </w:pPr>
            <w:r>
              <w:rPr>
                <w:rFonts w:cs="Technical" w:ascii="Technical" w:hAnsi="Technical"/>
                <w:b/>
                <w:bCs/>
              </w:rPr>
              <w:t>Palo Verde</w:t>
            </w:r>
          </w:p>
        </w:tc>
        <w:tc>
          <w:tcPr>
            <w:tcW w:w="2700" w:type="dxa"/>
            <w:tcBorders>
              <w:top w:val="single" w:sz="4" w:space="0" w:color="000000"/>
              <w:start w:val="single" w:sz="4" w:space="0" w:color="000000"/>
              <w:bottom w:val="single" w:sz="12" w:space="0" w:color="0000FF"/>
              <w:end w:val="single" w:sz="4" w:space="0" w:color="000000"/>
            </w:tcBorders>
            <w:tcMar>
              <w:top w:w="0" w:type="dxa"/>
              <w:start w:w="0" w:type="dxa"/>
              <w:end w:w="0" w:type="dxa"/>
            </w:tcMar>
          </w:tcPr>
          <w:p>
            <w:pPr>
              <w:pStyle w:val="Normal"/>
              <w:jc w:val="center"/>
              <w:rPr/>
            </w:pPr>
            <w:r>
              <w:rPr/>
              <w:t>$210</w:t>
            </w:r>
          </w:p>
        </w:tc>
        <w:tc>
          <w:tcPr>
            <w:tcW w:w="2700" w:type="dxa"/>
            <w:tcBorders>
              <w:top w:val="single" w:sz="4" w:space="0" w:color="000000"/>
              <w:start w:val="single" w:sz="4" w:space="0" w:color="000000"/>
              <w:bottom w:val="single" w:sz="12" w:space="0" w:color="0000FF"/>
              <w:end w:val="single" w:sz="12" w:space="0" w:color="0000FF"/>
            </w:tcBorders>
            <w:tcMar>
              <w:top w:w="0" w:type="dxa"/>
              <w:start w:w="0" w:type="dxa"/>
              <w:end w:w="0" w:type="dxa"/>
            </w:tcMar>
          </w:tcPr>
          <w:p>
            <w:pPr>
              <w:pStyle w:val="Normal"/>
              <w:jc w:val="center"/>
              <w:rPr/>
            </w:pPr>
            <w:r>
              <w:rPr/>
              <w:t>$260</w:t>
            </w:r>
          </w:p>
        </w:tc>
      </w:tr>
    </w:tbl>
    <w:p>
      <w:pPr>
        <w:pStyle w:val="Footer"/>
        <w:tabs>
          <w:tab w:val="clear" w:pos="4320"/>
          <w:tab w:val="clear" w:pos="8640"/>
        </w:tabs>
        <w:jc w:val="center"/>
        <w:rPr>
          <w:rFonts w:ascii="Abadi MT Condensed Light" w:hAnsi="Abadi MT Condensed Light" w:cs="Abadi MT Condensed Light"/>
          <w:b/>
          <w:bCs/>
          <w:i/>
          <w:i/>
          <w:iCs/>
        </w:rPr>
      </w:pPr>
      <w:r>
        <w:rPr>
          <w:rFonts w:cs="Abadi MT Condensed Light" w:ascii="Abadi MT Condensed Light" w:hAnsi="Abadi MT Condensed Light"/>
          <w:b/>
          <w:bCs/>
          <w:i/>
          <w:iCs/>
        </w:rPr>
        <w:t>* Weighted by ISO Real-Time volumes, so profile is the same.</w:t>
      </w:r>
    </w:p>
    <w:p>
      <w:pPr>
        <w:pStyle w:val="Footer"/>
        <w:tabs>
          <w:tab w:val="clear" w:pos="4320"/>
          <w:tab w:val="clear" w:pos="8640"/>
        </w:tabs>
        <w:rPr>
          <w:rFonts w:ascii="Abadi MT Condensed Light" w:hAnsi="Abadi MT Condensed Light" w:cs="Abadi MT Condensed Light"/>
          <w:b/>
          <w:bCs/>
          <w:i/>
          <w:i/>
          <w:iCs/>
          <w:sz w:val="16"/>
        </w:rPr>
      </w:pPr>
      <w:r>
        <w:rPr>
          <w:rFonts w:cs="Abadi MT Condensed Light" w:ascii="Abadi MT Condensed Light" w:hAnsi="Abadi MT Condensed Light"/>
          <w:b/>
          <w:bCs/>
          <w:i/>
          <w:iCs/>
          <w:sz w:val="16"/>
        </w:rPr>
      </w:r>
    </w:p>
    <w:p>
      <w:pPr>
        <w:pStyle w:val="Footer"/>
        <w:tabs>
          <w:tab w:val="clear" w:pos="4320"/>
          <w:tab w:val="clear" w:pos="8640"/>
        </w:tabs>
        <w:jc w:val="center"/>
        <w:rPr/>
      </w:pPr>
      <w:r>
        <w:rPr>
          <w:b/>
          <w:bCs/>
        </w:rPr>
        <w:t xml:space="preserve">Off-Peak Spot Energy Prices </w:t>
      </w:r>
      <w:r>
        <w:rPr>
          <w:i/>
          <w:iCs/>
        </w:rPr>
        <w:t>(nearest $10)</w:t>
      </w:r>
    </w:p>
    <w:p>
      <w:pPr>
        <w:pStyle w:val="Footer"/>
        <w:tabs>
          <w:tab w:val="clear" w:pos="4320"/>
          <w:tab w:val="clear" w:pos="8640"/>
        </w:tabs>
        <w:rPr>
          <w:i/>
          <w:i/>
          <w:iCs/>
          <w:sz w:val="4"/>
        </w:rPr>
      </w:pPr>
      <w:r>
        <w:rPr>
          <w:i/>
          <w:iCs/>
          <w:sz w:val="4"/>
        </w:rPr>
      </w:r>
    </w:p>
    <w:tbl>
      <w:tblPr>
        <w:tblW w:w="8550" w:type="dxa"/>
        <w:jc w:val="start"/>
        <w:tblInd w:w="462" w:type="dxa"/>
        <w:tblLayout w:type="fixed"/>
        <w:tblCellMar>
          <w:top w:w="12" w:type="dxa"/>
          <w:start w:w="12" w:type="dxa"/>
          <w:bottom w:w="0" w:type="dxa"/>
          <w:end w:w="12" w:type="dxa"/>
        </w:tblCellMar>
      </w:tblPr>
      <w:tblGrid>
        <w:gridCol w:w="3150"/>
        <w:gridCol w:w="2700"/>
        <w:gridCol w:w="2700"/>
      </w:tblGrid>
      <w:tr>
        <w:trPr>
          <w:trHeight w:val="297" w:hRule="atLeast"/>
        </w:trPr>
        <w:tc>
          <w:tcPr>
            <w:tcW w:w="3150" w:type="dxa"/>
            <w:tcBorders>
              <w:top w:val="single" w:sz="12" w:space="0" w:color="0000FF"/>
              <w:start w:val="single" w:sz="12" w:space="0" w:color="0000FF"/>
              <w:bottom w:val="single" w:sz="12" w:space="0" w:color="000000"/>
              <w:end w:val="single" w:sz="12" w:space="0" w:color="000000"/>
            </w:tcBorders>
            <w:shd w:fill="E0E0E0" w:val="clear"/>
            <w:vAlign w:val="bottom"/>
          </w:tcPr>
          <w:p>
            <w:pPr>
              <w:pStyle w:val="Heading7"/>
              <w:ind w:hanging="0" w:start="0"/>
              <w:rPr>
                <w:rFonts w:ascii="Lucida Sans" w:hAnsi="Lucida Sans" w:cs="Arial"/>
              </w:rPr>
            </w:pPr>
            <w:r>
              <w:rPr>
                <w:rFonts w:cs="Arial" w:ascii="Lucida Sans" w:hAnsi="Lucida Sans"/>
              </w:rPr>
              <w:t>Market</w:t>
            </w:r>
          </w:p>
        </w:tc>
        <w:tc>
          <w:tcPr>
            <w:tcW w:w="2700" w:type="dxa"/>
            <w:tcBorders>
              <w:top w:val="single" w:sz="12" w:space="0" w:color="0000FF"/>
              <w:start w:val="single" w:sz="4" w:space="0" w:color="000000"/>
              <w:bottom w:val="single" w:sz="12" w:space="0" w:color="000000"/>
              <w:end w:val="single" w:sz="4" w:space="0" w:color="000000"/>
            </w:tcBorders>
            <w:shd w:fill="E0E0E0" w:val="clear"/>
            <w:tcMar>
              <w:top w:w="0" w:type="dxa"/>
              <w:start w:w="0" w:type="dxa"/>
              <w:end w:w="0" w:type="dxa"/>
            </w:tcMar>
          </w:tcPr>
          <w:p>
            <w:pPr>
              <w:pStyle w:val="Footer"/>
              <w:tabs>
                <w:tab w:val="clear" w:pos="4320"/>
                <w:tab w:val="clear" w:pos="8640"/>
              </w:tabs>
              <w:jc w:val="center"/>
              <w:rPr/>
            </w:pPr>
            <w:r>
              <w:rPr>
                <w:rFonts w:cs="Arial" w:ascii="Lucida Sans" w:hAnsi="Lucida Sans"/>
                <w:b/>
                <w:bCs/>
              </w:rPr>
              <w:t xml:space="preserve">January market price* </w:t>
            </w:r>
            <w:r>
              <w:rPr>
                <w:i/>
                <w:iCs/>
              </w:rPr>
              <w:t>($/MWh)</w:t>
            </w:r>
          </w:p>
        </w:tc>
        <w:tc>
          <w:tcPr>
            <w:tcW w:w="2700" w:type="dxa"/>
            <w:tcBorders>
              <w:top w:val="single" w:sz="12" w:space="0" w:color="0000FF"/>
              <w:start w:val="single" w:sz="4" w:space="0" w:color="000000"/>
              <w:bottom w:val="single" w:sz="12" w:space="0" w:color="000000"/>
              <w:end w:val="single" w:sz="12" w:space="0" w:color="0000FF"/>
            </w:tcBorders>
            <w:shd w:fill="E0E0E0" w:val="clear"/>
            <w:tcMar>
              <w:top w:w="0" w:type="dxa"/>
              <w:start w:w="0" w:type="dxa"/>
              <w:end w:w="0" w:type="dxa"/>
            </w:tcMar>
          </w:tcPr>
          <w:p>
            <w:pPr>
              <w:pStyle w:val="Footer"/>
              <w:tabs>
                <w:tab w:val="clear" w:pos="4320"/>
                <w:tab w:val="clear" w:pos="8640"/>
              </w:tabs>
              <w:jc w:val="center"/>
              <w:rPr>
                <w:rFonts w:ascii="Lucida Sans" w:hAnsi="Lucida Sans" w:cs="Arial"/>
                <w:b/>
                <w:bCs/>
              </w:rPr>
            </w:pPr>
            <w:r>
              <w:rPr>
                <w:rFonts w:cs="Arial" w:ascii="Lucida Sans" w:hAnsi="Lucida Sans"/>
                <w:b/>
                <w:bCs/>
              </w:rPr>
              <w:t xml:space="preserve">December market price* </w:t>
            </w:r>
            <w:r>
              <w:rPr>
                <w:i/>
                <w:iCs/>
              </w:rPr>
              <w:t>($/MWh)</w:t>
            </w:r>
          </w:p>
        </w:tc>
      </w:tr>
      <w:tr>
        <w:trPr>
          <w:trHeight w:val="297" w:hRule="atLeast"/>
        </w:trPr>
        <w:tc>
          <w:tcPr>
            <w:tcW w:w="3150" w:type="dxa"/>
            <w:tcBorders>
              <w:top w:val="single" w:sz="12" w:space="0" w:color="000000"/>
              <w:start w:val="single" w:sz="12" w:space="0" w:color="0000FF"/>
              <w:bottom w:val="single" w:sz="4" w:space="0" w:color="000000"/>
              <w:end w:val="single" w:sz="12" w:space="0" w:color="000000"/>
            </w:tcBorders>
            <w:vAlign w:val="bottom"/>
          </w:tcPr>
          <w:p>
            <w:pPr>
              <w:pStyle w:val="Heading7"/>
              <w:ind w:hanging="0" w:start="0"/>
              <w:rPr>
                <w:rFonts w:ascii="Technical" w:hAnsi="Technical" w:cs="Technical"/>
              </w:rPr>
            </w:pPr>
            <w:r>
              <w:rPr>
                <w:rFonts w:cs="Technical" w:ascii="Technical" w:hAnsi="Technical"/>
              </w:rPr>
              <w:t>ISO Real Time</w:t>
            </w:r>
          </w:p>
        </w:tc>
        <w:tc>
          <w:tcPr>
            <w:tcW w:w="2700" w:type="dxa"/>
            <w:tcBorders>
              <w:top w:val="single" w:sz="12" w:space="0" w:color="000000"/>
              <w:start w:val="single" w:sz="4" w:space="0" w:color="000000"/>
              <w:bottom w:val="single" w:sz="4" w:space="0" w:color="000000"/>
              <w:end w:val="single" w:sz="4" w:space="0" w:color="000000"/>
            </w:tcBorders>
            <w:tcMar>
              <w:top w:w="0" w:type="dxa"/>
              <w:start w:w="0" w:type="dxa"/>
              <w:end w:w="0" w:type="dxa"/>
            </w:tcMar>
          </w:tcPr>
          <w:p>
            <w:pPr>
              <w:pStyle w:val="Normal"/>
              <w:jc w:val="center"/>
              <w:rPr/>
            </w:pPr>
            <w:r>
              <w:rPr/>
              <w:t>$240</w:t>
            </w:r>
          </w:p>
        </w:tc>
        <w:tc>
          <w:tcPr>
            <w:tcW w:w="2700" w:type="dxa"/>
            <w:tcBorders>
              <w:top w:val="single" w:sz="12" w:space="0" w:color="000000"/>
              <w:start w:val="single" w:sz="4" w:space="0" w:color="000000"/>
              <w:bottom w:val="single" w:sz="4" w:space="0" w:color="000000"/>
              <w:end w:val="single" w:sz="12" w:space="0" w:color="0000FF"/>
            </w:tcBorders>
            <w:tcMar>
              <w:top w:w="0" w:type="dxa"/>
              <w:start w:w="0" w:type="dxa"/>
              <w:end w:w="0" w:type="dxa"/>
            </w:tcMar>
          </w:tcPr>
          <w:p>
            <w:pPr>
              <w:pStyle w:val="Normal"/>
              <w:jc w:val="center"/>
              <w:rPr/>
            </w:pPr>
            <w:r>
              <w:rPr/>
              <w:t>$420</w:t>
            </w:r>
          </w:p>
        </w:tc>
      </w:tr>
      <w:tr>
        <w:trPr>
          <w:trHeight w:val="297" w:hRule="atLeast"/>
        </w:trPr>
        <w:tc>
          <w:tcPr>
            <w:tcW w:w="3150" w:type="dxa"/>
            <w:tcBorders>
              <w:top w:val="single" w:sz="4" w:space="0" w:color="000000"/>
              <w:start w:val="single" w:sz="12" w:space="0" w:color="0000FF"/>
              <w:bottom w:val="single" w:sz="4" w:space="0" w:color="000000"/>
              <w:end w:val="single" w:sz="12" w:space="0" w:color="000000"/>
            </w:tcBorders>
            <w:vAlign w:val="bottom"/>
          </w:tcPr>
          <w:p>
            <w:pPr>
              <w:pStyle w:val="Heading7"/>
              <w:ind w:hanging="0" w:start="0"/>
              <w:rPr>
                <w:rFonts w:ascii="Technical" w:hAnsi="Technical" w:cs="Technical"/>
              </w:rPr>
            </w:pPr>
            <w:r>
              <w:rPr>
                <w:rFonts w:cs="Technical" w:ascii="Technical" w:hAnsi="Technical"/>
              </w:rPr>
              <w:t>California-Oregon Border (COB)</w:t>
            </w:r>
          </w:p>
        </w:tc>
        <w:tc>
          <w:tcPr>
            <w:tcW w:w="2700" w:type="dxa"/>
            <w:tcBorders>
              <w:top w:val="single" w:sz="4" w:space="0" w:color="000000"/>
              <w:start w:val="single" w:sz="4" w:space="0" w:color="000000"/>
              <w:bottom w:val="single" w:sz="4" w:space="0" w:color="000000"/>
              <w:end w:val="single" w:sz="4" w:space="0" w:color="000000"/>
            </w:tcBorders>
            <w:tcMar>
              <w:top w:w="0" w:type="dxa"/>
              <w:start w:w="0" w:type="dxa"/>
              <w:end w:w="0" w:type="dxa"/>
            </w:tcMar>
          </w:tcPr>
          <w:p>
            <w:pPr>
              <w:pStyle w:val="Normal"/>
              <w:jc w:val="center"/>
              <w:rPr/>
            </w:pPr>
            <w:r>
              <w:rPr/>
              <w:t>$250</w:t>
            </w:r>
          </w:p>
        </w:tc>
        <w:tc>
          <w:tcPr>
            <w:tcW w:w="2700" w:type="dxa"/>
            <w:tcBorders>
              <w:top w:val="single" w:sz="4" w:space="0" w:color="000000"/>
              <w:start w:val="single" w:sz="4" w:space="0" w:color="000000"/>
              <w:bottom w:val="single" w:sz="4" w:space="0" w:color="000000"/>
              <w:end w:val="single" w:sz="12" w:space="0" w:color="0000FF"/>
            </w:tcBorders>
            <w:tcMar>
              <w:top w:w="0" w:type="dxa"/>
              <w:start w:w="0" w:type="dxa"/>
              <w:end w:w="0" w:type="dxa"/>
            </w:tcMar>
          </w:tcPr>
          <w:p>
            <w:pPr>
              <w:pStyle w:val="Normal"/>
              <w:jc w:val="center"/>
              <w:rPr/>
            </w:pPr>
            <w:r>
              <w:rPr/>
              <w:t>$380</w:t>
            </w:r>
          </w:p>
        </w:tc>
      </w:tr>
      <w:tr>
        <w:trPr>
          <w:trHeight w:val="297" w:hRule="atLeast"/>
        </w:trPr>
        <w:tc>
          <w:tcPr>
            <w:tcW w:w="3150" w:type="dxa"/>
            <w:tcBorders>
              <w:top w:val="single" w:sz="4" w:space="0" w:color="000000"/>
              <w:start w:val="single" w:sz="12" w:space="0" w:color="0000FF"/>
              <w:bottom w:val="single" w:sz="4" w:space="0" w:color="000000"/>
              <w:end w:val="single" w:sz="12" w:space="0" w:color="000000"/>
            </w:tcBorders>
            <w:vAlign w:val="bottom"/>
          </w:tcPr>
          <w:p>
            <w:pPr>
              <w:pStyle w:val="Heading7"/>
              <w:ind w:hanging="0" w:start="0"/>
              <w:rPr>
                <w:rFonts w:ascii="Technical" w:hAnsi="Technical" w:cs="Technical"/>
              </w:rPr>
            </w:pPr>
            <w:r>
              <w:rPr>
                <w:rFonts w:cs="Technical" w:ascii="Technical" w:hAnsi="Technical"/>
              </w:rPr>
              <w:t>Mid-Columbia (Mid-C)</w:t>
            </w:r>
          </w:p>
        </w:tc>
        <w:tc>
          <w:tcPr>
            <w:tcW w:w="2700" w:type="dxa"/>
            <w:tcBorders>
              <w:top w:val="single" w:sz="4" w:space="0" w:color="000000"/>
              <w:start w:val="single" w:sz="4" w:space="0" w:color="000000"/>
              <w:bottom w:val="single" w:sz="4" w:space="0" w:color="000000"/>
              <w:end w:val="single" w:sz="4" w:space="0" w:color="000000"/>
            </w:tcBorders>
            <w:tcMar>
              <w:top w:w="0" w:type="dxa"/>
              <w:start w:w="0" w:type="dxa"/>
              <w:end w:w="0" w:type="dxa"/>
            </w:tcMar>
          </w:tcPr>
          <w:p>
            <w:pPr>
              <w:pStyle w:val="Normal"/>
              <w:jc w:val="center"/>
              <w:rPr/>
            </w:pPr>
            <w:r>
              <w:rPr/>
              <w:t>$210</w:t>
            </w:r>
          </w:p>
        </w:tc>
        <w:tc>
          <w:tcPr>
            <w:tcW w:w="2700" w:type="dxa"/>
            <w:tcBorders>
              <w:top w:val="single" w:sz="4" w:space="0" w:color="000000"/>
              <w:start w:val="single" w:sz="4" w:space="0" w:color="000000"/>
              <w:bottom w:val="single" w:sz="4" w:space="0" w:color="000000"/>
              <w:end w:val="single" w:sz="12" w:space="0" w:color="0000FF"/>
            </w:tcBorders>
            <w:tcMar>
              <w:top w:w="0" w:type="dxa"/>
              <w:start w:w="0" w:type="dxa"/>
              <w:end w:w="0" w:type="dxa"/>
            </w:tcMar>
          </w:tcPr>
          <w:p>
            <w:pPr>
              <w:pStyle w:val="Normal"/>
              <w:jc w:val="center"/>
              <w:rPr/>
            </w:pPr>
            <w:r>
              <w:rPr/>
              <w:t>$450</w:t>
            </w:r>
          </w:p>
        </w:tc>
      </w:tr>
      <w:tr>
        <w:trPr>
          <w:trHeight w:val="297" w:hRule="atLeast"/>
        </w:trPr>
        <w:tc>
          <w:tcPr>
            <w:tcW w:w="3150" w:type="dxa"/>
            <w:tcBorders>
              <w:top w:val="single" w:sz="4" w:space="0" w:color="000000"/>
              <w:start w:val="single" w:sz="12" w:space="0" w:color="0000FF"/>
              <w:bottom w:val="single" w:sz="12" w:space="0" w:color="0000FF"/>
              <w:end w:val="single" w:sz="12" w:space="0" w:color="000000"/>
            </w:tcBorders>
            <w:vAlign w:val="bottom"/>
          </w:tcPr>
          <w:p>
            <w:pPr>
              <w:pStyle w:val="Normal"/>
              <w:rPr>
                <w:rFonts w:ascii="Technical" w:hAnsi="Technical" w:cs="Technical"/>
                <w:b/>
                <w:bCs/>
              </w:rPr>
            </w:pPr>
            <w:r>
              <w:rPr>
                <w:rFonts w:cs="Technical" w:ascii="Technical" w:hAnsi="Technical"/>
                <w:b/>
                <w:bCs/>
              </w:rPr>
              <w:t>Palo Verde</w:t>
            </w:r>
          </w:p>
        </w:tc>
        <w:tc>
          <w:tcPr>
            <w:tcW w:w="2700" w:type="dxa"/>
            <w:tcBorders>
              <w:top w:val="single" w:sz="4" w:space="0" w:color="000000"/>
              <w:start w:val="single" w:sz="4" w:space="0" w:color="000000"/>
              <w:bottom w:val="single" w:sz="12" w:space="0" w:color="0000FF"/>
              <w:end w:val="single" w:sz="4" w:space="0" w:color="000000"/>
            </w:tcBorders>
            <w:tcMar>
              <w:top w:w="0" w:type="dxa"/>
              <w:start w:w="0" w:type="dxa"/>
              <w:end w:w="0" w:type="dxa"/>
            </w:tcMar>
          </w:tcPr>
          <w:p>
            <w:pPr>
              <w:pStyle w:val="Normal"/>
              <w:jc w:val="center"/>
              <w:rPr/>
            </w:pPr>
            <w:r>
              <w:rPr/>
              <w:t>$120</w:t>
            </w:r>
          </w:p>
        </w:tc>
        <w:tc>
          <w:tcPr>
            <w:tcW w:w="2700" w:type="dxa"/>
            <w:tcBorders>
              <w:top w:val="single" w:sz="4" w:space="0" w:color="000000"/>
              <w:start w:val="single" w:sz="4" w:space="0" w:color="000000"/>
              <w:bottom w:val="single" w:sz="12" w:space="0" w:color="0000FF"/>
              <w:end w:val="single" w:sz="12" w:space="0" w:color="0000FF"/>
            </w:tcBorders>
            <w:tcMar>
              <w:top w:w="0" w:type="dxa"/>
              <w:start w:w="0" w:type="dxa"/>
              <w:end w:w="0" w:type="dxa"/>
            </w:tcMar>
          </w:tcPr>
          <w:p>
            <w:pPr>
              <w:pStyle w:val="Normal"/>
              <w:jc w:val="center"/>
              <w:rPr/>
            </w:pPr>
            <w:r>
              <w:rPr/>
              <w:t>$170</w:t>
            </w:r>
          </w:p>
        </w:tc>
      </w:tr>
    </w:tbl>
    <w:p>
      <w:pPr>
        <w:pStyle w:val="Footer"/>
        <w:tabs>
          <w:tab w:val="clear" w:pos="4320"/>
          <w:tab w:val="clear" w:pos="8640"/>
        </w:tabs>
        <w:jc w:val="center"/>
        <w:rPr>
          <w:rFonts w:ascii="Abadi MT Condensed Light" w:hAnsi="Abadi MT Condensed Light" w:cs="Abadi MT Condensed Light"/>
          <w:b/>
          <w:bCs/>
          <w:i/>
          <w:i/>
          <w:iCs/>
        </w:rPr>
      </w:pPr>
      <w:r>
        <w:rPr>
          <w:rFonts w:cs="Abadi MT Condensed Light" w:ascii="Abadi MT Condensed Light" w:hAnsi="Abadi MT Condensed Light"/>
          <w:b/>
          <w:bCs/>
          <w:i/>
          <w:iCs/>
        </w:rPr>
        <w:t>* Weighted by ISO Real-Time volumes, so profile is the same.</w:t>
      </w:r>
    </w:p>
    <w:p>
      <w:pPr>
        <w:pStyle w:val="Footer"/>
        <w:tabs>
          <w:tab w:val="clear" w:pos="4320"/>
          <w:tab w:val="clear" w:pos="8640"/>
        </w:tabs>
        <w:rPr>
          <w:rFonts w:ascii="Abadi MT Condensed Light" w:hAnsi="Abadi MT Condensed Light" w:cs="Abadi MT Condensed Light"/>
          <w:b/>
          <w:bCs/>
          <w:i/>
          <w:i/>
          <w:iCs/>
          <w:sz w:val="16"/>
        </w:rPr>
      </w:pPr>
      <w:r>
        <w:rPr>
          <w:rFonts w:cs="Abadi MT Condensed Light" w:ascii="Abadi MT Condensed Light" w:hAnsi="Abadi MT Condensed Light"/>
          <w:b/>
          <w:bCs/>
          <w:i/>
          <w:iCs/>
          <w:sz w:val="16"/>
        </w:rPr>
      </w:r>
    </w:p>
    <w:p>
      <w:pPr>
        <w:pStyle w:val="Footer"/>
        <w:tabs>
          <w:tab w:val="clear" w:pos="4320"/>
          <w:tab w:val="clear" w:pos="8640"/>
        </w:tabs>
        <w:rPr>
          <w:sz w:val="8"/>
        </w:rPr>
      </w:pPr>
      <w:r>
        <w:rPr>
          <w:sz w:val="8"/>
        </w:rPr>
      </w:r>
    </w:p>
    <w:p>
      <w:pPr>
        <w:pStyle w:val="Footer"/>
        <w:tabs>
          <w:tab w:val="clear" w:pos="4320"/>
          <w:tab w:val="clear" w:pos="8640"/>
        </w:tabs>
        <w:rPr>
          <w:sz w:val="8"/>
        </w:rPr>
      </w:pPr>
      <w:r>
        <w:rPr>
          <w:sz w:val="8"/>
        </w:rPr>
      </w:r>
    </w:p>
    <w:p>
      <w:pPr>
        <w:pStyle w:val="Footer"/>
        <w:tabs>
          <w:tab w:val="clear" w:pos="4320"/>
          <w:tab w:val="clear" w:pos="8640"/>
        </w:tabs>
        <w:rPr>
          <w:sz w:val="8"/>
        </w:rPr>
      </w:pPr>
      <w:r>
        <w:rPr>
          <w:sz w:val="8"/>
        </w:rPr>
      </w:r>
    </w:p>
    <w:p>
      <w:pPr>
        <w:pStyle w:val="Footer"/>
        <w:tabs>
          <w:tab w:val="clear" w:pos="4320"/>
          <w:tab w:val="clear" w:pos="8640"/>
        </w:tabs>
        <w:rPr>
          <w:sz w:val="8"/>
        </w:rPr>
      </w:pPr>
      <w:r>
        <w:rPr>
          <w:sz w:val="8"/>
        </w:rPr>
      </w:r>
    </w:p>
    <w:p>
      <w:pPr>
        <w:pStyle w:val="Footer"/>
        <w:tabs>
          <w:tab w:val="clear" w:pos="4320"/>
          <w:tab w:val="clear" w:pos="8640"/>
        </w:tabs>
        <w:rPr>
          <w:sz w:val="8"/>
        </w:rPr>
      </w:pPr>
      <w:r>
        <w:rPr>
          <w:sz w:val="8"/>
        </w:rPr>
      </w:r>
    </w:p>
    <w:p>
      <w:pPr>
        <w:pStyle w:val="Footer"/>
        <w:tabs>
          <w:tab w:val="clear" w:pos="4320"/>
          <w:tab w:val="clear" w:pos="8640"/>
        </w:tabs>
        <w:rPr>
          <w:sz w:val="8"/>
        </w:rPr>
      </w:pPr>
      <w:r>
        <w:rPr>
          <w:sz w:val="8"/>
        </w:rPr>
      </w:r>
    </w:p>
    <w:p>
      <w:pPr>
        <w:pStyle w:val="Footer"/>
        <w:tabs>
          <w:tab w:val="clear" w:pos="4320"/>
          <w:tab w:val="clear" w:pos="8640"/>
        </w:tabs>
        <w:rPr>
          <w:sz w:val="8"/>
        </w:rPr>
      </w:pPr>
      <w:r>
        <w:rPr>
          <w:sz w:val="8"/>
        </w:rPr>
      </w:r>
    </w:p>
    <w:p>
      <w:pPr>
        <w:pStyle w:val="Footer"/>
        <w:tabs>
          <w:tab w:val="clear" w:pos="4320"/>
          <w:tab w:val="clear" w:pos="8640"/>
        </w:tabs>
        <w:rPr>
          <w:sz w:val="8"/>
        </w:rPr>
      </w:pPr>
      <w:r>
        <w:rPr>
          <w:sz w:val="8"/>
        </w:rPr>
      </w:r>
    </w:p>
    <w:p>
      <w:pPr>
        <w:pStyle w:val="Footer"/>
        <w:tabs>
          <w:tab w:val="clear" w:pos="4320"/>
          <w:tab w:val="clear" w:pos="8640"/>
        </w:tabs>
        <w:rPr>
          <w:sz w:val="8"/>
        </w:rPr>
      </w:pPr>
      <w:r>
        <w:rPr>
          <w:sz w:val="8"/>
        </w:rPr>
      </w:r>
    </w:p>
    <w:p>
      <w:pPr>
        <w:pStyle w:val="Footer"/>
        <w:tabs>
          <w:tab w:val="clear" w:pos="4320"/>
          <w:tab w:val="clear" w:pos="8640"/>
        </w:tabs>
        <w:rPr>
          <w:sz w:val="8"/>
        </w:rPr>
      </w:pPr>
      <w:r>
        <w:rPr>
          <w:sz w:val="8"/>
        </w:rPr>
      </w:r>
    </w:p>
    <w:p>
      <w:pPr>
        <w:pStyle w:val="Footer"/>
        <w:tabs>
          <w:tab w:val="clear" w:pos="4320"/>
          <w:tab w:val="clear" w:pos="8640"/>
        </w:tabs>
        <w:rPr>
          <w:sz w:val="8"/>
        </w:rPr>
      </w:pPr>
      <w:r>
        <w:rPr>
          <w:sz w:val="8"/>
        </w:rPr>
      </w:r>
    </w:p>
    <w:p>
      <w:pPr>
        <w:pStyle w:val="Footer"/>
        <w:tabs>
          <w:tab w:val="clear" w:pos="4320"/>
          <w:tab w:val="clear" w:pos="8640"/>
        </w:tabs>
        <w:rPr>
          <w:sz w:val="8"/>
        </w:rPr>
      </w:pPr>
      <w:r>
        <w:rPr>
          <w:sz w:val="8"/>
        </w:rPr>
      </w:r>
    </w:p>
    <w:p>
      <w:pPr>
        <w:pStyle w:val="Footer"/>
        <w:tabs>
          <w:tab w:val="clear" w:pos="4320"/>
          <w:tab w:val="clear" w:pos="8640"/>
        </w:tabs>
        <w:rPr>
          <w:sz w:val="8"/>
        </w:rPr>
      </w:pPr>
      <w:r>
        <w:rPr>
          <w:sz w:val="8"/>
        </w:rPr>
      </w:r>
    </w:p>
    <w:p>
      <w:pPr>
        <w:pStyle w:val="Footer"/>
        <w:tabs>
          <w:tab w:val="clear" w:pos="4320"/>
          <w:tab w:val="clear" w:pos="8640"/>
        </w:tabs>
        <w:rPr>
          <w:sz w:val="8"/>
        </w:rPr>
      </w:pPr>
      <w:r>
        <w:rPr>
          <w:sz w:val="8"/>
        </w:rPr>
      </w:r>
    </w:p>
    <w:p>
      <w:pPr>
        <w:pStyle w:val="Footer"/>
        <w:tabs>
          <w:tab w:val="clear" w:pos="4320"/>
          <w:tab w:val="clear" w:pos="8640"/>
        </w:tabs>
        <w:rPr>
          <w:sz w:val="8"/>
        </w:rPr>
      </w:pPr>
      <w:r>
        <w:rPr>
          <w:sz w:val="8"/>
        </w:rPr>
      </w:r>
    </w:p>
    <w:p>
      <w:pPr>
        <w:pStyle w:val="Footer"/>
        <w:tabs>
          <w:tab w:val="clear" w:pos="4320"/>
          <w:tab w:val="clear" w:pos="8640"/>
        </w:tabs>
        <w:rPr>
          <w:sz w:val="8"/>
        </w:rPr>
      </w:pPr>
      <w:r>
        <w:rPr>
          <w:sz w:val="8"/>
        </w:rPr>
      </w:r>
    </w:p>
    <w:p>
      <w:pPr>
        <w:pStyle w:val="Footer"/>
        <w:tabs>
          <w:tab w:val="clear" w:pos="4320"/>
          <w:tab w:val="clear" w:pos="8640"/>
        </w:tabs>
        <w:rPr>
          <w:sz w:val="8"/>
        </w:rPr>
      </w:pPr>
      <w:r>
        <w:rPr>
          <w:sz w:val="8"/>
        </w:rPr>
      </w:r>
    </w:p>
    <w:p>
      <w:pPr>
        <w:pStyle w:val="Footer"/>
        <w:tabs>
          <w:tab w:val="clear" w:pos="4320"/>
          <w:tab w:val="clear" w:pos="8640"/>
        </w:tabs>
        <w:rPr>
          <w:sz w:val="8"/>
        </w:rPr>
      </w:pPr>
      <w:r>
        <w:rPr>
          <w:sz w:val="8"/>
        </w:rPr>
      </w:r>
    </w:p>
    <w:p>
      <w:pPr>
        <w:pStyle w:val="Footer"/>
        <w:numPr>
          <w:ilvl w:val="0"/>
          <w:numId w:val="4"/>
        </w:numPr>
        <w:tabs>
          <w:tab w:val="clear" w:pos="4320"/>
          <w:tab w:val="clear" w:pos="8640"/>
          <w:tab w:val="left" w:pos="540" w:leader="none"/>
        </w:tabs>
        <w:ind w:hanging="1620" w:start="1800" w:end="0"/>
        <w:rPr>
          <w:rFonts w:ascii="BookmanITC Lt BT" w:hAnsi="BookmanITC Lt BT" w:cs="BookmanITC Lt BT"/>
          <w:b/>
          <w:bCs/>
          <w:u w:val="single"/>
        </w:rPr>
      </w:pPr>
      <w:r>
        <w:rPr>
          <w:rFonts w:cs="BookmanITC Lt BT" w:ascii="BookmanITC Lt BT" w:hAnsi="BookmanITC Lt BT"/>
          <w:b/>
          <w:bCs/>
          <w:u w:val="single"/>
        </w:rPr>
        <w:t>Ancillary Services costs</w:t>
      </w:r>
    </w:p>
    <w:p>
      <w:pPr>
        <w:pStyle w:val="Footer"/>
        <w:tabs>
          <w:tab w:val="clear" w:pos="4320"/>
          <w:tab w:val="clear" w:pos="8640"/>
        </w:tabs>
        <w:rPr>
          <w:rFonts w:ascii="BookmanITC Lt BT" w:hAnsi="BookmanITC Lt BT" w:cs="BookmanITC Lt BT"/>
          <w:b/>
          <w:bCs/>
          <w:i/>
          <w:i/>
          <w:iCs/>
          <w:sz w:val="8"/>
          <w:u w:val="single"/>
        </w:rPr>
      </w:pPr>
      <w:r>
        <w:rPr>
          <w:rFonts w:cs="BookmanITC Lt BT" w:ascii="BookmanITC Lt BT" w:hAnsi="BookmanITC Lt BT"/>
          <w:b/>
          <w:bCs/>
          <w:i/>
          <w:iCs/>
          <w:sz w:val="8"/>
          <w:u w:val="single"/>
        </w:rPr>
      </w:r>
    </w:p>
    <w:tbl>
      <w:tblPr>
        <w:tblW w:w="8460" w:type="dxa"/>
        <w:jc w:val="start"/>
        <w:tblInd w:w="282" w:type="dxa"/>
        <w:tblLayout w:type="fixed"/>
        <w:tblCellMar>
          <w:top w:w="12" w:type="dxa"/>
          <w:start w:w="12" w:type="dxa"/>
          <w:bottom w:w="0" w:type="dxa"/>
          <w:end w:w="12" w:type="dxa"/>
        </w:tblCellMar>
      </w:tblPr>
      <w:tblGrid>
        <w:gridCol w:w="1620"/>
        <w:gridCol w:w="1350"/>
        <w:gridCol w:w="1710"/>
        <w:gridCol w:w="2250"/>
        <w:gridCol w:w="1530"/>
      </w:tblGrid>
      <w:tr>
        <w:trPr>
          <w:trHeight w:val="297" w:hRule="atLeast"/>
        </w:trPr>
        <w:tc>
          <w:tcPr>
            <w:tcW w:w="1620" w:type="dxa"/>
            <w:tcBorders>
              <w:top w:val="single" w:sz="12" w:space="0" w:color="0000FF"/>
              <w:start w:val="single" w:sz="12" w:space="0" w:color="0000FF"/>
              <w:bottom w:val="single" w:sz="12" w:space="0" w:color="000000"/>
              <w:end w:val="single" w:sz="12" w:space="0" w:color="000000"/>
            </w:tcBorders>
            <w:shd w:fill="E0E0E0" w:val="clear"/>
            <w:vAlign w:val="bottom"/>
          </w:tcPr>
          <w:p>
            <w:pPr>
              <w:pStyle w:val="Heading7"/>
              <w:ind w:hanging="0" w:start="0"/>
              <w:rPr>
                <w:rFonts w:ascii="Lucida Sans" w:hAnsi="Lucida Sans" w:cs="Arial"/>
              </w:rPr>
            </w:pPr>
            <w:r>
              <w:rPr>
                <w:rFonts w:cs="Arial" w:ascii="Lucida Sans" w:hAnsi="Lucida Sans"/>
              </w:rPr>
              <w:t>Month</w:t>
            </w:r>
          </w:p>
        </w:tc>
        <w:tc>
          <w:tcPr>
            <w:tcW w:w="1350" w:type="dxa"/>
            <w:tcBorders>
              <w:top w:val="single" w:sz="12" w:space="0" w:color="0000FF"/>
              <w:start w:val="single" w:sz="4" w:space="0" w:color="000000"/>
              <w:bottom w:val="single" w:sz="12" w:space="0" w:color="000000"/>
              <w:end w:val="single" w:sz="4" w:space="0" w:color="000000"/>
            </w:tcBorders>
            <w:shd w:fill="E0E0E0" w:val="clear"/>
            <w:tcMar>
              <w:top w:w="0" w:type="dxa"/>
              <w:start w:w="0" w:type="dxa"/>
              <w:end w:w="0" w:type="dxa"/>
            </w:tcMar>
          </w:tcPr>
          <w:p>
            <w:pPr>
              <w:pStyle w:val="Footer"/>
              <w:tabs>
                <w:tab w:val="clear" w:pos="4320"/>
                <w:tab w:val="clear" w:pos="8640"/>
              </w:tabs>
              <w:jc w:val="center"/>
              <w:rPr>
                <w:rFonts w:ascii="Lucida Sans" w:hAnsi="Lucida Sans" w:cs="Arial"/>
                <w:b/>
                <w:bCs/>
              </w:rPr>
            </w:pPr>
            <w:r>
              <w:rPr>
                <w:rFonts w:cs="Arial" w:ascii="Lucida Sans" w:hAnsi="Lucida Sans"/>
                <w:b/>
                <w:bCs/>
              </w:rPr>
              <w:t>Total A/S costs</w:t>
            </w:r>
          </w:p>
        </w:tc>
        <w:tc>
          <w:tcPr>
            <w:tcW w:w="1710" w:type="dxa"/>
            <w:tcBorders>
              <w:top w:val="single" w:sz="12" w:space="0" w:color="0000FF"/>
              <w:start w:val="single" w:sz="4" w:space="0" w:color="000000"/>
              <w:bottom w:val="single" w:sz="12" w:space="0" w:color="000000"/>
              <w:end w:val="single" w:sz="4" w:space="0" w:color="000000"/>
            </w:tcBorders>
            <w:shd w:fill="E0E0E0" w:val="clear"/>
            <w:vAlign w:val="bottom"/>
          </w:tcPr>
          <w:p>
            <w:pPr>
              <w:pStyle w:val="Footer"/>
              <w:tabs>
                <w:tab w:val="clear" w:pos="4320"/>
                <w:tab w:val="clear" w:pos="8640"/>
              </w:tabs>
              <w:jc w:val="center"/>
              <w:rPr>
                <w:rFonts w:ascii="Lucida Sans" w:hAnsi="Lucida Sans" w:cs="Arial"/>
                <w:b/>
                <w:bCs/>
              </w:rPr>
            </w:pPr>
            <w:r>
              <w:rPr>
                <w:rFonts w:cs="Arial" w:ascii="Lucida Sans" w:hAnsi="Lucida Sans"/>
                <w:b/>
                <w:bCs/>
              </w:rPr>
              <w:t xml:space="preserve">A/S Price </w:t>
            </w:r>
          </w:p>
          <w:p>
            <w:pPr>
              <w:pStyle w:val="Footer"/>
              <w:tabs>
                <w:tab w:val="clear" w:pos="4320"/>
                <w:tab w:val="clear" w:pos="8640"/>
              </w:tabs>
              <w:jc w:val="center"/>
              <w:rPr>
                <w:i/>
                <w:i/>
                <w:iCs/>
              </w:rPr>
            </w:pPr>
            <w:r>
              <w:rPr>
                <w:i/>
                <w:iCs/>
              </w:rPr>
              <w:t>($/MWh of load)</w:t>
            </w:r>
          </w:p>
        </w:tc>
        <w:tc>
          <w:tcPr>
            <w:tcW w:w="2250" w:type="dxa"/>
            <w:tcBorders>
              <w:top w:val="single" w:sz="12" w:space="0" w:color="0000FF"/>
              <w:start w:val="single" w:sz="4" w:space="0" w:color="000000"/>
              <w:bottom w:val="single" w:sz="12" w:space="0" w:color="000000"/>
              <w:end w:val="single" w:sz="4" w:space="0" w:color="000000"/>
            </w:tcBorders>
            <w:shd w:fill="E0E0E0" w:val="clear"/>
            <w:tcMar>
              <w:top w:w="0" w:type="dxa"/>
              <w:start w:w="0" w:type="dxa"/>
              <w:end w:w="0" w:type="dxa"/>
            </w:tcMar>
          </w:tcPr>
          <w:p>
            <w:pPr>
              <w:pStyle w:val="Footer"/>
              <w:tabs>
                <w:tab w:val="clear" w:pos="4320"/>
                <w:tab w:val="clear" w:pos="8640"/>
              </w:tabs>
              <w:jc w:val="center"/>
              <w:rPr>
                <w:rFonts w:ascii="Lucida Sans" w:hAnsi="Lucida Sans" w:cs="Arial"/>
                <w:b/>
                <w:bCs/>
              </w:rPr>
            </w:pPr>
            <w:r>
              <w:rPr>
                <w:rFonts w:cs="Arial" w:ascii="Lucida Sans" w:hAnsi="Lucida Sans"/>
                <w:b/>
                <w:bCs/>
              </w:rPr>
              <w:t xml:space="preserve">Percent change </w:t>
            </w:r>
          </w:p>
          <w:p>
            <w:pPr>
              <w:pStyle w:val="Footer"/>
              <w:tabs>
                <w:tab w:val="clear" w:pos="4320"/>
                <w:tab w:val="clear" w:pos="8640"/>
              </w:tabs>
              <w:jc w:val="center"/>
              <w:rPr>
                <w:rFonts w:ascii="Lucida Sans" w:hAnsi="Lucida Sans" w:cs="Arial"/>
                <w:b/>
                <w:bCs/>
              </w:rPr>
            </w:pPr>
            <w:r>
              <w:rPr>
                <w:i/>
                <w:iCs/>
              </w:rPr>
              <w:t>(this month to Jan ’01)</w:t>
            </w:r>
          </w:p>
        </w:tc>
        <w:tc>
          <w:tcPr>
            <w:tcW w:w="1530" w:type="dxa"/>
            <w:tcBorders>
              <w:top w:val="single" w:sz="12" w:space="0" w:color="0000FF"/>
              <w:start w:val="single" w:sz="4" w:space="0" w:color="000000"/>
              <w:bottom w:val="single" w:sz="12" w:space="0" w:color="000000"/>
              <w:end w:val="single" w:sz="12" w:space="0" w:color="0000FF"/>
            </w:tcBorders>
            <w:shd w:fill="E0E0E0" w:val="clear"/>
            <w:tcMar>
              <w:top w:w="0" w:type="dxa"/>
              <w:start w:w="0" w:type="dxa"/>
              <w:end w:w="0" w:type="dxa"/>
            </w:tcMar>
          </w:tcPr>
          <w:p>
            <w:pPr>
              <w:pStyle w:val="Footer"/>
              <w:tabs>
                <w:tab w:val="clear" w:pos="4320"/>
                <w:tab w:val="clear" w:pos="8640"/>
              </w:tabs>
              <w:jc w:val="center"/>
              <w:rPr>
                <w:rFonts w:ascii="Lucida Sans" w:hAnsi="Lucida Sans" w:cs="Arial"/>
                <w:b/>
                <w:bCs/>
              </w:rPr>
            </w:pPr>
            <w:r>
              <w:rPr>
                <w:rFonts w:cs="Arial" w:ascii="Lucida Sans" w:hAnsi="Lucida Sans"/>
                <w:b/>
                <w:bCs/>
              </w:rPr>
              <w:t>Percent of energy costs</w:t>
            </w:r>
          </w:p>
        </w:tc>
      </w:tr>
      <w:tr>
        <w:trPr>
          <w:trHeight w:val="297" w:hRule="atLeast"/>
        </w:trPr>
        <w:tc>
          <w:tcPr>
            <w:tcW w:w="1620" w:type="dxa"/>
            <w:tcBorders>
              <w:top w:val="single" w:sz="12" w:space="0" w:color="000000"/>
              <w:start w:val="single" w:sz="12" w:space="0" w:color="0000FF"/>
              <w:bottom w:val="single" w:sz="4" w:space="0" w:color="000000"/>
              <w:end w:val="single" w:sz="12" w:space="0" w:color="000000"/>
            </w:tcBorders>
            <w:shd w:fill="E0E0E0" w:val="clear"/>
            <w:vAlign w:val="bottom"/>
          </w:tcPr>
          <w:p>
            <w:pPr>
              <w:pStyle w:val="Heading7"/>
              <w:ind w:hanging="0" w:start="0"/>
              <w:rPr>
                <w:rFonts w:ascii="Technical" w:hAnsi="Technical" w:cs="Technical"/>
              </w:rPr>
            </w:pPr>
            <w:r>
              <w:rPr>
                <w:rFonts w:cs="Technical" w:ascii="Technical" w:hAnsi="Technical"/>
              </w:rPr>
              <w:t>January 2001</w:t>
            </w:r>
          </w:p>
        </w:tc>
        <w:tc>
          <w:tcPr>
            <w:tcW w:w="1350" w:type="dxa"/>
            <w:tcBorders>
              <w:top w:val="single" w:sz="12" w:space="0" w:color="000000"/>
              <w:start w:val="single" w:sz="4" w:space="0" w:color="000000"/>
              <w:bottom w:val="single" w:sz="4" w:space="0" w:color="000000"/>
              <w:end w:val="single" w:sz="4" w:space="0" w:color="000000"/>
            </w:tcBorders>
            <w:tcMar>
              <w:top w:w="0" w:type="dxa"/>
              <w:start w:w="0" w:type="dxa"/>
              <w:end w:w="0" w:type="dxa"/>
            </w:tcMar>
          </w:tcPr>
          <w:p>
            <w:pPr>
              <w:pStyle w:val="Normal"/>
              <w:jc w:val="center"/>
              <w:rPr/>
            </w:pPr>
            <w:r>
              <w:rPr/>
              <w:t>$252 million</w:t>
            </w:r>
          </w:p>
        </w:tc>
        <w:tc>
          <w:tcPr>
            <w:tcW w:w="1710" w:type="dxa"/>
            <w:tcBorders>
              <w:top w:val="single" w:sz="12" w:space="0" w:color="000000"/>
              <w:start w:val="single" w:sz="4" w:space="0" w:color="000000"/>
              <w:bottom w:val="single" w:sz="4" w:space="0" w:color="000000"/>
              <w:end w:val="single" w:sz="4" w:space="0" w:color="000000"/>
            </w:tcBorders>
          </w:tcPr>
          <w:p>
            <w:pPr>
              <w:pStyle w:val="Normal"/>
              <w:jc w:val="center"/>
              <w:rPr/>
            </w:pPr>
            <w:r>
              <w:rPr/>
              <w:t>$14</w:t>
            </w:r>
          </w:p>
        </w:tc>
        <w:tc>
          <w:tcPr>
            <w:tcW w:w="2250" w:type="dxa"/>
            <w:tcBorders>
              <w:top w:val="single" w:sz="12" w:space="0" w:color="000000"/>
              <w:start w:val="single" w:sz="4" w:space="0" w:color="000000"/>
              <w:bottom w:val="single" w:sz="4" w:space="0" w:color="000000"/>
              <w:end w:val="single" w:sz="4" w:space="0" w:color="000000"/>
            </w:tcBorders>
            <w:tcMar>
              <w:top w:w="0" w:type="dxa"/>
              <w:start w:w="0" w:type="dxa"/>
              <w:end w:w="0" w:type="dxa"/>
            </w:tcMar>
          </w:tcPr>
          <w:p>
            <w:pPr>
              <w:pStyle w:val="Normal"/>
              <w:jc w:val="center"/>
              <w:rPr/>
            </w:pPr>
            <w:r>
              <w:rPr/>
              <w:t>-</w:t>
            </w:r>
          </w:p>
        </w:tc>
        <w:tc>
          <w:tcPr>
            <w:tcW w:w="1530" w:type="dxa"/>
            <w:tcBorders>
              <w:top w:val="single" w:sz="12" w:space="0" w:color="000000"/>
              <w:start w:val="single" w:sz="4" w:space="0" w:color="000000"/>
              <w:bottom w:val="single" w:sz="4" w:space="0" w:color="000000"/>
              <w:end w:val="single" w:sz="12" w:space="0" w:color="0000FF"/>
            </w:tcBorders>
            <w:tcMar>
              <w:top w:w="0" w:type="dxa"/>
              <w:start w:w="0" w:type="dxa"/>
              <w:end w:w="0" w:type="dxa"/>
            </w:tcMar>
          </w:tcPr>
          <w:p>
            <w:pPr>
              <w:pStyle w:val="Normal"/>
              <w:jc w:val="center"/>
              <w:rPr/>
            </w:pPr>
            <w:r>
              <w:rPr/>
              <w:t>5%</w:t>
            </w:r>
          </w:p>
        </w:tc>
      </w:tr>
      <w:tr>
        <w:trPr>
          <w:trHeight w:val="297" w:hRule="atLeast"/>
        </w:trPr>
        <w:tc>
          <w:tcPr>
            <w:tcW w:w="1620" w:type="dxa"/>
            <w:tcBorders>
              <w:top w:val="single" w:sz="4" w:space="0" w:color="000000"/>
              <w:start w:val="single" w:sz="12" w:space="0" w:color="0000FF"/>
              <w:bottom w:val="single" w:sz="4" w:space="0" w:color="000000"/>
              <w:end w:val="single" w:sz="12" w:space="0" w:color="000000"/>
            </w:tcBorders>
            <w:shd w:fill="E0E0E0" w:val="clear"/>
            <w:vAlign w:val="bottom"/>
          </w:tcPr>
          <w:p>
            <w:pPr>
              <w:pStyle w:val="Heading7"/>
              <w:ind w:hanging="0" w:start="0"/>
              <w:rPr>
                <w:rFonts w:ascii="Technical" w:hAnsi="Technical" w:cs="Technical"/>
              </w:rPr>
            </w:pPr>
            <w:r>
              <w:rPr>
                <w:rFonts w:cs="Technical" w:ascii="Technical" w:hAnsi="Technical"/>
              </w:rPr>
              <w:t>December 2000</w:t>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tcPr>
          <w:p>
            <w:pPr>
              <w:pStyle w:val="Normal"/>
              <w:jc w:val="center"/>
              <w:rPr/>
            </w:pPr>
            <w:r>
              <w:rPr/>
              <w:t>$440 million</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pPr>
            <w:r>
              <w:rPr/>
              <w:t>$23</w:t>
            </w:r>
          </w:p>
        </w:tc>
        <w:tc>
          <w:tcPr>
            <w:tcW w:w="2250" w:type="dxa"/>
            <w:tcBorders>
              <w:top w:val="single" w:sz="4" w:space="0" w:color="000000"/>
              <w:start w:val="single" w:sz="4" w:space="0" w:color="000000"/>
              <w:bottom w:val="single" w:sz="4" w:space="0" w:color="000000"/>
              <w:end w:val="single" w:sz="4" w:space="0" w:color="000000"/>
            </w:tcBorders>
            <w:tcMar>
              <w:top w:w="0" w:type="dxa"/>
              <w:start w:w="0" w:type="dxa"/>
              <w:end w:w="0" w:type="dxa"/>
            </w:tcMar>
          </w:tcPr>
          <w:p>
            <w:pPr>
              <w:pStyle w:val="Normal"/>
              <w:jc w:val="center"/>
              <w:rPr/>
            </w:pPr>
            <w:r>
              <w:rPr/>
              <w:t>-39%</w:t>
            </w:r>
          </w:p>
        </w:tc>
        <w:tc>
          <w:tcPr>
            <w:tcW w:w="1530" w:type="dxa"/>
            <w:tcBorders>
              <w:top w:val="single" w:sz="4" w:space="0" w:color="000000"/>
              <w:start w:val="single" w:sz="4" w:space="0" w:color="000000"/>
              <w:bottom w:val="single" w:sz="4" w:space="0" w:color="000000"/>
              <w:end w:val="single" w:sz="12" w:space="0" w:color="0000FF"/>
            </w:tcBorders>
            <w:tcMar>
              <w:top w:w="0" w:type="dxa"/>
              <w:start w:w="0" w:type="dxa"/>
              <w:end w:w="0" w:type="dxa"/>
            </w:tcMar>
          </w:tcPr>
          <w:p>
            <w:pPr>
              <w:pStyle w:val="Normal"/>
              <w:jc w:val="center"/>
              <w:rPr/>
            </w:pPr>
            <w:r>
              <w:rPr/>
              <w:t>8%</w:t>
            </w:r>
          </w:p>
        </w:tc>
      </w:tr>
      <w:tr>
        <w:trPr>
          <w:trHeight w:val="297" w:hRule="atLeast"/>
        </w:trPr>
        <w:tc>
          <w:tcPr>
            <w:tcW w:w="1620" w:type="dxa"/>
            <w:tcBorders>
              <w:top w:val="single" w:sz="4" w:space="0" w:color="000000"/>
              <w:start w:val="single" w:sz="12" w:space="0" w:color="0000FF"/>
              <w:bottom w:val="single" w:sz="12" w:space="0" w:color="0000FF"/>
              <w:end w:val="single" w:sz="12" w:space="0" w:color="000000"/>
            </w:tcBorders>
            <w:shd w:fill="E0E0E0" w:val="clear"/>
            <w:vAlign w:val="bottom"/>
          </w:tcPr>
          <w:p>
            <w:pPr>
              <w:pStyle w:val="Normal"/>
              <w:rPr>
                <w:rFonts w:ascii="Technical" w:hAnsi="Technical" w:cs="Technical"/>
                <w:b/>
                <w:bCs/>
              </w:rPr>
            </w:pPr>
            <w:r>
              <w:rPr>
                <w:rFonts w:cs="Technical" w:ascii="Technical" w:hAnsi="Technical"/>
                <w:b/>
                <w:bCs/>
              </w:rPr>
              <w:t>January 2000</w:t>
            </w:r>
          </w:p>
        </w:tc>
        <w:tc>
          <w:tcPr>
            <w:tcW w:w="1350" w:type="dxa"/>
            <w:tcBorders>
              <w:top w:val="single" w:sz="4" w:space="0" w:color="000000"/>
              <w:start w:val="single" w:sz="4" w:space="0" w:color="000000"/>
              <w:bottom w:val="single" w:sz="12" w:space="0" w:color="0000FF"/>
              <w:end w:val="single" w:sz="4" w:space="0" w:color="000000"/>
            </w:tcBorders>
            <w:tcMar>
              <w:top w:w="0" w:type="dxa"/>
              <w:start w:w="0" w:type="dxa"/>
              <w:end w:w="0" w:type="dxa"/>
            </w:tcMar>
          </w:tcPr>
          <w:p>
            <w:pPr>
              <w:pStyle w:val="Normal"/>
              <w:jc w:val="center"/>
              <w:rPr/>
            </w:pPr>
            <w:r>
              <w:rPr/>
              <w:t>$12 million</w:t>
            </w:r>
          </w:p>
        </w:tc>
        <w:tc>
          <w:tcPr>
            <w:tcW w:w="1710" w:type="dxa"/>
            <w:tcBorders>
              <w:top w:val="single" w:sz="4" w:space="0" w:color="000000"/>
              <w:start w:val="single" w:sz="4" w:space="0" w:color="000000"/>
              <w:bottom w:val="single" w:sz="12" w:space="0" w:color="0000FF"/>
              <w:end w:val="single" w:sz="4" w:space="0" w:color="000000"/>
            </w:tcBorders>
          </w:tcPr>
          <w:p>
            <w:pPr>
              <w:pStyle w:val="Normal"/>
              <w:jc w:val="center"/>
              <w:rPr/>
            </w:pPr>
            <w:r>
              <w:rPr/>
              <w:t>$1</w:t>
            </w:r>
          </w:p>
        </w:tc>
        <w:tc>
          <w:tcPr>
            <w:tcW w:w="2250" w:type="dxa"/>
            <w:tcBorders>
              <w:top w:val="single" w:sz="4" w:space="0" w:color="000000"/>
              <w:start w:val="single" w:sz="4" w:space="0" w:color="000000"/>
              <w:bottom w:val="single" w:sz="12" w:space="0" w:color="0000FF"/>
              <w:end w:val="single" w:sz="4" w:space="0" w:color="000000"/>
            </w:tcBorders>
            <w:tcMar>
              <w:top w:w="0" w:type="dxa"/>
              <w:start w:w="0" w:type="dxa"/>
              <w:end w:w="0" w:type="dxa"/>
            </w:tcMar>
          </w:tcPr>
          <w:p>
            <w:pPr>
              <w:pStyle w:val="Normal"/>
              <w:jc w:val="center"/>
              <w:rPr/>
            </w:pPr>
            <w:r>
              <w:rPr/>
              <w:t>1,400%</w:t>
            </w:r>
          </w:p>
        </w:tc>
        <w:tc>
          <w:tcPr>
            <w:tcW w:w="1530" w:type="dxa"/>
            <w:tcBorders>
              <w:top w:val="single" w:sz="4" w:space="0" w:color="000000"/>
              <w:start w:val="single" w:sz="4" w:space="0" w:color="000000"/>
              <w:bottom w:val="single" w:sz="12" w:space="0" w:color="0000FF"/>
              <w:end w:val="single" w:sz="12" w:space="0" w:color="0000FF"/>
            </w:tcBorders>
            <w:tcMar>
              <w:top w:w="0" w:type="dxa"/>
              <w:start w:w="0" w:type="dxa"/>
              <w:end w:w="0" w:type="dxa"/>
            </w:tcMar>
          </w:tcPr>
          <w:p>
            <w:pPr>
              <w:pStyle w:val="Normal"/>
              <w:jc w:val="center"/>
              <w:rPr/>
            </w:pPr>
            <w:r>
              <w:rPr/>
              <w:t>2%</w:t>
            </w:r>
          </w:p>
        </w:tc>
      </w:tr>
    </w:tbl>
    <w:p>
      <w:pPr>
        <w:pStyle w:val="Footer"/>
        <w:tabs>
          <w:tab w:val="clear" w:pos="4320"/>
          <w:tab w:val="clear" w:pos="8640"/>
        </w:tabs>
        <w:rPr>
          <w:i/>
          <w:i/>
          <w:iCs/>
        </w:rPr>
      </w:pPr>
      <w:r>
        <w:rPr>
          <w:i/>
          <w:iCs/>
        </w:rPr>
      </w:r>
    </w:p>
    <w:p>
      <w:pPr>
        <w:pStyle w:val="Footer"/>
        <w:numPr>
          <w:ilvl w:val="0"/>
          <w:numId w:val="4"/>
        </w:numPr>
        <w:tabs>
          <w:tab w:val="clear" w:pos="4320"/>
          <w:tab w:val="clear" w:pos="8640"/>
          <w:tab w:val="left" w:pos="540" w:leader="none"/>
        </w:tabs>
        <w:ind w:hanging="1620" w:start="1800" w:end="0"/>
        <w:rPr>
          <w:rFonts w:ascii="BookmanITC Lt BT" w:hAnsi="BookmanITC Lt BT" w:cs="BookmanITC Lt BT"/>
          <w:b/>
          <w:bCs/>
          <w:i/>
          <w:i/>
          <w:iCs/>
          <w:u w:val="single"/>
        </w:rPr>
      </w:pPr>
      <w:r>
        <w:rPr>
          <w:rFonts w:cs="BookmanITC Lt BT" w:ascii="BookmanITC Lt BT" w:hAnsi="BookmanITC Lt BT"/>
          <w:b/>
          <w:bCs/>
          <w:u w:val="single"/>
        </w:rPr>
        <w:t>Total power prices</w:t>
      </w:r>
      <w:r>
        <w:rPr>
          <w:rFonts w:cs="BookmanITC Lt BT" w:ascii="BookmanITC Lt BT" w:hAnsi="BookmanITC Lt BT"/>
          <w:b/>
          <w:bCs/>
          <w:i/>
          <w:iCs/>
          <w:u w:val="single"/>
        </w:rPr>
        <w:t xml:space="preserve"> (Ancillary Services plus Energy)</w:t>
      </w:r>
    </w:p>
    <w:p>
      <w:pPr>
        <w:pStyle w:val="Footer"/>
        <w:tabs>
          <w:tab w:val="clear" w:pos="4320"/>
          <w:tab w:val="clear" w:pos="8640"/>
        </w:tabs>
        <w:rPr>
          <w:rFonts w:ascii="BookmanITC Lt BT" w:hAnsi="BookmanITC Lt BT" w:cs="BookmanITC Lt BT"/>
          <w:b/>
          <w:bCs/>
          <w:i/>
          <w:i/>
          <w:iCs/>
          <w:sz w:val="8"/>
          <w:u w:val="single"/>
        </w:rPr>
      </w:pPr>
      <w:r>
        <w:rPr>
          <w:rFonts w:cs="BookmanITC Lt BT" w:ascii="BookmanITC Lt BT" w:hAnsi="BookmanITC Lt BT"/>
          <w:b/>
          <w:bCs/>
          <w:i/>
          <w:iCs/>
          <w:sz w:val="8"/>
          <w:u w:val="single"/>
        </w:rPr>
      </w:r>
    </w:p>
    <w:tbl>
      <w:tblPr>
        <w:tblW w:w="8730" w:type="dxa"/>
        <w:jc w:val="start"/>
        <w:tblInd w:w="282" w:type="dxa"/>
        <w:tblLayout w:type="fixed"/>
        <w:tblCellMar>
          <w:top w:w="12" w:type="dxa"/>
          <w:start w:w="12" w:type="dxa"/>
          <w:bottom w:w="0" w:type="dxa"/>
          <w:end w:w="12" w:type="dxa"/>
        </w:tblCellMar>
      </w:tblPr>
      <w:tblGrid>
        <w:gridCol w:w="1710"/>
        <w:gridCol w:w="1710"/>
        <w:gridCol w:w="1620"/>
        <w:gridCol w:w="1800"/>
        <w:gridCol w:w="1890"/>
      </w:tblGrid>
      <w:tr>
        <w:trPr>
          <w:trHeight w:val="297" w:hRule="atLeast"/>
        </w:trPr>
        <w:tc>
          <w:tcPr>
            <w:tcW w:w="1710" w:type="dxa"/>
            <w:tcBorders>
              <w:top w:val="single" w:sz="12" w:space="0" w:color="0000FF"/>
              <w:start w:val="single" w:sz="12" w:space="0" w:color="0000FF"/>
              <w:bottom w:val="single" w:sz="12" w:space="0" w:color="000000"/>
              <w:end w:val="single" w:sz="12" w:space="0" w:color="000000"/>
            </w:tcBorders>
            <w:shd w:fill="E0E0E0" w:val="clear"/>
            <w:vAlign w:val="bottom"/>
          </w:tcPr>
          <w:p>
            <w:pPr>
              <w:pStyle w:val="Heading7"/>
              <w:ind w:hanging="0" w:start="0"/>
              <w:rPr>
                <w:rFonts w:ascii="Lucida Sans" w:hAnsi="Lucida Sans" w:cs="Arial"/>
              </w:rPr>
            </w:pPr>
            <w:r>
              <w:rPr>
                <w:rFonts w:cs="Arial" w:ascii="Lucida Sans" w:hAnsi="Lucida Sans"/>
              </w:rPr>
              <w:t>Month</w:t>
            </w:r>
          </w:p>
        </w:tc>
        <w:tc>
          <w:tcPr>
            <w:tcW w:w="1710" w:type="dxa"/>
            <w:tcBorders>
              <w:top w:val="single" w:sz="12" w:space="0" w:color="0000FF"/>
              <w:start w:val="single" w:sz="4" w:space="0" w:color="000000"/>
              <w:bottom w:val="single" w:sz="12" w:space="0" w:color="000000"/>
              <w:end w:val="single" w:sz="4" w:space="0" w:color="000000"/>
            </w:tcBorders>
            <w:shd w:fill="E0E0E0" w:val="clear"/>
            <w:vAlign w:val="bottom"/>
          </w:tcPr>
          <w:p>
            <w:pPr>
              <w:pStyle w:val="Footer"/>
              <w:tabs>
                <w:tab w:val="clear" w:pos="4320"/>
                <w:tab w:val="clear" w:pos="8640"/>
              </w:tabs>
              <w:jc w:val="center"/>
              <w:rPr>
                <w:rFonts w:ascii="Lucida Sans" w:hAnsi="Lucida Sans" w:cs="Arial"/>
                <w:b/>
                <w:bCs/>
              </w:rPr>
            </w:pPr>
            <w:r>
              <w:rPr>
                <w:rFonts w:cs="Arial" w:ascii="Lucida Sans" w:hAnsi="Lucida Sans"/>
                <w:b/>
                <w:bCs/>
              </w:rPr>
              <w:t xml:space="preserve">A/S Price </w:t>
            </w:r>
          </w:p>
          <w:p>
            <w:pPr>
              <w:pStyle w:val="Footer"/>
              <w:tabs>
                <w:tab w:val="clear" w:pos="4320"/>
                <w:tab w:val="clear" w:pos="8640"/>
              </w:tabs>
              <w:jc w:val="center"/>
              <w:rPr>
                <w:i/>
                <w:i/>
                <w:iCs/>
              </w:rPr>
            </w:pPr>
            <w:r>
              <w:rPr>
                <w:i/>
                <w:iCs/>
              </w:rPr>
              <w:t>($/MWh of load)</w:t>
            </w:r>
          </w:p>
        </w:tc>
        <w:tc>
          <w:tcPr>
            <w:tcW w:w="1620" w:type="dxa"/>
            <w:tcBorders>
              <w:top w:val="single" w:sz="12" w:space="0" w:color="0000FF"/>
              <w:start w:val="single" w:sz="4" w:space="0" w:color="000000"/>
              <w:bottom w:val="single" w:sz="12" w:space="0" w:color="000000"/>
              <w:end w:val="single" w:sz="4" w:space="0" w:color="000000"/>
            </w:tcBorders>
            <w:shd w:fill="E0E0E0" w:val="clear"/>
            <w:tcMar>
              <w:top w:w="0" w:type="dxa"/>
              <w:start w:w="0" w:type="dxa"/>
              <w:end w:w="0" w:type="dxa"/>
            </w:tcMar>
          </w:tcPr>
          <w:p>
            <w:pPr>
              <w:pStyle w:val="Footer"/>
              <w:tabs>
                <w:tab w:val="clear" w:pos="4320"/>
                <w:tab w:val="clear" w:pos="8640"/>
              </w:tabs>
              <w:jc w:val="center"/>
              <w:rPr>
                <w:rFonts w:ascii="Lucida Sans" w:hAnsi="Lucida Sans" w:cs="Arial"/>
                <w:b/>
                <w:bCs/>
              </w:rPr>
            </w:pPr>
            <w:r>
              <w:rPr>
                <w:rFonts w:cs="Arial" w:ascii="Lucida Sans" w:hAnsi="Lucida Sans"/>
                <w:b/>
                <w:bCs/>
              </w:rPr>
              <w:t xml:space="preserve">Total energy price </w:t>
            </w:r>
          </w:p>
          <w:p>
            <w:pPr>
              <w:pStyle w:val="Footer"/>
              <w:tabs>
                <w:tab w:val="clear" w:pos="4320"/>
                <w:tab w:val="clear" w:pos="8640"/>
              </w:tabs>
              <w:jc w:val="center"/>
              <w:rPr>
                <w:rFonts w:ascii="Lucida Sans" w:hAnsi="Lucida Sans" w:cs="Arial"/>
                <w:b/>
                <w:bCs/>
              </w:rPr>
            </w:pPr>
            <w:r>
              <w:rPr>
                <w:i/>
                <w:iCs/>
              </w:rPr>
              <w:t>($/MWh)</w:t>
            </w:r>
          </w:p>
        </w:tc>
        <w:tc>
          <w:tcPr>
            <w:tcW w:w="1800" w:type="dxa"/>
            <w:tcBorders>
              <w:top w:val="single" w:sz="12" w:space="0" w:color="0000FF"/>
              <w:start w:val="single" w:sz="4" w:space="0" w:color="000000"/>
              <w:bottom w:val="single" w:sz="12" w:space="0" w:color="000000"/>
              <w:end w:val="single" w:sz="4" w:space="0" w:color="000000"/>
            </w:tcBorders>
            <w:shd w:fill="E0E0E0" w:val="clear"/>
            <w:tcMar>
              <w:top w:w="0" w:type="dxa"/>
              <w:start w:w="0" w:type="dxa"/>
              <w:end w:w="0" w:type="dxa"/>
            </w:tcMar>
          </w:tcPr>
          <w:p>
            <w:pPr>
              <w:pStyle w:val="Footer"/>
              <w:tabs>
                <w:tab w:val="clear" w:pos="4320"/>
                <w:tab w:val="clear" w:pos="8640"/>
              </w:tabs>
              <w:jc w:val="center"/>
              <w:rPr>
                <w:rFonts w:ascii="Lucida Sans" w:hAnsi="Lucida Sans" w:cs="Arial"/>
                <w:b/>
                <w:bCs/>
              </w:rPr>
            </w:pPr>
            <w:r>
              <w:rPr>
                <w:rFonts w:cs="Arial" w:ascii="Lucida Sans" w:hAnsi="Lucida Sans"/>
                <w:b/>
                <w:bCs/>
              </w:rPr>
              <w:t>Total power price</w:t>
            </w:r>
          </w:p>
          <w:p>
            <w:pPr>
              <w:pStyle w:val="Footer"/>
              <w:tabs>
                <w:tab w:val="clear" w:pos="4320"/>
                <w:tab w:val="clear" w:pos="8640"/>
              </w:tabs>
              <w:jc w:val="center"/>
              <w:rPr>
                <w:rFonts w:ascii="Lucida Sans" w:hAnsi="Lucida Sans" w:cs="Arial"/>
                <w:b/>
                <w:bCs/>
              </w:rPr>
            </w:pPr>
            <w:r>
              <w:rPr>
                <w:i/>
                <w:iCs/>
              </w:rPr>
              <w:t>(A/S +Energy)</w:t>
            </w:r>
          </w:p>
        </w:tc>
        <w:tc>
          <w:tcPr>
            <w:tcW w:w="1890" w:type="dxa"/>
            <w:tcBorders>
              <w:top w:val="single" w:sz="12" w:space="0" w:color="0000FF"/>
              <w:start w:val="single" w:sz="4" w:space="0" w:color="000000"/>
              <w:bottom w:val="single" w:sz="12" w:space="0" w:color="000000"/>
              <w:end w:val="single" w:sz="12" w:space="0" w:color="0000FF"/>
            </w:tcBorders>
            <w:shd w:fill="E0E0E0" w:val="clear"/>
            <w:tcMar>
              <w:top w:w="0" w:type="dxa"/>
              <w:start w:w="0" w:type="dxa"/>
              <w:end w:w="0" w:type="dxa"/>
            </w:tcMar>
          </w:tcPr>
          <w:p>
            <w:pPr>
              <w:pStyle w:val="Footer"/>
              <w:tabs>
                <w:tab w:val="clear" w:pos="4320"/>
                <w:tab w:val="clear" w:pos="8640"/>
              </w:tabs>
              <w:jc w:val="center"/>
              <w:rPr>
                <w:rFonts w:ascii="Lucida Sans" w:hAnsi="Lucida Sans" w:cs="Arial"/>
                <w:b/>
                <w:bCs/>
              </w:rPr>
            </w:pPr>
            <w:r>
              <w:rPr>
                <w:rFonts w:cs="Arial" w:ascii="Lucida Sans" w:hAnsi="Lucida Sans"/>
                <w:b/>
                <w:bCs/>
              </w:rPr>
              <w:t xml:space="preserve">Percent change </w:t>
            </w:r>
          </w:p>
          <w:p>
            <w:pPr>
              <w:pStyle w:val="Footer"/>
              <w:tabs>
                <w:tab w:val="clear" w:pos="4320"/>
                <w:tab w:val="clear" w:pos="8640"/>
              </w:tabs>
              <w:jc w:val="center"/>
              <w:rPr>
                <w:rFonts w:ascii="Lucida Sans" w:hAnsi="Lucida Sans" w:cs="Arial"/>
                <w:b/>
                <w:bCs/>
              </w:rPr>
            </w:pPr>
            <w:r>
              <w:rPr>
                <w:i/>
                <w:iCs/>
              </w:rPr>
              <w:t>(this month to Jan ’01)</w:t>
            </w:r>
          </w:p>
        </w:tc>
      </w:tr>
      <w:tr>
        <w:trPr>
          <w:trHeight w:val="297" w:hRule="atLeast"/>
        </w:trPr>
        <w:tc>
          <w:tcPr>
            <w:tcW w:w="1710" w:type="dxa"/>
            <w:tcBorders>
              <w:top w:val="single" w:sz="12" w:space="0" w:color="000000"/>
              <w:start w:val="single" w:sz="12" w:space="0" w:color="0000FF"/>
              <w:bottom w:val="single" w:sz="4" w:space="0" w:color="000000"/>
              <w:end w:val="single" w:sz="12" w:space="0" w:color="000000"/>
            </w:tcBorders>
            <w:shd w:fill="E0E0E0" w:val="clear"/>
            <w:vAlign w:val="bottom"/>
          </w:tcPr>
          <w:p>
            <w:pPr>
              <w:pStyle w:val="Heading7"/>
              <w:ind w:hanging="0" w:start="0"/>
              <w:rPr>
                <w:rFonts w:ascii="Technical" w:hAnsi="Technical" w:cs="Technical"/>
              </w:rPr>
            </w:pPr>
            <w:r>
              <w:rPr>
                <w:rFonts w:cs="Technical" w:ascii="Technical" w:hAnsi="Technical"/>
              </w:rPr>
              <w:t>January 2001</w:t>
            </w:r>
          </w:p>
        </w:tc>
        <w:tc>
          <w:tcPr>
            <w:tcW w:w="1710" w:type="dxa"/>
            <w:tcBorders>
              <w:top w:val="single" w:sz="12" w:space="0" w:color="000000"/>
              <w:start w:val="single" w:sz="4" w:space="0" w:color="000000"/>
              <w:bottom w:val="single" w:sz="4" w:space="0" w:color="000000"/>
              <w:end w:val="single" w:sz="4" w:space="0" w:color="000000"/>
            </w:tcBorders>
          </w:tcPr>
          <w:p>
            <w:pPr>
              <w:pStyle w:val="Normal"/>
              <w:jc w:val="center"/>
              <w:rPr/>
            </w:pPr>
            <w:r>
              <w:rPr/>
              <w:t>$14</w:t>
            </w:r>
          </w:p>
        </w:tc>
        <w:tc>
          <w:tcPr>
            <w:tcW w:w="1620" w:type="dxa"/>
            <w:tcBorders>
              <w:top w:val="single" w:sz="12" w:space="0" w:color="000000"/>
              <w:start w:val="single" w:sz="4" w:space="0" w:color="000000"/>
              <w:bottom w:val="single" w:sz="4" w:space="0" w:color="000000"/>
              <w:end w:val="single" w:sz="4" w:space="0" w:color="000000"/>
            </w:tcBorders>
            <w:tcMar>
              <w:top w:w="0" w:type="dxa"/>
              <w:start w:w="0" w:type="dxa"/>
              <w:end w:w="0" w:type="dxa"/>
            </w:tcMar>
          </w:tcPr>
          <w:p>
            <w:pPr>
              <w:pStyle w:val="Normal"/>
              <w:jc w:val="center"/>
              <w:rPr/>
            </w:pPr>
            <w:r>
              <w:rPr/>
              <w:t>$291</w:t>
            </w:r>
          </w:p>
        </w:tc>
        <w:tc>
          <w:tcPr>
            <w:tcW w:w="1800" w:type="dxa"/>
            <w:tcBorders>
              <w:top w:val="single" w:sz="12" w:space="0" w:color="000000"/>
              <w:start w:val="single" w:sz="4" w:space="0" w:color="000000"/>
              <w:bottom w:val="single" w:sz="4" w:space="0" w:color="000000"/>
              <w:end w:val="single" w:sz="4" w:space="0" w:color="000000"/>
            </w:tcBorders>
            <w:tcMar>
              <w:top w:w="0" w:type="dxa"/>
              <w:start w:w="0" w:type="dxa"/>
              <w:end w:w="0" w:type="dxa"/>
            </w:tcMar>
          </w:tcPr>
          <w:p>
            <w:pPr>
              <w:pStyle w:val="Normal"/>
              <w:jc w:val="center"/>
              <w:rPr/>
            </w:pPr>
            <w:r>
              <w:rPr/>
              <w:t xml:space="preserve">  </w:t>
            </w:r>
            <w:r>
              <w:rPr/>
              <w:t>$305</w:t>
            </w:r>
            <w:r>
              <w:rPr>
                <w:rFonts w:cs="Abadi MT Condensed Light" w:ascii="Abadi MT Condensed Light" w:hAnsi="Abadi MT Condensed Light"/>
                <w:b/>
                <w:bCs/>
                <w:i/>
                <w:iCs/>
              </w:rPr>
              <w:t>*</w:t>
            </w:r>
          </w:p>
        </w:tc>
        <w:tc>
          <w:tcPr>
            <w:tcW w:w="1890" w:type="dxa"/>
            <w:tcBorders>
              <w:top w:val="single" w:sz="12" w:space="0" w:color="000000"/>
              <w:start w:val="single" w:sz="4" w:space="0" w:color="000000"/>
              <w:bottom w:val="single" w:sz="4" w:space="0" w:color="000000"/>
              <w:end w:val="single" w:sz="12" w:space="0" w:color="0000FF"/>
            </w:tcBorders>
            <w:tcMar>
              <w:top w:w="0" w:type="dxa"/>
              <w:start w:w="0" w:type="dxa"/>
              <w:end w:w="0" w:type="dxa"/>
            </w:tcMar>
          </w:tcPr>
          <w:p>
            <w:pPr>
              <w:pStyle w:val="Normal"/>
              <w:jc w:val="center"/>
              <w:rPr/>
            </w:pPr>
            <w:r>
              <w:rPr/>
              <w:t>-</w:t>
            </w:r>
          </w:p>
        </w:tc>
      </w:tr>
      <w:tr>
        <w:trPr>
          <w:trHeight w:val="297" w:hRule="atLeast"/>
        </w:trPr>
        <w:tc>
          <w:tcPr>
            <w:tcW w:w="1710" w:type="dxa"/>
            <w:tcBorders>
              <w:top w:val="single" w:sz="4" w:space="0" w:color="000000"/>
              <w:start w:val="single" w:sz="12" w:space="0" w:color="0000FF"/>
              <w:bottom w:val="single" w:sz="4" w:space="0" w:color="000000"/>
              <w:end w:val="single" w:sz="12" w:space="0" w:color="000000"/>
            </w:tcBorders>
            <w:shd w:fill="E0E0E0" w:val="clear"/>
            <w:vAlign w:val="bottom"/>
          </w:tcPr>
          <w:p>
            <w:pPr>
              <w:pStyle w:val="Heading7"/>
              <w:ind w:hanging="0" w:start="0"/>
              <w:rPr>
                <w:rFonts w:ascii="Technical" w:hAnsi="Technical" w:cs="Technical"/>
              </w:rPr>
            </w:pPr>
            <w:r>
              <w:rPr>
                <w:rFonts w:cs="Technical" w:ascii="Technical" w:hAnsi="Technical"/>
              </w:rPr>
              <w:t>December 2000</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pPr>
            <w:r>
              <w:rPr/>
              <w:t>$23</w:t>
            </w:r>
          </w:p>
        </w:tc>
        <w:tc>
          <w:tcPr>
            <w:tcW w:w="1620" w:type="dxa"/>
            <w:tcBorders>
              <w:top w:val="single" w:sz="4" w:space="0" w:color="000000"/>
              <w:start w:val="single" w:sz="4" w:space="0" w:color="000000"/>
              <w:bottom w:val="single" w:sz="4" w:space="0" w:color="000000"/>
              <w:end w:val="single" w:sz="4" w:space="0" w:color="000000"/>
            </w:tcBorders>
            <w:tcMar>
              <w:top w:w="0" w:type="dxa"/>
              <w:start w:w="0" w:type="dxa"/>
              <w:end w:w="0" w:type="dxa"/>
            </w:tcMar>
          </w:tcPr>
          <w:p>
            <w:pPr>
              <w:pStyle w:val="Normal"/>
              <w:jc w:val="center"/>
              <w:rPr/>
            </w:pPr>
            <w:r>
              <w:rPr/>
              <w:t>$294</w:t>
            </w:r>
          </w:p>
        </w:tc>
        <w:tc>
          <w:tcPr>
            <w:tcW w:w="1800" w:type="dxa"/>
            <w:tcBorders>
              <w:top w:val="single" w:sz="4" w:space="0" w:color="000000"/>
              <w:start w:val="single" w:sz="4" w:space="0" w:color="000000"/>
              <w:bottom w:val="single" w:sz="4" w:space="0" w:color="000000"/>
              <w:end w:val="single" w:sz="4" w:space="0" w:color="000000"/>
            </w:tcBorders>
            <w:tcMar>
              <w:top w:w="0" w:type="dxa"/>
              <w:start w:w="0" w:type="dxa"/>
              <w:end w:w="0" w:type="dxa"/>
            </w:tcMar>
          </w:tcPr>
          <w:p>
            <w:pPr>
              <w:pStyle w:val="Normal"/>
              <w:jc w:val="center"/>
              <w:rPr/>
            </w:pPr>
            <w:r>
              <w:rPr/>
              <w:t>$317</w:t>
            </w:r>
          </w:p>
        </w:tc>
        <w:tc>
          <w:tcPr>
            <w:tcW w:w="1890" w:type="dxa"/>
            <w:tcBorders>
              <w:top w:val="single" w:sz="4" w:space="0" w:color="000000"/>
              <w:start w:val="single" w:sz="4" w:space="0" w:color="000000"/>
              <w:bottom w:val="single" w:sz="4" w:space="0" w:color="000000"/>
              <w:end w:val="single" w:sz="12" w:space="0" w:color="0000FF"/>
            </w:tcBorders>
            <w:tcMar>
              <w:top w:w="0" w:type="dxa"/>
              <w:start w:w="0" w:type="dxa"/>
              <w:end w:w="0" w:type="dxa"/>
            </w:tcMar>
          </w:tcPr>
          <w:p>
            <w:pPr>
              <w:pStyle w:val="Normal"/>
              <w:jc w:val="center"/>
              <w:rPr/>
            </w:pPr>
            <w:r>
              <w:rPr/>
              <w:t>-4%</w:t>
            </w:r>
          </w:p>
        </w:tc>
      </w:tr>
      <w:tr>
        <w:trPr>
          <w:trHeight w:val="297" w:hRule="atLeast"/>
        </w:trPr>
        <w:tc>
          <w:tcPr>
            <w:tcW w:w="1710" w:type="dxa"/>
            <w:tcBorders>
              <w:top w:val="single" w:sz="4" w:space="0" w:color="000000"/>
              <w:start w:val="single" w:sz="12" w:space="0" w:color="0000FF"/>
              <w:bottom w:val="single" w:sz="12" w:space="0" w:color="0000FF"/>
              <w:end w:val="single" w:sz="12" w:space="0" w:color="000000"/>
            </w:tcBorders>
            <w:shd w:fill="E0E0E0" w:val="clear"/>
            <w:vAlign w:val="bottom"/>
          </w:tcPr>
          <w:p>
            <w:pPr>
              <w:pStyle w:val="Normal"/>
              <w:rPr>
                <w:rFonts w:ascii="Technical" w:hAnsi="Technical" w:cs="Technical"/>
                <w:b/>
                <w:bCs/>
              </w:rPr>
            </w:pPr>
            <w:r>
              <w:rPr>
                <w:rFonts w:cs="Technical" w:ascii="Technical" w:hAnsi="Technical"/>
                <w:b/>
                <w:bCs/>
              </w:rPr>
              <w:t>January 2000</w:t>
            </w:r>
          </w:p>
        </w:tc>
        <w:tc>
          <w:tcPr>
            <w:tcW w:w="1710" w:type="dxa"/>
            <w:tcBorders>
              <w:top w:val="single" w:sz="4" w:space="0" w:color="000000"/>
              <w:start w:val="single" w:sz="4" w:space="0" w:color="000000"/>
              <w:bottom w:val="single" w:sz="12" w:space="0" w:color="0000FF"/>
              <w:end w:val="single" w:sz="4" w:space="0" w:color="000000"/>
            </w:tcBorders>
          </w:tcPr>
          <w:p>
            <w:pPr>
              <w:pStyle w:val="Normal"/>
              <w:jc w:val="center"/>
              <w:rPr/>
            </w:pPr>
            <w:r>
              <w:rPr/>
              <w:t>$1</w:t>
            </w:r>
          </w:p>
        </w:tc>
        <w:tc>
          <w:tcPr>
            <w:tcW w:w="1620" w:type="dxa"/>
            <w:tcBorders>
              <w:top w:val="single" w:sz="4" w:space="0" w:color="000000"/>
              <w:start w:val="single" w:sz="4" w:space="0" w:color="000000"/>
              <w:bottom w:val="single" w:sz="12" w:space="0" w:color="0000FF"/>
              <w:end w:val="single" w:sz="4" w:space="0" w:color="000000"/>
            </w:tcBorders>
            <w:tcMar>
              <w:top w:w="0" w:type="dxa"/>
              <w:start w:w="0" w:type="dxa"/>
              <w:end w:w="0" w:type="dxa"/>
            </w:tcMar>
          </w:tcPr>
          <w:p>
            <w:pPr>
              <w:pStyle w:val="Normal"/>
              <w:jc w:val="center"/>
              <w:rPr/>
            </w:pPr>
            <w:r>
              <w:rPr/>
              <w:t>$32</w:t>
            </w:r>
          </w:p>
        </w:tc>
        <w:tc>
          <w:tcPr>
            <w:tcW w:w="1800" w:type="dxa"/>
            <w:tcBorders>
              <w:top w:val="single" w:sz="4" w:space="0" w:color="000000"/>
              <w:start w:val="single" w:sz="4" w:space="0" w:color="000000"/>
              <w:bottom w:val="single" w:sz="12" w:space="0" w:color="0000FF"/>
              <w:end w:val="single" w:sz="4" w:space="0" w:color="000000"/>
            </w:tcBorders>
            <w:tcMar>
              <w:top w:w="0" w:type="dxa"/>
              <w:start w:w="0" w:type="dxa"/>
              <w:end w:w="0" w:type="dxa"/>
            </w:tcMar>
          </w:tcPr>
          <w:p>
            <w:pPr>
              <w:pStyle w:val="Normal"/>
              <w:jc w:val="center"/>
              <w:rPr/>
            </w:pPr>
            <w:r>
              <w:rPr/>
              <w:t>$33</w:t>
            </w:r>
          </w:p>
        </w:tc>
        <w:tc>
          <w:tcPr>
            <w:tcW w:w="1890" w:type="dxa"/>
            <w:tcBorders>
              <w:top w:val="single" w:sz="4" w:space="0" w:color="000000"/>
              <w:start w:val="single" w:sz="4" w:space="0" w:color="000000"/>
              <w:bottom w:val="single" w:sz="12" w:space="0" w:color="0000FF"/>
              <w:end w:val="single" w:sz="12" w:space="0" w:color="0000FF"/>
            </w:tcBorders>
            <w:tcMar>
              <w:top w:w="0" w:type="dxa"/>
              <w:start w:w="0" w:type="dxa"/>
              <w:end w:w="0" w:type="dxa"/>
            </w:tcMar>
          </w:tcPr>
          <w:p>
            <w:pPr>
              <w:pStyle w:val="Normal"/>
              <w:jc w:val="center"/>
              <w:rPr/>
            </w:pPr>
            <w:r>
              <w:rPr/>
              <w:t>824%</w:t>
            </w:r>
          </w:p>
        </w:tc>
      </w:tr>
    </w:tbl>
    <w:p>
      <w:pPr>
        <w:pStyle w:val="Footer"/>
        <w:tabs>
          <w:tab w:val="clear" w:pos="4320"/>
          <w:tab w:val="clear" w:pos="8640"/>
        </w:tabs>
        <w:jc w:val="center"/>
        <w:rPr>
          <w:rFonts w:ascii="Abadi MT Condensed Light" w:hAnsi="Abadi MT Condensed Light" w:cs="Abadi MT Condensed Light"/>
          <w:b/>
          <w:bCs/>
          <w:i/>
          <w:i/>
          <w:iCs/>
        </w:rPr>
      </w:pPr>
      <w:r>
        <w:rPr>
          <w:rFonts w:cs="Abadi MT Condensed Light" w:ascii="Abadi MT Condensed Light" w:hAnsi="Abadi MT Condensed Light"/>
          <w:b/>
          <w:bCs/>
          <w:i/>
          <w:iCs/>
        </w:rPr>
        <w:t>* Second highest since April 1998, after December 2000.</w:t>
      </w:r>
    </w:p>
    <w:p>
      <w:pPr>
        <w:pStyle w:val="Footer"/>
        <w:tabs>
          <w:tab w:val="clear" w:pos="4320"/>
          <w:tab w:val="clear" w:pos="8640"/>
        </w:tabs>
        <w:rPr>
          <w:rFonts w:ascii="Abadi MT Condensed Light" w:hAnsi="Abadi MT Condensed Light" w:cs="Abadi MT Condensed Light"/>
          <w:b/>
          <w:bCs/>
          <w:i/>
          <w:i/>
          <w:iCs/>
          <w:sz w:val="16"/>
        </w:rPr>
      </w:pPr>
      <w:r>
        <w:rPr>
          <w:rFonts w:cs="Abadi MT Condensed Light" w:ascii="Abadi MT Condensed Light" w:hAnsi="Abadi MT Condensed Light"/>
          <w:b/>
          <w:bCs/>
          <w:i/>
          <w:iCs/>
          <w:sz w:val="16"/>
        </w:rPr>
      </w:r>
    </w:p>
    <w:p>
      <w:pPr>
        <w:pStyle w:val="Footer"/>
        <w:numPr>
          <w:ilvl w:val="0"/>
          <w:numId w:val="3"/>
        </w:numPr>
        <w:tabs>
          <w:tab w:val="clear" w:pos="4320"/>
          <w:tab w:val="clear" w:pos="8640"/>
          <w:tab w:val="left" w:pos="540" w:leader="none"/>
        </w:tabs>
        <w:ind w:hanging="360" w:start="540" w:end="0"/>
        <w:rPr/>
      </w:pPr>
      <w:r>
        <w:rPr>
          <w:rFonts w:cs="BookmanITC Lt BT" w:ascii="BookmanITC Lt BT" w:hAnsi="BookmanITC Lt BT"/>
          <w:b/>
          <w:bCs/>
          <w:u w:val="single"/>
        </w:rPr>
        <w:t>NOx prices</w:t>
      </w:r>
      <w:r>
        <w:rPr>
          <w:rFonts w:cs="BookmanITC Lt BT" w:ascii="BookmanITC Lt BT" w:hAnsi="BookmanITC Lt BT"/>
          <w:b/>
          <w:bCs/>
        </w:rPr>
        <w:t xml:space="preserve"> </w:t>
      </w:r>
      <w:r>
        <w:rPr>
          <w:i/>
          <w:iCs/>
        </w:rPr>
        <w:t xml:space="preserve">(per Reclaim Trading Credit (RTC) – Cantor Fitzgerald Market Index) – </w:t>
      </w:r>
      <w:r>
        <w:rPr/>
        <w:t>Approximate cost, estimated from chart</w:t>
      </w:r>
    </w:p>
    <w:p>
      <w:pPr>
        <w:pStyle w:val="Footer"/>
        <w:tabs>
          <w:tab w:val="clear" w:pos="4320"/>
          <w:tab w:val="clear" w:pos="8640"/>
          <w:tab w:val="left" w:pos="1800" w:leader="none"/>
        </w:tabs>
        <w:ind w:start="180" w:end="0"/>
        <w:rPr>
          <w:rFonts w:ascii="Lucida Sans" w:hAnsi="Lucida Sans" w:eastAsia="Lucida Sans" w:cs="Lucida Sans"/>
          <w:b/>
          <w:bCs/>
          <w:sz w:val="8"/>
          <w:u w:val="single"/>
        </w:rPr>
      </w:pPr>
      <w:r>
        <w:rPr>
          <w:rFonts w:eastAsia="Lucida Sans" w:cs="Lucida Sans" w:ascii="Lucida Sans" w:hAnsi="Lucida Sans"/>
          <w:b/>
          <w:bCs/>
          <w:sz w:val="8"/>
          <w:u w:val="single"/>
        </w:rPr>
        <w:t xml:space="preserve">   </w:t>
      </w:r>
    </w:p>
    <w:tbl>
      <w:tblPr>
        <w:tblW w:w="6421" w:type="dxa"/>
        <w:jc w:val="start"/>
        <w:tblInd w:w="1104" w:type="dxa"/>
        <w:tblLayout w:type="fixed"/>
        <w:tblCellMar>
          <w:top w:w="12" w:type="dxa"/>
          <w:start w:w="12" w:type="dxa"/>
          <w:bottom w:w="0" w:type="dxa"/>
          <w:end w:w="12" w:type="dxa"/>
        </w:tblCellMar>
      </w:tblPr>
      <w:tblGrid>
        <w:gridCol w:w="1831"/>
        <w:gridCol w:w="2312"/>
        <w:gridCol w:w="2278"/>
      </w:tblGrid>
      <w:tr>
        <w:trPr>
          <w:trHeight w:val="297" w:hRule="atLeast"/>
        </w:trPr>
        <w:tc>
          <w:tcPr>
            <w:tcW w:w="1831" w:type="dxa"/>
            <w:tcBorders>
              <w:top w:val="single" w:sz="12" w:space="0" w:color="0000FF"/>
              <w:start w:val="single" w:sz="12" w:space="0" w:color="0000FF"/>
              <w:bottom w:val="single" w:sz="12" w:space="0" w:color="000000"/>
              <w:end w:val="single" w:sz="12" w:space="0" w:color="000000"/>
            </w:tcBorders>
            <w:shd w:fill="E0E0E0" w:val="clear"/>
            <w:vAlign w:val="bottom"/>
          </w:tcPr>
          <w:p>
            <w:pPr>
              <w:pStyle w:val="Heading7"/>
              <w:ind w:hanging="0" w:start="0"/>
              <w:rPr>
                <w:rFonts w:ascii="Lucida Sans" w:hAnsi="Lucida Sans" w:cs="Arial"/>
              </w:rPr>
            </w:pPr>
            <w:r>
              <w:rPr>
                <w:rFonts w:cs="Arial" w:ascii="Lucida Sans" w:hAnsi="Lucida Sans"/>
              </w:rPr>
              <w:t>Month</w:t>
            </w:r>
          </w:p>
        </w:tc>
        <w:tc>
          <w:tcPr>
            <w:tcW w:w="2312" w:type="dxa"/>
            <w:tcBorders>
              <w:top w:val="single" w:sz="12" w:space="0" w:color="0000FF"/>
              <w:start w:val="single" w:sz="4" w:space="0" w:color="000000"/>
              <w:bottom w:val="single" w:sz="12" w:space="0" w:color="000000"/>
              <w:end w:val="single" w:sz="4" w:space="0" w:color="000000"/>
            </w:tcBorders>
            <w:shd w:fill="E0E0E0" w:val="clear"/>
            <w:vAlign w:val="bottom"/>
          </w:tcPr>
          <w:p>
            <w:pPr>
              <w:pStyle w:val="Footer"/>
              <w:tabs>
                <w:tab w:val="clear" w:pos="4320"/>
                <w:tab w:val="clear" w:pos="8640"/>
              </w:tabs>
              <w:jc w:val="center"/>
              <w:rPr/>
            </w:pPr>
            <w:r>
              <w:rPr>
                <w:rFonts w:cs="Arial" w:ascii="Lucida Sans" w:hAnsi="Lucida Sans"/>
                <w:b/>
                <w:bCs/>
              </w:rPr>
              <w:t xml:space="preserve">Total cost </w:t>
            </w:r>
            <w:r>
              <w:rPr>
                <w:i/>
                <w:iCs/>
              </w:rPr>
              <w:t>($/Reclaim Trading Credit (RTC))</w:t>
            </w:r>
          </w:p>
        </w:tc>
        <w:tc>
          <w:tcPr>
            <w:tcW w:w="2278" w:type="dxa"/>
            <w:tcBorders>
              <w:top w:val="single" w:sz="12" w:space="0" w:color="0000FF"/>
              <w:start w:val="single" w:sz="4" w:space="0" w:color="000000"/>
              <w:bottom w:val="single" w:sz="12" w:space="0" w:color="000000"/>
              <w:end w:val="single" w:sz="12" w:space="0" w:color="0000FF"/>
            </w:tcBorders>
            <w:shd w:fill="E0E0E0" w:val="clear"/>
            <w:tcMar>
              <w:top w:w="0" w:type="dxa"/>
              <w:start w:w="0" w:type="dxa"/>
              <w:end w:w="0" w:type="dxa"/>
            </w:tcMar>
          </w:tcPr>
          <w:p>
            <w:pPr>
              <w:pStyle w:val="Footer"/>
              <w:tabs>
                <w:tab w:val="clear" w:pos="4320"/>
                <w:tab w:val="clear" w:pos="8640"/>
              </w:tabs>
              <w:jc w:val="center"/>
              <w:rPr>
                <w:rFonts w:ascii="Lucida Sans" w:hAnsi="Lucida Sans" w:cs="Arial"/>
                <w:b/>
                <w:bCs/>
              </w:rPr>
            </w:pPr>
            <w:r>
              <w:rPr>
                <w:rFonts w:cs="Arial" w:ascii="Lucida Sans" w:hAnsi="Lucida Sans"/>
                <w:b/>
                <w:bCs/>
              </w:rPr>
              <w:t xml:space="preserve">Percent change </w:t>
            </w:r>
          </w:p>
          <w:p>
            <w:pPr>
              <w:pStyle w:val="Footer"/>
              <w:tabs>
                <w:tab w:val="clear" w:pos="4320"/>
                <w:tab w:val="clear" w:pos="8640"/>
              </w:tabs>
              <w:jc w:val="center"/>
              <w:rPr>
                <w:rFonts w:ascii="Lucida Sans" w:hAnsi="Lucida Sans" w:cs="Arial"/>
                <w:b/>
                <w:bCs/>
              </w:rPr>
            </w:pPr>
            <w:r>
              <w:rPr>
                <w:i/>
                <w:iCs/>
              </w:rPr>
              <w:t>(this month to Jan ’01)</w:t>
            </w:r>
          </w:p>
        </w:tc>
      </w:tr>
      <w:tr>
        <w:trPr>
          <w:trHeight w:val="297" w:hRule="atLeast"/>
        </w:trPr>
        <w:tc>
          <w:tcPr>
            <w:tcW w:w="1831" w:type="dxa"/>
            <w:tcBorders>
              <w:top w:val="single" w:sz="12" w:space="0" w:color="000000"/>
              <w:start w:val="single" w:sz="12" w:space="0" w:color="0000FF"/>
              <w:bottom w:val="single" w:sz="4" w:space="0" w:color="000000"/>
              <w:end w:val="single" w:sz="12" w:space="0" w:color="000000"/>
            </w:tcBorders>
            <w:shd w:fill="E0E0E0" w:val="clear"/>
            <w:vAlign w:val="bottom"/>
          </w:tcPr>
          <w:p>
            <w:pPr>
              <w:pStyle w:val="Heading7"/>
              <w:ind w:hanging="0" w:start="0"/>
              <w:rPr>
                <w:rFonts w:ascii="Technical" w:hAnsi="Technical" w:cs="Technical"/>
              </w:rPr>
            </w:pPr>
            <w:r>
              <w:rPr>
                <w:rFonts w:cs="Technical" w:ascii="Technical" w:hAnsi="Technical"/>
              </w:rPr>
              <w:t>January 2001</w:t>
            </w:r>
          </w:p>
        </w:tc>
        <w:tc>
          <w:tcPr>
            <w:tcW w:w="2312" w:type="dxa"/>
            <w:tcBorders>
              <w:top w:val="single" w:sz="12" w:space="0" w:color="000000"/>
              <w:start w:val="single" w:sz="4" w:space="0" w:color="000000"/>
              <w:bottom w:val="single" w:sz="4" w:space="0" w:color="000000"/>
              <w:end w:val="single" w:sz="4" w:space="0" w:color="000000"/>
            </w:tcBorders>
          </w:tcPr>
          <w:p>
            <w:pPr>
              <w:pStyle w:val="Normal"/>
              <w:jc w:val="center"/>
              <w:rPr/>
            </w:pPr>
            <w:r>
              <w:rPr/>
              <w:t>$18</w:t>
            </w:r>
          </w:p>
        </w:tc>
        <w:tc>
          <w:tcPr>
            <w:tcW w:w="2278" w:type="dxa"/>
            <w:tcBorders>
              <w:top w:val="single" w:sz="12" w:space="0" w:color="000000"/>
              <w:start w:val="single" w:sz="4" w:space="0" w:color="000000"/>
              <w:bottom w:val="single" w:sz="4" w:space="0" w:color="000000"/>
              <w:end w:val="single" w:sz="12" w:space="0" w:color="0000FF"/>
            </w:tcBorders>
            <w:tcMar>
              <w:top w:w="0" w:type="dxa"/>
              <w:start w:w="0" w:type="dxa"/>
              <w:end w:w="0" w:type="dxa"/>
            </w:tcMar>
          </w:tcPr>
          <w:p>
            <w:pPr>
              <w:pStyle w:val="Normal"/>
              <w:jc w:val="center"/>
              <w:rPr/>
            </w:pPr>
            <w:r>
              <w:rPr/>
              <w:t>-</w:t>
            </w:r>
          </w:p>
        </w:tc>
      </w:tr>
      <w:tr>
        <w:trPr>
          <w:trHeight w:val="297" w:hRule="atLeast"/>
        </w:trPr>
        <w:tc>
          <w:tcPr>
            <w:tcW w:w="1831" w:type="dxa"/>
            <w:tcBorders>
              <w:top w:val="single" w:sz="4" w:space="0" w:color="000000"/>
              <w:start w:val="single" w:sz="12" w:space="0" w:color="0000FF"/>
              <w:bottom w:val="single" w:sz="4" w:space="0" w:color="000000"/>
              <w:end w:val="single" w:sz="12" w:space="0" w:color="000000"/>
            </w:tcBorders>
            <w:shd w:fill="E0E0E0" w:val="clear"/>
            <w:vAlign w:val="bottom"/>
          </w:tcPr>
          <w:p>
            <w:pPr>
              <w:pStyle w:val="Heading7"/>
              <w:ind w:hanging="0" w:start="0"/>
              <w:rPr>
                <w:rFonts w:ascii="Technical" w:hAnsi="Technical" w:cs="Technical"/>
              </w:rPr>
            </w:pPr>
            <w:r>
              <w:rPr>
                <w:rFonts w:cs="Technical" w:ascii="Technical" w:hAnsi="Technical"/>
              </w:rPr>
              <w:t>December 2000</w:t>
            </w:r>
          </w:p>
        </w:tc>
        <w:tc>
          <w:tcPr>
            <w:tcW w:w="2312" w:type="dxa"/>
            <w:tcBorders>
              <w:top w:val="single" w:sz="4" w:space="0" w:color="000000"/>
              <w:start w:val="single" w:sz="4" w:space="0" w:color="000000"/>
              <w:bottom w:val="single" w:sz="4" w:space="0" w:color="000000"/>
              <w:end w:val="single" w:sz="4" w:space="0" w:color="000000"/>
            </w:tcBorders>
          </w:tcPr>
          <w:p>
            <w:pPr>
              <w:pStyle w:val="Normal"/>
              <w:jc w:val="center"/>
              <w:rPr/>
            </w:pPr>
            <w:r>
              <w:rPr/>
              <w:t>$43</w:t>
            </w:r>
          </w:p>
        </w:tc>
        <w:tc>
          <w:tcPr>
            <w:tcW w:w="2278" w:type="dxa"/>
            <w:tcBorders>
              <w:top w:val="single" w:sz="4" w:space="0" w:color="000000"/>
              <w:start w:val="single" w:sz="4" w:space="0" w:color="000000"/>
              <w:bottom w:val="single" w:sz="4" w:space="0" w:color="000000"/>
              <w:end w:val="single" w:sz="12" w:space="0" w:color="0000FF"/>
            </w:tcBorders>
            <w:tcMar>
              <w:top w:w="0" w:type="dxa"/>
              <w:start w:w="0" w:type="dxa"/>
              <w:end w:w="0" w:type="dxa"/>
            </w:tcMar>
          </w:tcPr>
          <w:p>
            <w:pPr>
              <w:pStyle w:val="Normal"/>
              <w:jc w:val="center"/>
              <w:rPr/>
            </w:pPr>
            <w:r>
              <w:rPr/>
              <w:t>-58%</w:t>
            </w:r>
          </w:p>
        </w:tc>
      </w:tr>
      <w:tr>
        <w:trPr>
          <w:trHeight w:val="297" w:hRule="atLeast"/>
        </w:trPr>
        <w:tc>
          <w:tcPr>
            <w:tcW w:w="1831" w:type="dxa"/>
            <w:tcBorders>
              <w:top w:val="single" w:sz="4" w:space="0" w:color="000000"/>
              <w:start w:val="single" w:sz="12" w:space="0" w:color="0000FF"/>
              <w:bottom w:val="single" w:sz="12" w:space="0" w:color="0000FF"/>
              <w:end w:val="single" w:sz="12" w:space="0" w:color="000000"/>
            </w:tcBorders>
            <w:shd w:fill="E0E0E0" w:val="clear"/>
            <w:vAlign w:val="bottom"/>
          </w:tcPr>
          <w:p>
            <w:pPr>
              <w:pStyle w:val="Normal"/>
              <w:rPr>
                <w:rFonts w:ascii="Technical" w:hAnsi="Technical" w:cs="Technical"/>
                <w:b/>
                <w:bCs/>
              </w:rPr>
            </w:pPr>
            <w:r>
              <w:rPr>
                <w:rFonts w:cs="Technical" w:ascii="Technical" w:hAnsi="Technical"/>
                <w:b/>
                <w:bCs/>
              </w:rPr>
              <w:t>January 2000</w:t>
            </w:r>
          </w:p>
        </w:tc>
        <w:tc>
          <w:tcPr>
            <w:tcW w:w="2312" w:type="dxa"/>
            <w:tcBorders>
              <w:top w:val="single" w:sz="4" w:space="0" w:color="000000"/>
              <w:start w:val="single" w:sz="4" w:space="0" w:color="000000"/>
              <w:bottom w:val="single" w:sz="12" w:space="0" w:color="0000FF"/>
              <w:end w:val="single" w:sz="4" w:space="0" w:color="000000"/>
            </w:tcBorders>
          </w:tcPr>
          <w:p>
            <w:pPr>
              <w:pStyle w:val="Normal"/>
              <w:jc w:val="center"/>
              <w:rPr/>
            </w:pPr>
            <w:r>
              <w:rPr/>
              <w:t>$3</w:t>
            </w:r>
          </w:p>
        </w:tc>
        <w:tc>
          <w:tcPr>
            <w:tcW w:w="2278" w:type="dxa"/>
            <w:tcBorders>
              <w:top w:val="single" w:sz="4" w:space="0" w:color="000000"/>
              <w:start w:val="single" w:sz="4" w:space="0" w:color="000000"/>
              <w:bottom w:val="single" w:sz="12" w:space="0" w:color="0000FF"/>
              <w:end w:val="single" w:sz="12" w:space="0" w:color="0000FF"/>
            </w:tcBorders>
            <w:tcMar>
              <w:top w:w="0" w:type="dxa"/>
              <w:start w:w="0" w:type="dxa"/>
              <w:end w:w="0" w:type="dxa"/>
            </w:tcMar>
          </w:tcPr>
          <w:p>
            <w:pPr>
              <w:pStyle w:val="Normal"/>
              <w:jc w:val="center"/>
              <w:rPr/>
            </w:pPr>
            <w:r>
              <w:rPr/>
              <w:t>500%</w:t>
            </w:r>
          </w:p>
        </w:tc>
      </w:tr>
    </w:tbl>
    <w:p>
      <w:pPr>
        <w:pStyle w:val="Footer"/>
        <w:tabs>
          <w:tab w:val="clear" w:pos="4320"/>
          <w:tab w:val="clear" w:pos="8640"/>
        </w:tabs>
        <w:rPr>
          <w:sz w:val="16"/>
        </w:rPr>
      </w:pPr>
      <w:r>
        <w:rPr>
          <w:sz w:val="16"/>
        </w:rPr>
      </w:r>
    </w:p>
    <w:p>
      <w:pPr>
        <w:pStyle w:val="Footer"/>
        <w:tabs>
          <w:tab w:val="clear" w:pos="4320"/>
          <w:tab w:val="clear" w:pos="8640"/>
        </w:tabs>
        <w:ind w:start="540" w:end="0"/>
        <w:rPr/>
      </w:pPr>
      <w:r>
        <w:rPr/>
        <w:t xml:space="preserve">Prices have moderated in January, since the implementation of a new program that will allow generators that don’t purchase offsets on the market to pay a maximum of $7.50, starting June 2001.  The money will fund investments to reduce emissions reductions from other non-stationary sources.  </w:t>
      </w:r>
    </w:p>
    <w:p>
      <w:pPr>
        <w:pStyle w:val="Footer"/>
        <w:tabs>
          <w:tab w:val="clear" w:pos="4320"/>
          <w:tab w:val="clear" w:pos="8640"/>
        </w:tabs>
        <w:ind w:start="540" w:end="0"/>
        <w:rPr>
          <w:sz w:val="16"/>
        </w:rPr>
      </w:pPr>
      <w:r>
        <w:rPr>
          <w:sz w:val="16"/>
        </w:rPr>
      </w:r>
    </w:p>
    <w:p>
      <w:pPr>
        <w:pStyle w:val="Footer"/>
        <w:tabs>
          <w:tab w:val="clear" w:pos="4320"/>
          <w:tab w:val="clear" w:pos="8640"/>
        </w:tabs>
        <w:ind w:start="540" w:end="0"/>
        <w:rPr/>
      </w:pPr>
      <w:r>
        <w:rPr/>
        <w:t>DMA stated that, if large amounts of NOx equipment are installed, the RTC price could fall below $7, a level more consistent with historic prices.</w:t>
      </w:r>
    </w:p>
    <w:p>
      <w:pPr>
        <w:pStyle w:val="Footer"/>
        <w:tabs>
          <w:tab w:val="clear" w:pos="4320"/>
          <w:tab w:val="clear" w:pos="8640"/>
        </w:tabs>
        <w:rPr>
          <w:sz w:val="16"/>
        </w:rPr>
      </w:pPr>
      <w:r>
        <w:rPr>
          <w:sz w:val="16"/>
        </w:rPr>
      </w:r>
    </w:p>
    <w:p>
      <w:pPr>
        <w:pStyle w:val="Footer"/>
        <w:numPr>
          <w:ilvl w:val="0"/>
          <w:numId w:val="3"/>
        </w:numPr>
        <w:tabs>
          <w:tab w:val="clear" w:pos="4320"/>
          <w:tab w:val="clear" w:pos="8640"/>
          <w:tab w:val="left" w:pos="540" w:leader="none"/>
        </w:tabs>
        <w:ind w:hanging="360" w:start="540" w:end="0"/>
        <w:rPr>
          <w:i/>
          <w:i/>
          <w:iCs/>
        </w:rPr>
      </w:pPr>
      <w:r>
        <w:rPr>
          <w:rFonts w:cs="BookmanITC Lt BT" w:ascii="BookmanITC Lt BT" w:hAnsi="BookmanITC Lt BT"/>
          <w:b/>
          <w:bCs/>
          <w:u w:val="single"/>
        </w:rPr>
        <w:t>Natural gas prices:</w:t>
      </w:r>
      <w:r>
        <w:rPr/>
        <w:t xml:space="preserve">  Southern California burnertip, $/MMBtu </w:t>
      </w:r>
      <w:r>
        <w:rPr>
          <w:i/>
          <w:iCs/>
        </w:rPr>
        <w:t>(estimated visually from charts)</w:t>
      </w:r>
    </w:p>
    <w:p>
      <w:pPr>
        <w:pStyle w:val="Footer"/>
        <w:tabs>
          <w:tab w:val="clear" w:pos="4320"/>
          <w:tab w:val="clear" w:pos="8640"/>
        </w:tabs>
        <w:rPr>
          <w:i/>
          <w:i/>
          <w:iCs/>
          <w:sz w:val="8"/>
        </w:rPr>
      </w:pPr>
      <w:r>
        <w:rPr>
          <w:i/>
          <w:iCs/>
          <w:sz w:val="8"/>
        </w:rPr>
      </w:r>
    </w:p>
    <w:tbl>
      <w:tblPr>
        <w:tblW w:w="6738" w:type="dxa"/>
        <w:jc w:val="start"/>
        <w:tblInd w:w="1104" w:type="dxa"/>
        <w:tblLayout w:type="fixed"/>
        <w:tblCellMar>
          <w:top w:w="12" w:type="dxa"/>
          <w:start w:w="12" w:type="dxa"/>
          <w:bottom w:w="0" w:type="dxa"/>
          <w:end w:w="12" w:type="dxa"/>
        </w:tblCellMar>
      </w:tblPr>
      <w:tblGrid>
        <w:gridCol w:w="1831"/>
        <w:gridCol w:w="2477"/>
        <w:gridCol w:w="2430"/>
      </w:tblGrid>
      <w:tr>
        <w:trPr>
          <w:trHeight w:val="297" w:hRule="atLeast"/>
        </w:trPr>
        <w:tc>
          <w:tcPr>
            <w:tcW w:w="1831" w:type="dxa"/>
            <w:tcBorders>
              <w:top w:val="single" w:sz="12" w:space="0" w:color="0000FF"/>
              <w:start w:val="single" w:sz="12" w:space="0" w:color="0000FF"/>
              <w:bottom w:val="single" w:sz="12" w:space="0" w:color="000000"/>
              <w:end w:val="single" w:sz="12" w:space="0" w:color="000000"/>
            </w:tcBorders>
            <w:shd w:fill="E0E0E0" w:val="clear"/>
            <w:vAlign w:val="bottom"/>
          </w:tcPr>
          <w:p>
            <w:pPr>
              <w:pStyle w:val="Heading7"/>
              <w:ind w:hanging="0" w:start="0"/>
              <w:rPr>
                <w:rFonts w:ascii="Lucida Sans" w:hAnsi="Lucida Sans" w:cs="Arial"/>
              </w:rPr>
            </w:pPr>
            <w:r>
              <w:rPr>
                <w:rFonts w:cs="Arial" w:ascii="Lucida Sans" w:hAnsi="Lucida Sans"/>
              </w:rPr>
              <w:t>Month</w:t>
            </w:r>
          </w:p>
        </w:tc>
        <w:tc>
          <w:tcPr>
            <w:tcW w:w="2477" w:type="dxa"/>
            <w:tcBorders>
              <w:top w:val="single" w:sz="12" w:space="0" w:color="0000FF"/>
              <w:start w:val="single" w:sz="4" w:space="0" w:color="000000"/>
              <w:bottom w:val="single" w:sz="12" w:space="0" w:color="000000"/>
              <w:end w:val="single" w:sz="4" w:space="0" w:color="000000"/>
            </w:tcBorders>
            <w:shd w:fill="E0E0E0" w:val="clear"/>
            <w:vAlign w:val="bottom"/>
          </w:tcPr>
          <w:p>
            <w:pPr>
              <w:pStyle w:val="Footer"/>
              <w:tabs>
                <w:tab w:val="clear" w:pos="4320"/>
                <w:tab w:val="clear" w:pos="8640"/>
              </w:tabs>
              <w:jc w:val="center"/>
              <w:rPr/>
            </w:pPr>
            <w:r>
              <w:rPr>
                <w:rFonts w:cs="Arial" w:ascii="Lucida Sans" w:hAnsi="Lucida Sans"/>
                <w:b/>
                <w:bCs/>
              </w:rPr>
              <w:t xml:space="preserve">High price </w:t>
            </w:r>
            <w:r>
              <w:rPr>
                <w:i/>
                <w:iCs/>
              </w:rPr>
              <w:t>($/MMBtu)</w:t>
            </w:r>
          </w:p>
        </w:tc>
        <w:tc>
          <w:tcPr>
            <w:tcW w:w="2430" w:type="dxa"/>
            <w:tcBorders>
              <w:top w:val="single" w:sz="12" w:space="0" w:color="0000FF"/>
              <w:start w:val="single" w:sz="4" w:space="0" w:color="000000"/>
              <w:bottom w:val="single" w:sz="12" w:space="0" w:color="000000"/>
              <w:end w:val="single" w:sz="12" w:space="0" w:color="0000FF"/>
            </w:tcBorders>
            <w:shd w:fill="E0E0E0" w:val="clear"/>
            <w:tcMar>
              <w:top w:w="0" w:type="dxa"/>
              <w:start w:w="0" w:type="dxa"/>
              <w:end w:w="0" w:type="dxa"/>
            </w:tcMar>
          </w:tcPr>
          <w:p>
            <w:pPr>
              <w:pStyle w:val="Footer"/>
              <w:tabs>
                <w:tab w:val="clear" w:pos="4320"/>
                <w:tab w:val="clear" w:pos="8640"/>
              </w:tabs>
              <w:jc w:val="center"/>
              <w:rPr>
                <w:rFonts w:ascii="Lucida Sans" w:hAnsi="Lucida Sans" w:cs="Arial"/>
                <w:b/>
                <w:bCs/>
              </w:rPr>
            </w:pPr>
            <w:r>
              <w:rPr>
                <w:rFonts w:cs="Arial" w:ascii="Lucida Sans" w:hAnsi="Lucida Sans"/>
                <w:b/>
                <w:bCs/>
              </w:rPr>
              <w:t xml:space="preserve">Low price </w:t>
            </w:r>
            <w:r>
              <w:rPr>
                <w:i/>
                <w:iCs/>
              </w:rPr>
              <w:t>($/MMBtu)</w:t>
            </w:r>
          </w:p>
        </w:tc>
      </w:tr>
      <w:tr>
        <w:trPr>
          <w:trHeight w:val="297" w:hRule="atLeast"/>
        </w:trPr>
        <w:tc>
          <w:tcPr>
            <w:tcW w:w="1831" w:type="dxa"/>
            <w:tcBorders>
              <w:top w:val="single" w:sz="12" w:space="0" w:color="000000"/>
              <w:start w:val="single" w:sz="12" w:space="0" w:color="0000FF"/>
              <w:bottom w:val="single" w:sz="4" w:space="0" w:color="000000"/>
              <w:end w:val="single" w:sz="12" w:space="0" w:color="000000"/>
            </w:tcBorders>
            <w:shd w:fill="E0E0E0" w:val="clear"/>
            <w:vAlign w:val="bottom"/>
          </w:tcPr>
          <w:p>
            <w:pPr>
              <w:pStyle w:val="Heading7"/>
              <w:ind w:hanging="0" w:start="0"/>
              <w:rPr>
                <w:rFonts w:ascii="Technical" w:hAnsi="Technical" w:cs="Technical"/>
              </w:rPr>
            </w:pPr>
            <w:r>
              <w:rPr>
                <w:rFonts w:cs="Technical" w:ascii="Technical" w:hAnsi="Technical"/>
              </w:rPr>
              <w:t>January 2001</w:t>
            </w:r>
          </w:p>
        </w:tc>
        <w:tc>
          <w:tcPr>
            <w:tcW w:w="2477" w:type="dxa"/>
            <w:tcBorders>
              <w:top w:val="single" w:sz="12" w:space="0" w:color="000000"/>
              <w:start w:val="single" w:sz="4" w:space="0" w:color="000000"/>
              <w:bottom w:val="single" w:sz="4" w:space="0" w:color="000000"/>
              <w:end w:val="single" w:sz="4" w:space="0" w:color="000000"/>
            </w:tcBorders>
          </w:tcPr>
          <w:p>
            <w:pPr>
              <w:pStyle w:val="Normal"/>
              <w:jc w:val="center"/>
              <w:rPr/>
            </w:pPr>
            <w:r>
              <w:rPr/>
              <w:t>$18</w:t>
            </w:r>
          </w:p>
        </w:tc>
        <w:tc>
          <w:tcPr>
            <w:tcW w:w="2430" w:type="dxa"/>
            <w:tcBorders>
              <w:top w:val="single" w:sz="12" w:space="0" w:color="000000"/>
              <w:start w:val="single" w:sz="4" w:space="0" w:color="000000"/>
              <w:bottom w:val="single" w:sz="4" w:space="0" w:color="000000"/>
              <w:end w:val="single" w:sz="12" w:space="0" w:color="0000FF"/>
            </w:tcBorders>
            <w:tcMar>
              <w:top w:w="0" w:type="dxa"/>
              <w:start w:w="0" w:type="dxa"/>
              <w:end w:w="0" w:type="dxa"/>
            </w:tcMar>
          </w:tcPr>
          <w:p>
            <w:pPr>
              <w:pStyle w:val="Normal"/>
              <w:jc w:val="center"/>
              <w:rPr/>
            </w:pPr>
            <w:r>
              <w:rPr/>
              <w:t>$10</w:t>
            </w:r>
          </w:p>
        </w:tc>
      </w:tr>
      <w:tr>
        <w:trPr>
          <w:trHeight w:val="297" w:hRule="atLeast"/>
        </w:trPr>
        <w:tc>
          <w:tcPr>
            <w:tcW w:w="1831" w:type="dxa"/>
            <w:tcBorders>
              <w:top w:val="single" w:sz="4" w:space="0" w:color="000000"/>
              <w:start w:val="single" w:sz="12" w:space="0" w:color="0000FF"/>
              <w:bottom w:val="single" w:sz="4" w:space="0" w:color="000000"/>
              <w:end w:val="single" w:sz="12" w:space="0" w:color="000000"/>
            </w:tcBorders>
            <w:shd w:fill="E0E0E0" w:val="clear"/>
            <w:vAlign w:val="bottom"/>
          </w:tcPr>
          <w:p>
            <w:pPr>
              <w:pStyle w:val="Heading7"/>
              <w:ind w:hanging="0" w:start="0"/>
              <w:rPr>
                <w:rFonts w:ascii="Technical" w:hAnsi="Technical" w:cs="Technical"/>
              </w:rPr>
            </w:pPr>
            <w:r>
              <w:rPr>
                <w:rFonts w:cs="Technical" w:ascii="Technical" w:hAnsi="Technical"/>
              </w:rPr>
              <w:t>December 2000</w:t>
            </w:r>
          </w:p>
        </w:tc>
        <w:tc>
          <w:tcPr>
            <w:tcW w:w="2477" w:type="dxa"/>
            <w:tcBorders>
              <w:top w:val="single" w:sz="4" w:space="0" w:color="000000"/>
              <w:start w:val="single" w:sz="4" w:space="0" w:color="000000"/>
              <w:bottom w:val="single" w:sz="4" w:space="0" w:color="000000"/>
              <w:end w:val="single" w:sz="4" w:space="0" w:color="000000"/>
            </w:tcBorders>
          </w:tcPr>
          <w:p>
            <w:pPr>
              <w:pStyle w:val="Normal"/>
              <w:jc w:val="center"/>
              <w:rPr/>
            </w:pPr>
            <w:r>
              <w:rPr/>
              <w:t>$60</w:t>
            </w:r>
          </w:p>
        </w:tc>
        <w:tc>
          <w:tcPr>
            <w:tcW w:w="2430" w:type="dxa"/>
            <w:tcBorders>
              <w:top w:val="single" w:sz="4" w:space="0" w:color="000000"/>
              <w:start w:val="single" w:sz="4" w:space="0" w:color="000000"/>
              <w:bottom w:val="single" w:sz="4" w:space="0" w:color="000000"/>
              <w:end w:val="single" w:sz="12" w:space="0" w:color="0000FF"/>
            </w:tcBorders>
            <w:tcMar>
              <w:top w:w="0" w:type="dxa"/>
              <w:start w:w="0" w:type="dxa"/>
              <w:end w:w="0" w:type="dxa"/>
            </w:tcMar>
          </w:tcPr>
          <w:p>
            <w:pPr>
              <w:pStyle w:val="Normal"/>
              <w:jc w:val="center"/>
              <w:rPr/>
            </w:pPr>
            <w:r>
              <w:rPr/>
              <w:t>$11</w:t>
            </w:r>
          </w:p>
        </w:tc>
      </w:tr>
      <w:tr>
        <w:trPr>
          <w:trHeight w:val="297" w:hRule="atLeast"/>
        </w:trPr>
        <w:tc>
          <w:tcPr>
            <w:tcW w:w="1831" w:type="dxa"/>
            <w:tcBorders>
              <w:top w:val="single" w:sz="4" w:space="0" w:color="000000"/>
              <w:start w:val="single" w:sz="12" w:space="0" w:color="0000FF"/>
              <w:bottom w:val="single" w:sz="12" w:space="0" w:color="0000FF"/>
              <w:end w:val="single" w:sz="12" w:space="0" w:color="000000"/>
            </w:tcBorders>
            <w:shd w:fill="E0E0E0" w:val="clear"/>
            <w:vAlign w:val="bottom"/>
          </w:tcPr>
          <w:p>
            <w:pPr>
              <w:pStyle w:val="Normal"/>
              <w:rPr>
                <w:rFonts w:ascii="Technical" w:hAnsi="Technical" w:cs="Technical"/>
                <w:b/>
                <w:bCs/>
              </w:rPr>
            </w:pPr>
            <w:r>
              <w:rPr>
                <w:rFonts w:cs="Technical" w:ascii="Technical" w:hAnsi="Technical"/>
                <w:b/>
                <w:bCs/>
              </w:rPr>
              <w:t>January 2000</w:t>
            </w:r>
          </w:p>
        </w:tc>
        <w:tc>
          <w:tcPr>
            <w:tcW w:w="2477" w:type="dxa"/>
            <w:tcBorders>
              <w:top w:val="single" w:sz="4" w:space="0" w:color="000000"/>
              <w:start w:val="single" w:sz="4" w:space="0" w:color="000000"/>
              <w:bottom w:val="single" w:sz="12" w:space="0" w:color="0000FF"/>
              <w:end w:val="single" w:sz="4" w:space="0" w:color="000000"/>
            </w:tcBorders>
          </w:tcPr>
          <w:p>
            <w:pPr>
              <w:pStyle w:val="Normal"/>
              <w:jc w:val="center"/>
              <w:rPr/>
            </w:pPr>
            <w:r>
              <w:rPr/>
              <w:t>$3</w:t>
            </w:r>
          </w:p>
        </w:tc>
        <w:tc>
          <w:tcPr>
            <w:tcW w:w="2430" w:type="dxa"/>
            <w:tcBorders>
              <w:top w:val="single" w:sz="4" w:space="0" w:color="000000"/>
              <w:start w:val="single" w:sz="4" w:space="0" w:color="000000"/>
              <w:bottom w:val="single" w:sz="12" w:space="0" w:color="0000FF"/>
              <w:end w:val="single" w:sz="12" w:space="0" w:color="0000FF"/>
            </w:tcBorders>
            <w:tcMar>
              <w:top w:w="0" w:type="dxa"/>
              <w:start w:w="0" w:type="dxa"/>
              <w:end w:w="0" w:type="dxa"/>
            </w:tcMar>
          </w:tcPr>
          <w:p>
            <w:pPr>
              <w:pStyle w:val="Normal"/>
              <w:jc w:val="center"/>
              <w:rPr/>
            </w:pPr>
            <w:r>
              <w:rPr/>
              <w:t>$5</w:t>
            </w:r>
          </w:p>
        </w:tc>
      </w:tr>
    </w:tbl>
    <w:p>
      <w:pPr>
        <w:pStyle w:val="Footer"/>
        <w:tabs>
          <w:tab w:val="clear" w:pos="4320"/>
          <w:tab w:val="clear" w:pos="8640"/>
        </w:tabs>
        <w:rPr/>
      </w:pPr>
      <w:r>
        <w:rPr/>
      </w:r>
    </w:p>
    <w:p>
      <w:pPr>
        <w:pStyle w:val="Footer"/>
        <w:tabs>
          <w:tab w:val="clear" w:pos="4320"/>
          <w:tab w:val="clear" w:pos="8640"/>
        </w:tabs>
        <w:rPr/>
      </w:pPr>
      <w:r>
        <w:rPr/>
      </w:r>
    </w:p>
    <w:p>
      <w:pPr>
        <w:pStyle w:val="Footer"/>
        <w:tabs>
          <w:tab w:val="clear" w:pos="4320"/>
          <w:tab w:val="clear" w:pos="8640"/>
        </w:tabs>
        <w:rPr/>
      </w:pPr>
      <w:r>
        <w:rPr/>
      </w:r>
    </w:p>
    <w:p>
      <w:pPr>
        <w:pStyle w:val="Footer"/>
        <w:tabs>
          <w:tab w:val="clear" w:pos="4320"/>
          <w:tab w:val="clear" w:pos="8640"/>
        </w:tabs>
        <w:jc w:val="center"/>
        <w:rPr>
          <w:b/>
          <w:bCs/>
          <w:sz w:val="28"/>
        </w:rPr>
      </w:pPr>
      <w:r>
        <w:rPr>
          <w:b/>
          <w:bCs/>
          <w:sz w:val="28"/>
          <w:bdr w:val="single" w:sz="4" w:space="0" w:color="0000FF"/>
          <w:shd w:fill="E0E0E0" w:val="clear"/>
        </w:rPr>
        <w:t>MSC discussion about January market report</w:t>
      </w:r>
    </w:p>
    <w:p>
      <w:pPr>
        <w:pStyle w:val="Footer"/>
        <w:tabs>
          <w:tab w:val="clear" w:pos="4320"/>
          <w:tab w:val="clear" w:pos="8640"/>
        </w:tabs>
        <w:rPr>
          <w:b/>
          <w:bCs/>
          <w:sz w:val="28"/>
        </w:rPr>
      </w:pPr>
      <w:r>
        <w:rPr>
          <w:b/>
          <w:bCs/>
          <w:sz w:val="28"/>
        </w:rPr>
      </w:r>
    </w:p>
    <w:p>
      <w:pPr>
        <w:pStyle w:val="Footer"/>
        <w:tabs>
          <w:tab w:val="clear" w:pos="4320"/>
          <w:tab w:val="clear" w:pos="8640"/>
        </w:tabs>
        <w:rPr/>
      </w:pPr>
      <w:r>
        <w:rPr/>
        <w:t xml:space="preserve">The MSC discussion was characterized by confusion and uncertainty about how energy supplies are being purchased and accounted for in the market now.  Clearly, the MSC members were trying to sort out the various pieces and determine how they fit together, but it seems like even the experts are a little unsure. </w:t>
      </w:r>
    </w:p>
    <w:p>
      <w:pPr>
        <w:pStyle w:val="Footer"/>
        <w:tabs>
          <w:tab w:val="clear" w:pos="4320"/>
          <w:tab w:val="clear" w:pos="8640"/>
        </w:tabs>
        <w:rPr/>
      </w:pPr>
      <w:r>
        <w:rPr/>
      </w:r>
    </w:p>
    <w:p>
      <w:pPr>
        <w:pStyle w:val="Footer"/>
        <w:tabs>
          <w:tab w:val="clear" w:pos="4320"/>
          <w:tab w:val="clear" w:pos="8640"/>
        </w:tabs>
        <w:rPr>
          <w:rFonts w:ascii="Arial" w:hAnsi="Arial" w:cs="Arial"/>
          <w:b/>
          <w:bCs/>
          <w:u w:val="single"/>
        </w:rPr>
      </w:pPr>
      <w:r>
        <w:rPr>
          <w:rFonts w:cs="Arial" w:ascii="Arial" w:hAnsi="Arial"/>
          <w:b/>
          <w:bCs/>
          <w:u w:val="single"/>
        </w:rPr>
        <w:t>Gas prices</w:t>
      </w:r>
    </w:p>
    <w:p>
      <w:pPr>
        <w:pStyle w:val="Footer"/>
        <w:numPr>
          <w:ilvl w:val="0"/>
          <w:numId w:val="2"/>
        </w:numPr>
        <w:tabs>
          <w:tab w:val="clear" w:pos="4320"/>
          <w:tab w:val="clear" w:pos="8640"/>
        </w:tabs>
        <w:rPr>
          <w:i/>
          <w:i/>
          <w:iCs/>
        </w:rPr>
      </w:pPr>
      <w:r>
        <w:rPr>
          <w:rFonts w:cs="Lucida Sans" w:ascii="Lucida Sans" w:hAnsi="Lucida Sans"/>
          <w:b/>
          <w:bCs/>
          <w:u w:val="single"/>
        </w:rPr>
        <w:t>Mr. Nordhaus:</w:t>
      </w:r>
      <w:r>
        <w:rPr/>
        <w:t xml:space="preserve">  Was there a difference between gas prices in the various basins, say between Henry Hub and the San Juan Basin? </w:t>
      </w:r>
      <w:r>
        <w:rPr>
          <w:i/>
          <w:iCs/>
        </w:rPr>
        <w:t>(The latter supply comes to California via pipelines from the Southwest.)</w:t>
      </w:r>
    </w:p>
    <w:p>
      <w:pPr>
        <w:pStyle w:val="Footer"/>
        <w:tabs>
          <w:tab w:val="clear" w:pos="4320"/>
          <w:tab w:val="clear" w:pos="8640"/>
        </w:tabs>
        <w:rPr>
          <w:i/>
          <w:i/>
          <w:iCs/>
          <w:sz w:val="8"/>
        </w:rPr>
      </w:pPr>
      <w:r>
        <w:rPr>
          <w:i/>
          <w:iCs/>
          <w:sz w:val="8"/>
        </w:rPr>
      </w:r>
    </w:p>
    <w:p>
      <w:pPr>
        <w:pStyle w:val="Footer"/>
        <w:tabs>
          <w:tab w:val="clear" w:pos="4320"/>
          <w:tab w:val="clear" w:pos="8640"/>
        </w:tabs>
        <w:ind w:start="900" w:end="0"/>
        <w:rPr/>
      </w:pPr>
      <w:r>
        <w:rPr>
          <w:rFonts w:cs="Abadi MT Condensed Light" w:ascii="Abadi MT Condensed Light" w:hAnsi="Abadi MT Condensed Light"/>
          <w:b/>
          <w:bCs/>
          <w:i/>
          <w:iCs/>
          <w:u w:val="single"/>
        </w:rPr>
        <w:t>DMA:</w:t>
      </w:r>
      <w:r>
        <w:rPr>
          <w:rFonts w:cs="Abadi MT Condensed Light" w:ascii="Abadi MT Condensed Light" w:hAnsi="Abadi MT Condensed Light"/>
          <w:b/>
          <w:bCs/>
          <w:i/>
          <w:iCs/>
        </w:rPr>
        <w:t xml:space="preserve">  There was a huge disparity.  Prices in December spiked based on expectations of a cold front, and on planned maintenance (ultimately delayed) on El Paso (pipeline from the Southwest) related to the explosion (in New Mexico) last summer.  At one point, there was a difference of about $40/MMBtu.</w:t>
      </w:r>
    </w:p>
    <w:p>
      <w:pPr>
        <w:pStyle w:val="Footer"/>
        <w:tabs>
          <w:tab w:val="clear" w:pos="4320"/>
          <w:tab w:val="clear" w:pos="8640"/>
        </w:tabs>
        <w:rPr>
          <w:rFonts w:ascii="Abadi MT Condensed Light" w:hAnsi="Abadi MT Condensed Light" w:cs="Abadi MT Condensed Light"/>
          <w:b/>
          <w:bCs/>
          <w:i/>
          <w:i/>
          <w:iCs/>
          <w:sz w:val="16"/>
        </w:rPr>
      </w:pPr>
      <w:r>
        <w:rPr>
          <w:rFonts w:cs="Abadi MT Condensed Light" w:ascii="Abadi MT Condensed Light" w:hAnsi="Abadi MT Condensed Light"/>
          <w:b/>
          <w:bCs/>
          <w:i/>
          <w:iCs/>
          <w:sz w:val="16"/>
        </w:rPr>
      </w:r>
    </w:p>
    <w:p>
      <w:pPr>
        <w:pStyle w:val="Footer"/>
        <w:numPr>
          <w:ilvl w:val="0"/>
          <w:numId w:val="2"/>
        </w:numPr>
        <w:tabs>
          <w:tab w:val="clear" w:pos="4320"/>
          <w:tab w:val="clear" w:pos="8640"/>
        </w:tabs>
        <w:rPr/>
      </w:pPr>
      <w:r>
        <w:rPr>
          <w:rFonts w:cs="Lucida Sans" w:ascii="Lucida Sans" w:hAnsi="Lucida Sans"/>
          <w:b/>
          <w:bCs/>
          <w:u w:val="single"/>
        </w:rPr>
        <w:t>Dr. Wolak:</w:t>
      </w:r>
      <w:r>
        <w:rPr/>
        <w:t xml:space="preserve">  One of the ways people use the soft cap is to sell the cheap gas for a nice profit and then buy expensive gas to generate power.  That way, they can justify to FERC a high price for the electricity.</w:t>
      </w:r>
    </w:p>
    <w:p>
      <w:pPr>
        <w:pStyle w:val="Footer"/>
        <w:tabs>
          <w:tab w:val="clear" w:pos="4320"/>
          <w:tab w:val="clear" w:pos="8640"/>
        </w:tabs>
        <w:rPr>
          <w:sz w:val="8"/>
        </w:rPr>
      </w:pPr>
      <w:r>
        <w:rPr>
          <w:sz w:val="8"/>
        </w:rPr>
      </w:r>
    </w:p>
    <w:p>
      <w:pPr>
        <w:pStyle w:val="Footer"/>
        <w:tabs>
          <w:tab w:val="clear" w:pos="4320"/>
          <w:tab w:val="clear" w:pos="8640"/>
        </w:tabs>
        <w:ind w:start="900" w:end="0"/>
        <w:rPr/>
      </w:pPr>
      <w:r>
        <w:rPr>
          <w:rFonts w:cs="Abadi MT Condensed Light" w:ascii="Abadi MT Condensed Light" w:hAnsi="Abadi MT Condensed Light"/>
          <w:b/>
          <w:bCs/>
          <w:i/>
          <w:iCs/>
          <w:u w:val="single"/>
        </w:rPr>
        <w:t xml:space="preserve">DMA: </w:t>
      </w:r>
      <w:r>
        <w:rPr>
          <w:rFonts w:cs="Abadi MT Condensed Light" w:ascii="Abadi MT Condensed Light" w:hAnsi="Abadi MT Condensed Light"/>
          <w:b/>
          <w:bCs/>
          <w:i/>
          <w:iCs/>
        </w:rPr>
        <w:t xml:space="preserve"> We’ve noted to FERC in our Market Power Monitoring/Mitigation Proposal that we need to look at gas also because of its effect of on electricity markets.  Even though primary gas transportation is highly regulated, the transportation capacity resale market is not.  That’s what’s causing these huge spikes, and we’ve urged FERC to look into that.</w:t>
      </w:r>
    </w:p>
    <w:p>
      <w:pPr>
        <w:pStyle w:val="Footer"/>
        <w:tabs>
          <w:tab w:val="clear" w:pos="4320"/>
          <w:tab w:val="clear" w:pos="8640"/>
        </w:tabs>
        <w:rPr>
          <w:rFonts w:ascii="Abadi MT Condensed Light" w:hAnsi="Abadi MT Condensed Light" w:cs="Abadi MT Condensed Light"/>
          <w:b/>
          <w:bCs/>
          <w:i/>
          <w:i/>
          <w:iCs/>
          <w:sz w:val="16"/>
        </w:rPr>
      </w:pPr>
      <w:r>
        <w:rPr>
          <w:rFonts w:cs="Abadi MT Condensed Light" w:ascii="Abadi MT Condensed Light" w:hAnsi="Abadi MT Condensed Light"/>
          <w:b/>
          <w:bCs/>
          <w:i/>
          <w:iCs/>
          <w:sz w:val="16"/>
        </w:rPr>
      </w:r>
    </w:p>
    <w:p>
      <w:pPr>
        <w:pStyle w:val="Footer"/>
        <w:numPr>
          <w:ilvl w:val="0"/>
          <w:numId w:val="2"/>
        </w:numPr>
        <w:tabs>
          <w:tab w:val="clear" w:pos="4320"/>
          <w:tab w:val="clear" w:pos="8640"/>
        </w:tabs>
        <w:rPr/>
      </w:pPr>
      <w:r>
        <w:rPr>
          <w:rFonts w:cs="Lucida Sans" w:ascii="Lucida Sans" w:hAnsi="Lucida Sans"/>
          <w:b/>
          <w:bCs/>
          <w:u w:val="single"/>
        </w:rPr>
        <w:t>Mr. Nordhaus:</w:t>
      </w:r>
      <w:r>
        <w:rPr/>
        <w:t xml:space="preserve">  Also, Enron owns one pipeline (Transwestern)… </w:t>
      </w:r>
      <w:r>
        <w:rPr>
          <w:rFonts w:cs="Abadi MT Condensed Light" w:ascii="Abadi MT Condensed Light" w:hAnsi="Abadi MT Condensed Light"/>
          <w:b/>
          <w:bCs/>
          <w:i/>
          <w:iCs/>
          <w:color w:val="0000FF"/>
        </w:rPr>
        <w:t>[implication that there are shenanigans going on)]</w:t>
      </w:r>
      <w:r>
        <w:rPr/>
        <w:t>.</w:t>
      </w:r>
    </w:p>
    <w:p>
      <w:pPr>
        <w:pStyle w:val="Footer"/>
        <w:tabs>
          <w:tab w:val="clear" w:pos="4320"/>
          <w:tab w:val="clear" w:pos="8640"/>
        </w:tabs>
        <w:rPr>
          <w:sz w:val="16"/>
        </w:rPr>
      </w:pPr>
      <w:r>
        <w:rPr>
          <w:sz w:val="16"/>
        </w:rPr>
      </w:r>
    </w:p>
    <w:p>
      <w:pPr>
        <w:pStyle w:val="Footer"/>
        <w:tabs>
          <w:tab w:val="clear" w:pos="4320"/>
          <w:tab w:val="clear" w:pos="8640"/>
        </w:tabs>
        <w:rPr>
          <w:rFonts w:ascii="Arial" w:hAnsi="Arial" w:cs="Arial"/>
          <w:b/>
          <w:bCs/>
          <w:u w:val="single"/>
        </w:rPr>
      </w:pPr>
      <w:r>
        <w:rPr>
          <w:rFonts w:cs="Arial" w:ascii="Arial" w:hAnsi="Arial"/>
          <w:b/>
          <w:bCs/>
          <w:u w:val="single"/>
        </w:rPr>
        <w:t>ISO credit, market prices, and other Real-Time market issues</w:t>
      </w:r>
    </w:p>
    <w:p>
      <w:pPr>
        <w:pStyle w:val="Footer"/>
        <w:numPr>
          <w:ilvl w:val="0"/>
          <w:numId w:val="2"/>
        </w:numPr>
        <w:tabs>
          <w:tab w:val="clear" w:pos="4320"/>
          <w:tab w:val="clear" w:pos="8640"/>
        </w:tabs>
        <w:rPr/>
      </w:pPr>
      <w:r>
        <w:rPr>
          <w:rFonts w:cs="Lucida Sans" w:ascii="Lucida Sans" w:hAnsi="Lucida Sans"/>
          <w:b/>
          <w:bCs/>
          <w:u w:val="single"/>
        </w:rPr>
        <w:t>Mr. Nordhaus:</w:t>
      </w:r>
      <w:r>
        <w:rPr/>
        <w:t xml:space="preserve">  Are suppliers worrying about the ISO’s credit?</w:t>
      </w:r>
    </w:p>
    <w:p>
      <w:pPr>
        <w:pStyle w:val="Footer"/>
        <w:tabs>
          <w:tab w:val="clear" w:pos="4320"/>
          <w:tab w:val="clear" w:pos="8640"/>
        </w:tabs>
        <w:rPr>
          <w:sz w:val="8"/>
        </w:rPr>
      </w:pPr>
      <w:r>
        <w:rPr>
          <w:sz w:val="8"/>
        </w:rPr>
      </w:r>
    </w:p>
    <w:p>
      <w:pPr>
        <w:pStyle w:val="Footer"/>
        <w:tabs>
          <w:tab w:val="clear" w:pos="4320"/>
          <w:tab w:val="clear" w:pos="8640"/>
        </w:tabs>
        <w:ind w:start="900" w:end="0"/>
        <w:rPr/>
      </w:pPr>
      <w:r>
        <w:rPr>
          <w:rFonts w:cs="Abadi MT Condensed Light" w:ascii="Abadi MT Condensed Light" w:hAnsi="Abadi MT Condensed Light"/>
          <w:b/>
          <w:bCs/>
          <w:i/>
          <w:iCs/>
          <w:u w:val="single"/>
        </w:rPr>
        <w:t>DMA:</w:t>
      </w:r>
      <w:r>
        <w:rPr>
          <w:rFonts w:cs="Abadi MT Condensed Light" w:ascii="Abadi MT Condensed Light" w:hAnsi="Abadi MT Condensed Light"/>
          <w:b/>
          <w:bCs/>
          <w:i/>
          <w:iCs/>
        </w:rPr>
        <w:t xml:space="preserve">  It could be that the ISO’s credit is affecting prices.  Prices were down in late December, with a lot of bids coming in under the (then-$250) price cap, and January prices started relatively low but have escalated.  The proportion of bids above the (new $150) cap has increased significantly.  </w:t>
      </w:r>
    </w:p>
    <w:p>
      <w:pPr>
        <w:pStyle w:val="Footer"/>
        <w:tabs>
          <w:tab w:val="clear" w:pos="4320"/>
          <w:tab w:val="clear" w:pos="8640"/>
        </w:tabs>
        <w:rPr>
          <w:rFonts w:ascii="Abadi MT Condensed Light" w:hAnsi="Abadi MT Condensed Light" w:cs="Abadi MT Condensed Light"/>
          <w:b/>
          <w:bCs/>
          <w:i/>
          <w:i/>
          <w:iCs/>
          <w:sz w:val="16"/>
        </w:rPr>
      </w:pPr>
      <w:r>
        <w:rPr>
          <w:rFonts w:cs="Abadi MT Condensed Light" w:ascii="Abadi MT Condensed Light" w:hAnsi="Abadi MT Condensed Light"/>
          <w:b/>
          <w:bCs/>
          <w:i/>
          <w:iCs/>
          <w:sz w:val="16"/>
        </w:rPr>
      </w:r>
    </w:p>
    <w:p>
      <w:pPr>
        <w:pStyle w:val="Footer"/>
        <w:tabs>
          <w:tab w:val="clear" w:pos="4320"/>
          <w:tab w:val="clear" w:pos="8640"/>
        </w:tabs>
        <w:ind w:hanging="270" w:start="270" w:end="0"/>
        <w:rPr>
          <w:rFonts w:ascii="Arial" w:hAnsi="Arial" w:cs="Arial"/>
          <w:b/>
          <w:bCs/>
          <w:u w:val="single"/>
        </w:rPr>
      </w:pPr>
      <w:r>
        <w:rPr>
          <w:rFonts w:cs="Arial" w:ascii="Arial" w:hAnsi="Arial"/>
          <w:b/>
          <w:bCs/>
          <w:u w:val="single"/>
        </w:rPr>
        <w:t>California Department of Water Resources (CDWR) role</w:t>
      </w:r>
    </w:p>
    <w:p>
      <w:pPr>
        <w:pStyle w:val="Footer"/>
        <w:tabs>
          <w:tab w:val="clear" w:pos="4320"/>
          <w:tab w:val="clear" w:pos="8640"/>
        </w:tabs>
        <w:ind w:start="180" w:end="0"/>
        <w:rPr/>
      </w:pPr>
      <w:r>
        <w:rPr/>
        <w:t xml:space="preserve">There was a discussion about how the energy CDWR is buying is getting into the market, with DMA stating that CDWR is selling directly to the ISO.  I have it on good authority, though, that the energy was being sold to the major utilities through “inter-SC trades.”  </w:t>
      </w:r>
    </w:p>
    <w:p>
      <w:pPr>
        <w:pStyle w:val="Footer"/>
        <w:tabs>
          <w:tab w:val="clear" w:pos="4320"/>
          <w:tab w:val="clear" w:pos="8640"/>
        </w:tabs>
        <w:ind w:start="180" w:end="0"/>
        <w:rPr>
          <w:sz w:val="16"/>
        </w:rPr>
      </w:pPr>
      <w:r>
        <w:rPr>
          <w:sz w:val="16"/>
        </w:rPr>
      </w:r>
    </w:p>
    <w:p>
      <w:pPr>
        <w:pStyle w:val="Footer"/>
        <w:tabs>
          <w:tab w:val="clear" w:pos="4320"/>
          <w:tab w:val="clear" w:pos="8640"/>
        </w:tabs>
        <w:ind w:start="180" w:end="0"/>
        <w:rPr/>
      </w:pPr>
      <w:r>
        <w:rPr/>
        <w:t xml:space="preserve">However, the recent passage of AB-1X, making the CDWR an official power supplier to IOU end-use customers, might change that.  </w:t>
      </w:r>
    </w:p>
    <w:p>
      <w:pPr>
        <w:pStyle w:val="Footer"/>
        <w:tabs>
          <w:tab w:val="clear" w:pos="4320"/>
          <w:tab w:val="clear" w:pos="8640"/>
        </w:tabs>
        <w:ind w:start="180" w:end="0"/>
        <w:rPr>
          <w:sz w:val="16"/>
        </w:rPr>
      </w:pPr>
      <w:r>
        <w:rPr>
          <w:sz w:val="16"/>
        </w:rPr>
      </w:r>
    </w:p>
    <w:p>
      <w:pPr>
        <w:pStyle w:val="Footer"/>
        <w:tabs>
          <w:tab w:val="clear" w:pos="4320"/>
          <w:tab w:val="clear" w:pos="8640"/>
        </w:tabs>
        <w:ind w:start="180" w:end="0"/>
        <w:rPr/>
      </w:pPr>
      <w:r>
        <w:rPr/>
        <w:t xml:space="preserve">(The </w:t>
      </w:r>
      <w:r>
        <w:rPr>
          <w:u w:val="single"/>
        </w:rPr>
        <w:t>press release</w:t>
      </w:r>
      <w:r>
        <w:rPr/>
        <w:t xml:space="preserve"> summarizing AB-1X is on the California Governor’s Web site at </w:t>
      </w:r>
      <w:hyperlink r:id="rId7">
        <w:r>
          <w:rPr>
            <w:rStyle w:val="Hyperlink"/>
          </w:rPr>
          <w:t>http://www.governor.ca.gov/state/govsite/gov_htmldisplay.jsp?BV_SessionID=@@@@1324527106.0981417796@@@@&amp;BV_EngineID=dalkddfjmgdbemfcfkmchcng.0&amp;sCatTitle=Press+Release&amp;sFilePath=/govsite/press_release/2001_02/20010201_L01004_AB1X.html&amp;sTitle=GOVERNOR+DAVIS+SIGNS+BILL+TO+ALLOW+LONG-TERM+ENERGY+CONTRACTS+AND+ENCOURAGE+CONSERVATION+&amp;iOID=13230</w:t>
        </w:r>
      </w:hyperlink>
      <w:r>
        <w:rPr/>
        <w:t xml:space="preserve">.  The </w:t>
      </w:r>
      <w:r>
        <w:rPr>
          <w:u w:val="single"/>
        </w:rPr>
        <w:t>full bill</w:t>
      </w:r>
      <w:r>
        <w:rPr/>
        <w:t xml:space="preserve"> can be found at </w:t>
      </w:r>
      <w:hyperlink r:id="rId8">
        <w:r>
          <w:rPr>
            <w:rStyle w:val="Hyperlink"/>
          </w:rPr>
          <w:t>http://www.leginfo.ca.gov/pub/bill/asm/ab_0001-0050/abx1_1_bill_20010201_chaptered.pdf</w:t>
        </w:r>
      </w:hyperlink>
      <w:r>
        <w:rPr/>
        <w:t>, on the State Legislature’s Web site.)</w:t>
      </w:r>
    </w:p>
    <w:p>
      <w:pPr>
        <w:pStyle w:val="Footer"/>
        <w:tabs>
          <w:tab w:val="clear" w:pos="4320"/>
          <w:tab w:val="clear" w:pos="8640"/>
        </w:tabs>
        <w:rPr>
          <w:sz w:val="16"/>
        </w:rPr>
      </w:pPr>
      <w:r>
        <w:rPr>
          <w:sz w:val="16"/>
        </w:rPr>
      </w:r>
    </w:p>
    <w:p>
      <w:pPr>
        <w:pStyle w:val="Footer"/>
        <w:tabs>
          <w:tab w:val="clear" w:pos="4320"/>
          <w:tab w:val="clear" w:pos="8640"/>
        </w:tabs>
        <w:rPr>
          <w:sz w:val="16"/>
        </w:rPr>
      </w:pPr>
      <w:r>
        <w:rPr>
          <w:sz w:val="16"/>
        </w:rPr>
      </w:r>
    </w:p>
    <w:p>
      <w:pPr>
        <w:pStyle w:val="Footer"/>
        <w:tabs>
          <w:tab w:val="clear" w:pos="4320"/>
          <w:tab w:val="clear" w:pos="8640"/>
        </w:tabs>
        <w:rPr>
          <w:rFonts w:ascii="Arial" w:hAnsi="Arial" w:cs="Arial"/>
          <w:b/>
          <w:bCs/>
          <w:u w:val="single"/>
        </w:rPr>
      </w:pPr>
      <w:r>
        <w:rPr>
          <w:rFonts w:cs="Arial" w:ascii="Arial" w:hAnsi="Arial"/>
          <w:b/>
          <w:bCs/>
          <w:u w:val="single"/>
        </w:rPr>
        <w:t>Out-of-Market (OOM) purchases</w:t>
      </w:r>
    </w:p>
    <w:p>
      <w:pPr>
        <w:pStyle w:val="Footer"/>
        <w:numPr>
          <w:ilvl w:val="0"/>
          <w:numId w:val="2"/>
        </w:numPr>
        <w:tabs>
          <w:tab w:val="clear" w:pos="4320"/>
          <w:tab w:val="clear" w:pos="8640"/>
        </w:tabs>
        <w:rPr/>
      </w:pPr>
      <w:r>
        <w:rPr>
          <w:rFonts w:cs="Lucida Sans" w:ascii="Lucida Sans" w:hAnsi="Lucida Sans"/>
          <w:b/>
          <w:bCs/>
          <w:u w:val="single"/>
        </w:rPr>
        <w:t>Mr. Nordhaus:</w:t>
      </w:r>
      <w:r>
        <w:rPr/>
        <w:t xml:space="preserve">  Why are you still having to make OOM calls with the soft cap, and why have they increased?</w:t>
      </w:r>
    </w:p>
    <w:p>
      <w:pPr>
        <w:pStyle w:val="Footer"/>
        <w:tabs>
          <w:tab w:val="clear" w:pos="4320"/>
          <w:tab w:val="clear" w:pos="8640"/>
        </w:tabs>
        <w:rPr>
          <w:sz w:val="8"/>
        </w:rPr>
      </w:pPr>
      <w:r>
        <w:rPr>
          <w:sz w:val="8"/>
        </w:rPr>
      </w:r>
    </w:p>
    <w:p>
      <w:pPr>
        <w:pStyle w:val="Footer"/>
        <w:tabs>
          <w:tab w:val="clear" w:pos="4320"/>
          <w:tab w:val="clear" w:pos="8640"/>
        </w:tabs>
        <w:ind w:start="900" w:end="0"/>
        <w:rPr/>
      </w:pPr>
      <w:r>
        <w:rPr>
          <w:rFonts w:cs="Abadi MT Condensed Light" w:ascii="Abadi MT Condensed Light" w:hAnsi="Abadi MT Condensed Light"/>
          <w:b/>
          <w:bCs/>
          <w:i/>
          <w:iCs/>
          <w:u w:val="single"/>
        </w:rPr>
        <w:t>DMA:</w:t>
      </w:r>
      <w:r>
        <w:rPr>
          <w:rFonts w:cs="Abadi MT Condensed Light" w:ascii="Abadi MT Condensed Light" w:hAnsi="Abadi MT Condensed Light"/>
          <w:b/>
          <w:bCs/>
          <w:i/>
          <w:iCs/>
        </w:rPr>
        <w:t xml:space="preserve">  We’re not sure – they may be out-of-state imports arranged through CDWR purchases.</w:t>
      </w:r>
    </w:p>
    <w:p>
      <w:pPr>
        <w:pStyle w:val="Footer"/>
        <w:tabs>
          <w:tab w:val="clear" w:pos="4320"/>
          <w:tab w:val="clear" w:pos="8640"/>
        </w:tabs>
        <w:rPr>
          <w:rFonts w:ascii="Abadi MT Condensed Light" w:hAnsi="Abadi MT Condensed Light" w:cs="Abadi MT Condensed Light"/>
          <w:b/>
          <w:bCs/>
          <w:i/>
          <w:i/>
          <w:iCs/>
          <w:sz w:val="16"/>
        </w:rPr>
      </w:pPr>
      <w:r>
        <w:rPr>
          <w:rFonts w:cs="Abadi MT Condensed Light" w:ascii="Abadi MT Condensed Light" w:hAnsi="Abadi MT Condensed Light"/>
          <w:b/>
          <w:bCs/>
          <w:i/>
          <w:iCs/>
          <w:sz w:val="16"/>
        </w:rPr>
      </w:r>
    </w:p>
    <w:p>
      <w:pPr>
        <w:pStyle w:val="Footer"/>
        <w:numPr>
          <w:ilvl w:val="0"/>
          <w:numId w:val="2"/>
        </w:numPr>
        <w:tabs>
          <w:tab w:val="clear" w:pos="4320"/>
          <w:tab w:val="clear" w:pos="8640"/>
        </w:tabs>
        <w:rPr/>
      </w:pPr>
      <w:r>
        <w:rPr>
          <w:rFonts w:cs="Lucida Sans" w:ascii="Lucida Sans" w:hAnsi="Lucida Sans"/>
          <w:b/>
          <w:bCs/>
          <w:u w:val="single"/>
        </w:rPr>
        <w:t>Mr. Nordhaus:</w:t>
      </w:r>
      <w:r>
        <w:rPr/>
        <w:t xml:space="preserve">  Do you think it’s because suppliers are trying to avoid reporting requirements and refund exposure from above-$150 market bids?</w:t>
      </w:r>
    </w:p>
    <w:p>
      <w:pPr>
        <w:pStyle w:val="Footer"/>
        <w:tabs>
          <w:tab w:val="clear" w:pos="4320"/>
          <w:tab w:val="clear" w:pos="8640"/>
        </w:tabs>
        <w:rPr>
          <w:sz w:val="8"/>
        </w:rPr>
      </w:pPr>
      <w:r>
        <w:rPr>
          <w:sz w:val="8"/>
        </w:rPr>
      </w:r>
    </w:p>
    <w:p>
      <w:pPr>
        <w:pStyle w:val="Footer"/>
        <w:tabs>
          <w:tab w:val="clear" w:pos="4320"/>
          <w:tab w:val="clear" w:pos="8640"/>
        </w:tabs>
        <w:ind w:start="900" w:end="0"/>
        <w:rPr/>
      </w:pPr>
      <w:r>
        <w:rPr>
          <w:rFonts w:cs="Abadi MT Condensed Light" w:ascii="Abadi MT Condensed Light" w:hAnsi="Abadi MT Condensed Light"/>
          <w:b/>
          <w:bCs/>
          <w:i/>
          <w:iCs/>
          <w:u w:val="single"/>
        </w:rPr>
        <w:t>DMA:</w:t>
      </w:r>
      <w:r>
        <w:rPr>
          <w:rFonts w:cs="Abadi MT Condensed Light" w:ascii="Abadi MT Condensed Light" w:hAnsi="Abadi MT Condensed Light"/>
          <w:b/>
          <w:bCs/>
          <w:i/>
          <w:iCs/>
        </w:rPr>
        <w:t xml:space="preserve">  We believe that Amendment 33 (which established the $250 soft cap effective December 8</w:t>
      </w:r>
      <w:r>
        <w:rPr>
          <w:rFonts w:cs="Abadi MT Condensed Light" w:ascii="Abadi MT Condensed Light" w:hAnsi="Abadi MT Condensed Light"/>
          <w:b/>
          <w:bCs/>
          <w:i/>
          <w:iCs/>
          <w:vertAlign w:val="superscript"/>
        </w:rPr>
        <w:t>th</w:t>
      </w:r>
      <w:r>
        <w:rPr>
          <w:rFonts w:cs="Abadi MT Condensed Light" w:ascii="Abadi MT Condensed Light" w:hAnsi="Abadi MT Condensed Light"/>
          <w:b/>
          <w:bCs/>
          <w:i/>
          <w:iCs/>
        </w:rPr>
        <w:t>) and the FERC order (December 15</w:t>
      </w:r>
      <w:r>
        <w:rPr>
          <w:rFonts w:cs="Abadi MT Condensed Light" w:ascii="Abadi MT Condensed Light" w:hAnsi="Abadi MT Condensed Light"/>
          <w:b/>
          <w:bCs/>
          <w:i/>
          <w:iCs/>
          <w:vertAlign w:val="superscript"/>
        </w:rPr>
        <w:t>th</w:t>
      </w:r>
      <w:r>
        <w:rPr>
          <w:rFonts w:cs="Abadi MT Condensed Light" w:ascii="Abadi MT Condensed Light" w:hAnsi="Abadi MT Condensed Light"/>
          <w:b/>
          <w:bCs/>
          <w:i/>
          <w:iCs/>
        </w:rPr>
        <w:t xml:space="preserve"> order in EL00-95-0000) covers OOM as well as market bids.  We’ve asked for clarification from FERC</w:t>
      </w:r>
      <w:r>
        <w:rPr/>
        <w:t xml:space="preserve"> </w:t>
      </w:r>
      <w:r>
        <w:rPr>
          <w:i/>
          <w:iCs/>
        </w:rPr>
        <w:t xml:space="preserve">(see the </w:t>
      </w:r>
      <w:r>
        <w:rPr>
          <w:b/>
          <w:bCs/>
          <w:i/>
          <w:iCs/>
        </w:rPr>
        <w:t>January 18</w:t>
      </w:r>
      <w:r>
        <w:rPr>
          <w:b/>
          <w:bCs/>
          <w:i/>
          <w:iCs/>
          <w:vertAlign w:val="superscript"/>
        </w:rPr>
        <w:t>th</w:t>
      </w:r>
      <w:r>
        <w:rPr>
          <w:b/>
          <w:bCs/>
          <w:i/>
          <w:iCs/>
        </w:rPr>
        <w:t xml:space="preserve"> </w:t>
      </w:r>
      <w:r>
        <w:rPr>
          <w:b/>
          <w:bCs/>
          <w:i/>
          <w:iCs/>
          <w:color w:val="0000FF"/>
        </w:rPr>
        <w:t>ISO FERC Filings Event Report</w:t>
      </w:r>
      <w:r>
        <w:rPr>
          <w:i/>
          <w:iCs/>
        </w:rPr>
        <w:t>, p. 6)</w:t>
      </w:r>
      <w:r>
        <w:rPr/>
        <w:t xml:space="preserve">, </w:t>
      </w:r>
      <w:r>
        <w:rPr>
          <w:rFonts w:cs="Abadi MT Condensed Light" w:ascii="Abadi MT Condensed Light" w:hAnsi="Abadi MT Condensed Light"/>
          <w:b/>
          <w:bCs/>
          <w:i/>
          <w:iCs/>
        </w:rPr>
        <w:t>and we’ve noticed OOM providers that they have a reporting obligation.</w:t>
      </w:r>
    </w:p>
    <w:p>
      <w:pPr>
        <w:pStyle w:val="Footer"/>
        <w:tabs>
          <w:tab w:val="clear" w:pos="4320"/>
          <w:tab w:val="clear" w:pos="8640"/>
        </w:tabs>
        <w:rPr>
          <w:rFonts w:ascii="Abadi MT Condensed Light" w:hAnsi="Abadi MT Condensed Light" w:cs="Abadi MT Condensed Light"/>
          <w:b/>
          <w:bCs/>
          <w:i/>
          <w:i/>
          <w:iCs/>
          <w:sz w:val="16"/>
        </w:rPr>
      </w:pPr>
      <w:r>
        <w:rPr>
          <w:rFonts w:cs="Abadi MT Condensed Light" w:ascii="Abadi MT Condensed Light" w:hAnsi="Abadi MT Condensed Light"/>
          <w:b/>
          <w:bCs/>
          <w:i/>
          <w:iCs/>
          <w:sz w:val="16"/>
        </w:rPr>
      </w:r>
    </w:p>
    <w:p>
      <w:pPr>
        <w:pStyle w:val="Footer"/>
        <w:tabs>
          <w:tab w:val="clear" w:pos="4320"/>
          <w:tab w:val="clear" w:pos="8640"/>
          <w:tab w:val="left" w:pos="180" w:leader="none"/>
        </w:tabs>
        <w:ind w:hanging="180" w:start="180" w:end="0"/>
        <w:rPr/>
      </w:pPr>
      <w:r>
        <w:rPr>
          <w:rFonts w:cs="Arial" w:ascii="Arial" w:hAnsi="Arial"/>
          <w:b/>
          <w:bCs/>
          <w:u w:val="single"/>
        </w:rPr>
        <w:t>DOE Emergency Order (to expire on February 7</w:t>
      </w:r>
      <w:r>
        <w:rPr>
          <w:rFonts w:cs="Arial" w:ascii="Arial" w:hAnsi="Arial"/>
          <w:b/>
          <w:bCs/>
          <w:u w:val="single"/>
          <w:vertAlign w:val="superscript"/>
        </w:rPr>
        <w:t>th</w:t>
      </w:r>
      <w:r>
        <w:rPr>
          <w:rFonts w:cs="Arial" w:ascii="Arial" w:hAnsi="Arial"/>
          <w:b/>
          <w:bCs/>
          <w:u w:val="single"/>
        </w:rPr>
        <w:t>)</w:t>
      </w:r>
    </w:p>
    <w:p>
      <w:pPr>
        <w:pStyle w:val="Footer"/>
        <w:numPr>
          <w:ilvl w:val="0"/>
          <w:numId w:val="2"/>
        </w:numPr>
        <w:tabs>
          <w:tab w:val="clear" w:pos="4320"/>
          <w:tab w:val="clear" w:pos="8640"/>
        </w:tabs>
        <w:rPr/>
      </w:pPr>
      <w:r>
        <w:rPr>
          <w:rFonts w:cs="Lucida Sans" w:ascii="Lucida Sans" w:hAnsi="Lucida Sans"/>
          <w:b/>
          <w:bCs/>
          <w:u w:val="single"/>
        </w:rPr>
        <w:t>Mr. Nordhaus</w:t>
      </w:r>
      <w:r>
        <w:rPr>
          <w:rFonts w:cs="Lucida Sans" w:ascii="Lucida Sans" w:hAnsi="Lucida Sans"/>
          <w:b/>
          <w:bCs/>
        </w:rPr>
        <w:t>:</w:t>
      </w:r>
      <w:r>
        <w:rPr/>
        <w:t xml:space="preserve"> How much power is coming in under the DOE emergency order?</w:t>
      </w:r>
    </w:p>
    <w:p>
      <w:pPr>
        <w:pStyle w:val="Footer"/>
        <w:tabs>
          <w:tab w:val="clear" w:pos="4320"/>
          <w:tab w:val="clear" w:pos="8640"/>
        </w:tabs>
        <w:ind w:start="360" w:end="0"/>
        <w:rPr>
          <w:sz w:val="8"/>
        </w:rPr>
      </w:pPr>
      <w:r>
        <w:rPr>
          <w:sz w:val="8"/>
        </w:rPr>
      </w:r>
    </w:p>
    <w:p>
      <w:pPr>
        <w:pStyle w:val="Footer"/>
        <w:tabs>
          <w:tab w:val="clear" w:pos="4320"/>
          <w:tab w:val="clear" w:pos="8640"/>
        </w:tabs>
        <w:ind w:start="900" w:end="0"/>
        <w:rPr/>
      </w:pPr>
      <w:r>
        <w:rPr>
          <w:rFonts w:cs="Abadi MT Condensed Light" w:ascii="Abadi MT Condensed Light" w:hAnsi="Abadi MT Condensed Light"/>
          <w:b/>
          <w:bCs/>
          <w:i/>
          <w:iCs/>
          <w:u w:val="single"/>
        </w:rPr>
        <w:t>DMA:</w:t>
      </w:r>
      <w:r>
        <w:rPr>
          <w:rFonts w:cs="Abadi MT Condensed Light" w:ascii="Abadi MT Condensed Light" w:hAnsi="Abadi MT Condensed Light"/>
          <w:b/>
          <w:bCs/>
          <w:i/>
          <w:iCs/>
        </w:rPr>
        <w:t xml:space="preserve">  We’re not sure – maybe 1,500 MW.  </w:t>
      </w:r>
      <w:r>
        <w:rPr>
          <w:rFonts w:cs="Abadi MT Condensed Light" w:ascii="Abadi MT Condensed Light" w:hAnsi="Abadi MT Condensed Light"/>
          <w:b/>
          <w:bCs/>
          <w:i/>
          <w:iCs/>
          <w:color w:val="0000FF"/>
        </w:rPr>
        <w:t>[</w:t>
      </w:r>
      <w:r>
        <w:rPr>
          <w:rFonts w:cs="Abadi MT Condensed Light" w:ascii="Abadi MT Condensed Light" w:hAnsi="Abadi MT Condensed Light"/>
          <w:b/>
          <w:bCs/>
          <w:i/>
          <w:iCs/>
          <w:color w:val="0000FF"/>
          <w:u w:val="single"/>
        </w:rPr>
        <w:t>Consultant note</w:t>
      </w:r>
      <w:r>
        <w:rPr>
          <w:rFonts w:cs="Abadi MT Condensed Light" w:ascii="Abadi MT Condensed Light" w:hAnsi="Abadi MT Condensed Light"/>
          <w:b/>
          <w:bCs/>
          <w:i/>
          <w:iCs/>
          <w:color w:val="0000FF"/>
        </w:rPr>
        <w:t>:  The daily reports issued by the ISO indicate that the number has ranged from 200 MW to over 3,000 MW.]</w:t>
      </w:r>
    </w:p>
    <w:p>
      <w:pPr>
        <w:pStyle w:val="Footer"/>
        <w:tabs>
          <w:tab w:val="clear" w:pos="4320"/>
          <w:tab w:val="clear" w:pos="8640"/>
        </w:tabs>
        <w:rPr>
          <w:rFonts w:ascii="Abadi MT Condensed Light" w:hAnsi="Abadi MT Condensed Light" w:cs="Abadi MT Condensed Light"/>
          <w:b/>
          <w:bCs/>
          <w:i/>
          <w:i/>
          <w:iCs/>
          <w:color w:val="0000FF"/>
          <w:sz w:val="16"/>
        </w:rPr>
      </w:pPr>
      <w:r>
        <w:rPr>
          <w:rFonts w:cs="Abadi MT Condensed Light" w:ascii="Abadi MT Condensed Light" w:hAnsi="Abadi MT Condensed Light"/>
          <w:b/>
          <w:bCs/>
          <w:i/>
          <w:iCs/>
          <w:color w:val="0000FF"/>
          <w:sz w:val="16"/>
        </w:rPr>
      </w:r>
    </w:p>
    <w:p>
      <w:pPr>
        <w:pStyle w:val="Footer"/>
        <w:numPr>
          <w:ilvl w:val="0"/>
          <w:numId w:val="2"/>
        </w:numPr>
        <w:tabs>
          <w:tab w:val="clear" w:pos="4320"/>
          <w:tab w:val="clear" w:pos="8640"/>
        </w:tabs>
        <w:rPr/>
      </w:pPr>
      <w:r>
        <w:rPr>
          <w:rFonts w:cs="Lucida Sans" w:ascii="Lucida Sans" w:hAnsi="Lucida Sans"/>
          <w:b/>
          <w:bCs/>
          <w:u w:val="single"/>
        </w:rPr>
        <w:t>Mr. Nordhaus:</w:t>
      </w:r>
      <w:r>
        <w:rPr/>
        <w:t xml:space="preserve">  How is that power priced?  Is there a bargain?  Is it “as-bid?”  Do they strike a deal?</w:t>
      </w:r>
    </w:p>
    <w:p>
      <w:pPr>
        <w:pStyle w:val="Footer"/>
        <w:tabs>
          <w:tab w:val="clear" w:pos="4320"/>
          <w:tab w:val="clear" w:pos="8640"/>
        </w:tabs>
        <w:ind w:start="360" w:end="0"/>
        <w:rPr>
          <w:sz w:val="8"/>
        </w:rPr>
      </w:pPr>
      <w:r>
        <w:rPr>
          <w:sz w:val="8"/>
        </w:rPr>
      </w:r>
    </w:p>
    <w:p>
      <w:pPr>
        <w:pStyle w:val="Footer"/>
        <w:tabs>
          <w:tab w:val="clear" w:pos="4320"/>
          <w:tab w:val="clear" w:pos="8640"/>
        </w:tabs>
        <w:ind w:firstLine="900" w:end="0"/>
        <w:rPr/>
      </w:pPr>
      <w:r>
        <w:rPr>
          <w:rFonts w:cs="Abadi MT Condensed Light" w:ascii="Abadi MT Condensed Light" w:hAnsi="Abadi MT Condensed Light"/>
          <w:b/>
          <w:bCs/>
          <w:i/>
          <w:iCs/>
          <w:u w:val="single"/>
        </w:rPr>
        <w:t>DMA:</w:t>
      </w:r>
      <w:r>
        <w:rPr>
          <w:rFonts w:cs="Abadi MT Condensed Light" w:ascii="Abadi MT Condensed Light" w:hAnsi="Abadi MT Condensed Light"/>
          <w:b/>
          <w:bCs/>
          <w:i/>
          <w:iCs/>
        </w:rPr>
        <w:t xml:space="preserve">  That’s my understanding.</w:t>
      </w:r>
    </w:p>
    <w:p>
      <w:pPr>
        <w:pStyle w:val="Footer"/>
        <w:tabs>
          <w:tab w:val="clear" w:pos="4320"/>
          <w:tab w:val="clear" w:pos="8640"/>
        </w:tabs>
        <w:ind w:firstLine="900" w:end="0"/>
        <w:rPr>
          <w:rFonts w:ascii="Abadi MT Condensed Light" w:hAnsi="Abadi MT Condensed Light" w:cs="Abadi MT Condensed Light"/>
          <w:b/>
          <w:bCs/>
          <w:i/>
          <w:i/>
          <w:iCs/>
          <w:sz w:val="16"/>
        </w:rPr>
      </w:pPr>
      <w:r>
        <w:rPr>
          <w:rFonts w:cs="Abadi MT Condensed Light" w:ascii="Abadi MT Condensed Light" w:hAnsi="Abadi MT Condensed Light"/>
          <w:b/>
          <w:bCs/>
          <w:i/>
          <w:iCs/>
          <w:sz w:val="16"/>
        </w:rPr>
      </w:r>
    </w:p>
    <w:p>
      <w:pPr>
        <w:pStyle w:val="Footer"/>
        <w:numPr>
          <w:ilvl w:val="0"/>
          <w:numId w:val="2"/>
        </w:numPr>
        <w:tabs>
          <w:tab w:val="clear" w:pos="4320"/>
          <w:tab w:val="clear" w:pos="8640"/>
        </w:tabs>
        <w:rPr/>
      </w:pPr>
      <w:r>
        <w:rPr>
          <w:rFonts w:cs="Lucida Sans" w:ascii="Lucida Sans" w:hAnsi="Lucida Sans"/>
          <w:b/>
          <w:bCs/>
          <w:u w:val="single"/>
        </w:rPr>
        <w:t>Mr. Nordhaus:</w:t>
      </w:r>
      <w:r>
        <w:rPr/>
        <w:t xml:space="preserve">  Then who strikes the deal?</w:t>
      </w:r>
    </w:p>
    <w:p>
      <w:pPr>
        <w:pStyle w:val="Footer"/>
        <w:tabs>
          <w:tab w:val="clear" w:pos="4320"/>
          <w:tab w:val="clear" w:pos="8640"/>
        </w:tabs>
        <w:rPr>
          <w:sz w:val="8"/>
        </w:rPr>
      </w:pPr>
      <w:r>
        <w:rPr>
          <w:sz w:val="8"/>
        </w:rPr>
      </w:r>
    </w:p>
    <w:p>
      <w:pPr>
        <w:pStyle w:val="Footer"/>
        <w:tabs>
          <w:tab w:val="clear" w:pos="4320"/>
          <w:tab w:val="clear" w:pos="8640"/>
        </w:tabs>
        <w:ind w:firstLine="900" w:end="0"/>
        <w:rPr/>
      </w:pPr>
      <w:r>
        <w:rPr>
          <w:rFonts w:cs="Abadi MT Condensed Light" w:ascii="Abadi MT Condensed Light" w:hAnsi="Abadi MT Condensed Light"/>
          <w:b/>
          <w:bCs/>
          <w:i/>
          <w:iCs/>
          <w:u w:val="single"/>
        </w:rPr>
        <w:t>DMA</w:t>
      </w:r>
      <w:r>
        <w:rPr>
          <w:rFonts w:cs="Abadi MT Condensed Light" w:ascii="Abadi MT Condensed Light" w:hAnsi="Abadi MT Condensed Light"/>
          <w:b/>
          <w:bCs/>
          <w:i/>
          <w:iCs/>
        </w:rPr>
        <w:t>:  The “floor,” I guess (i.e., the ISO system dispatchers/operators).</w:t>
      </w:r>
    </w:p>
    <w:p>
      <w:pPr>
        <w:pStyle w:val="Footer"/>
        <w:tabs>
          <w:tab w:val="clear" w:pos="4320"/>
          <w:tab w:val="clear" w:pos="8640"/>
        </w:tabs>
        <w:rPr>
          <w:rFonts w:ascii="Abadi MT Condensed Light" w:hAnsi="Abadi MT Condensed Light" w:cs="Abadi MT Condensed Light"/>
          <w:b/>
          <w:bCs/>
          <w:i/>
          <w:i/>
          <w:iCs/>
          <w:sz w:val="16"/>
        </w:rPr>
      </w:pPr>
      <w:r>
        <w:rPr>
          <w:rFonts w:cs="Abadi MT Condensed Light" w:ascii="Abadi MT Condensed Light" w:hAnsi="Abadi MT Condensed Light"/>
          <w:b/>
          <w:bCs/>
          <w:i/>
          <w:iCs/>
          <w:sz w:val="16"/>
        </w:rPr>
      </w:r>
    </w:p>
    <w:p>
      <w:pPr>
        <w:pStyle w:val="Footer"/>
        <w:tabs>
          <w:tab w:val="clear" w:pos="4320"/>
          <w:tab w:val="clear" w:pos="8640"/>
        </w:tabs>
        <w:ind w:start="180" w:end="0"/>
        <w:rPr/>
      </w:pPr>
      <w:r>
        <w:rPr>
          <w:rFonts w:cs="Abadi MT Condensed Light" w:ascii="Abadi MT Condensed Light" w:hAnsi="Abadi MT Condensed Light"/>
          <w:b/>
          <w:bCs/>
          <w:i/>
          <w:iCs/>
          <w:color w:val="0000FF"/>
        </w:rPr>
        <w:t>[</w:t>
      </w:r>
      <w:r>
        <w:rPr>
          <w:rFonts w:cs="Abadi MT Condensed Light" w:ascii="Abadi MT Condensed Light" w:hAnsi="Abadi MT Condensed Light"/>
          <w:b/>
          <w:bCs/>
          <w:i/>
          <w:iCs/>
          <w:color w:val="0000FF"/>
          <w:u w:val="single"/>
        </w:rPr>
        <w:t>Consultant note</w:t>
      </w:r>
      <w:r>
        <w:rPr>
          <w:rFonts w:cs="Abadi MT Condensed Light" w:ascii="Abadi MT Condensed Light" w:hAnsi="Abadi MT Condensed Light"/>
          <w:b/>
          <w:bCs/>
          <w:i/>
          <w:iCs/>
          <w:color w:val="0000FF"/>
        </w:rPr>
        <w:t xml:space="preserve">:  Technically, the prices for energy furnished pursuant to the DOE order are as agreed to between the ISO and the seller.  If no price can be agreed upon, the service must still be furnished, and FERC will decide the price at some later time.  </w:t>
      </w:r>
    </w:p>
    <w:p>
      <w:pPr>
        <w:pStyle w:val="Footer"/>
        <w:tabs>
          <w:tab w:val="clear" w:pos="4320"/>
          <w:tab w:val="clear" w:pos="8640"/>
          <w:tab w:val="left" w:pos="540" w:leader="none"/>
        </w:tabs>
        <w:ind w:hanging="360" w:start="540" w:end="0"/>
        <w:rPr>
          <w:rFonts w:ascii="Abadi MT Condensed Light" w:hAnsi="Abadi MT Condensed Light" w:cs="Abadi MT Condensed Light"/>
          <w:b/>
          <w:bCs/>
          <w:i/>
          <w:i/>
          <w:iCs/>
          <w:color w:val="0000FF"/>
          <w:sz w:val="8"/>
        </w:rPr>
      </w:pPr>
      <w:r>
        <w:rPr>
          <w:rFonts w:cs="Abadi MT Condensed Light" w:ascii="Abadi MT Condensed Light" w:hAnsi="Abadi MT Condensed Light"/>
          <w:b/>
          <w:bCs/>
          <w:i/>
          <w:iCs/>
          <w:color w:val="0000FF"/>
          <w:sz w:val="8"/>
        </w:rPr>
      </w:r>
    </w:p>
    <w:p>
      <w:pPr>
        <w:pStyle w:val="Footer"/>
        <w:tabs>
          <w:tab w:val="clear" w:pos="4320"/>
          <w:tab w:val="clear" w:pos="8640"/>
          <w:tab w:val="left" w:pos="180" w:leader="none"/>
        </w:tabs>
        <w:ind w:start="180" w:end="0"/>
        <w:rPr>
          <w:rFonts w:ascii="Abadi MT Condensed Light" w:hAnsi="Abadi MT Condensed Light" w:cs="Abadi MT Condensed Light"/>
          <w:b/>
          <w:bCs/>
          <w:i/>
          <w:i/>
          <w:iCs/>
          <w:color w:val="0000FF"/>
        </w:rPr>
      </w:pPr>
      <w:r>
        <w:rPr>
          <w:rFonts w:cs="Abadi MT Condensed Light" w:ascii="Abadi MT Condensed Light" w:hAnsi="Abadi MT Condensed Light"/>
          <w:b/>
          <w:bCs/>
          <w:i/>
          <w:iCs/>
          <w:color w:val="0000FF"/>
        </w:rPr>
        <w:t>However, one trader told me that, in recent calls to arrange these supplies, the ISO has refused to discuss prices, apparently deferring all those decisions to later FERC adjudication.  If that’s true, it’s not clear how those supplies are being priced through settlements, but that’s not yet come up in any of these discussions.]</w:t>
      </w:r>
    </w:p>
    <w:p>
      <w:pPr>
        <w:pStyle w:val="Footer"/>
        <w:tabs>
          <w:tab w:val="clear" w:pos="4320"/>
          <w:tab w:val="clear" w:pos="8640"/>
        </w:tabs>
        <w:rPr>
          <w:rFonts w:ascii="Abadi MT Condensed Light" w:hAnsi="Abadi MT Condensed Light" w:cs="Abadi MT Condensed Light"/>
          <w:b/>
          <w:bCs/>
          <w:i/>
          <w:i/>
          <w:iCs/>
          <w:color w:val="0000FF"/>
        </w:rPr>
      </w:pPr>
      <w:r>
        <w:rPr>
          <w:rFonts w:cs="Abadi MT Condensed Light" w:ascii="Abadi MT Condensed Light" w:hAnsi="Abadi MT Condensed Light"/>
          <w:b/>
          <w:bCs/>
          <w:i/>
          <w:iCs/>
          <w:color w:val="0000FF"/>
        </w:rPr>
      </w:r>
    </w:p>
    <w:p>
      <w:pPr>
        <w:pStyle w:val="Heading3"/>
        <w:pBdr>
          <w:top w:val="single" w:sz="12" w:space="1" w:color="000000"/>
          <w:left w:val="single" w:sz="12" w:space="4" w:color="000000"/>
          <w:bottom w:val="single" w:sz="12" w:space="2" w:color="000000"/>
          <w:right w:val="single" w:sz="12" w:space="4" w:color="000000"/>
        </w:pBdr>
        <w:ind w:hanging="0" w:start="0"/>
        <w:rPr>
          <w:rFonts w:ascii="Lucida Sans" w:hAnsi="Lucida Sans" w:cs="Lucida Sans Unicode"/>
        </w:rPr>
      </w:pPr>
      <w:r>
        <w:rPr>
          <w:rFonts w:cs="Lucida Sans Unicode" w:ascii="Lucida Sans" w:hAnsi="Lucida Sans"/>
        </w:rPr>
        <w:t>Replacement Reserve (RR) cost savings from FERC order</w:t>
      </w:r>
    </w:p>
    <w:p>
      <w:pPr>
        <w:pStyle w:val="Footer"/>
        <w:tabs>
          <w:tab w:val="clear" w:pos="4320"/>
          <w:tab w:val="clear" w:pos="8640"/>
        </w:tabs>
        <w:rPr/>
      </w:pPr>
      <w:r>
        <w:rPr/>
        <w:t>The December 15</w:t>
      </w:r>
      <w:r>
        <w:rPr>
          <w:vertAlign w:val="superscript"/>
        </w:rPr>
        <w:t>th</w:t>
      </w:r>
      <w:r>
        <w:rPr/>
        <w:t xml:space="preserve"> FERC decision provided that sellers of Replacement Reserve (RR) would receive the capacity payment if not dispatched, and the energy payment if dispatched.  However, unlike sellers of other Ancillary Services (Regulation, Spinning Reserve, and Non-Spinning Reserve), they could not receive both payments.</w:t>
      </w:r>
    </w:p>
    <w:p>
      <w:pPr>
        <w:pStyle w:val="Footer"/>
        <w:tabs>
          <w:tab w:val="clear" w:pos="4320"/>
          <w:tab w:val="clear" w:pos="8640"/>
        </w:tabs>
        <w:rPr>
          <w:sz w:val="16"/>
        </w:rPr>
      </w:pPr>
      <w:r>
        <w:rPr>
          <w:sz w:val="16"/>
        </w:rPr>
      </w:r>
    </w:p>
    <w:p>
      <w:pPr>
        <w:pStyle w:val="Footer"/>
        <w:tabs>
          <w:tab w:val="clear" w:pos="4320"/>
          <w:tab w:val="clear" w:pos="8640"/>
        </w:tabs>
        <w:rPr/>
      </w:pPr>
      <w:r>
        <w:rPr/>
        <w:t xml:space="preserve">In January, paying both a capacity and an energy payment to dispatched RR capacity would have cost an additional $60 million.  From a cost perspective, this can be looked at in two ways:  </w:t>
      </w:r>
    </w:p>
    <w:p>
      <w:pPr>
        <w:pStyle w:val="Footer"/>
        <w:tabs>
          <w:tab w:val="clear" w:pos="4320"/>
          <w:tab w:val="clear" w:pos="8640"/>
        </w:tabs>
        <w:rPr>
          <w:sz w:val="8"/>
        </w:rPr>
      </w:pPr>
      <w:r>
        <w:rPr>
          <w:sz w:val="8"/>
        </w:rPr>
      </w:r>
    </w:p>
    <w:p>
      <w:pPr>
        <w:pStyle w:val="Footer"/>
        <w:tabs>
          <w:tab w:val="clear" w:pos="4320"/>
          <w:tab w:val="clear" w:pos="8640"/>
        </w:tabs>
        <w:rPr>
          <w:sz w:val="8"/>
        </w:rPr>
      </w:pPr>
      <w:r>
        <w:rPr>
          <w:sz w:val="8"/>
        </w:rPr>
      </w:r>
    </w:p>
    <w:p>
      <w:pPr>
        <w:pStyle w:val="Footer"/>
        <w:numPr>
          <w:ilvl w:val="0"/>
          <w:numId w:val="2"/>
        </w:numPr>
        <w:tabs>
          <w:tab w:val="clear" w:pos="4320"/>
          <w:tab w:val="clear" w:pos="8640"/>
        </w:tabs>
        <w:rPr/>
      </w:pPr>
      <w:r>
        <w:rPr>
          <w:rFonts w:cs="Lucida Sans" w:ascii="Lucida Sans" w:hAnsi="Lucida Sans"/>
          <w:b/>
          <w:bCs/>
          <w:u w:val="single"/>
        </w:rPr>
        <w:t>Savings in A/S capacity costs:</w:t>
      </w:r>
      <w:r>
        <w:rPr/>
        <w:t xml:space="preserve">  A/S capacity costs were a bit over $250 million, and considering the $60 million as an A/S capacity cost reduction would reduce that by a bit less than 1/4</w:t>
      </w:r>
      <w:r>
        <w:rPr>
          <w:vertAlign w:val="superscript"/>
        </w:rPr>
        <w:t>th</w:t>
      </w:r>
      <w:r>
        <w:rPr/>
        <w:t>, cutting January A/S costs as a percent of energy costs from the reported 5% to 4%.</w:t>
      </w:r>
    </w:p>
    <w:p>
      <w:pPr>
        <w:pStyle w:val="Footer"/>
        <w:tabs>
          <w:tab w:val="clear" w:pos="4320"/>
          <w:tab w:val="clear" w:pos="8640"/>
        </w:tabs>
        <w:ind w:start="360" w:end="0"/>
        <w:rPr>
          <w:sz w:val="8"/>
        </w:rPr>
      </w:pPr>
      <w:r>
        <w:rPr>
          <w:sz w:val="8"/>
        </w:rPr>
      </w:r>
    </w:p>
    <w:p>
      <w:pPr>
        <w:pStyle w:val="Footer"/>
        <w:numPr>
          <w:ilvl w:val="0"/>
          <w:numId w:val="2"/>
        </w:numPr>
        <w:tabs>
          <w:tab w:val="clear" w:pos="4320"/>
          <w:tab w:val="clear" w:pos="8640"/>
        </w:tabs>
        <w:rPr>
          <w:i/>
          <w:i/>
          <w:iCs/>
        </w:rPr>
      </w:pPr>
      <w:r>
        <w:rPr>
          <w:rFonts w:cs="Lucida Sans" w:ascii="Lucida Sans" w:hAnsi="Lucida Sans"/>
          <w:b/>
          <w:bCs/>
          <w:u w:val="single"/>
        </w:rPr>
        <w:t>Savings in Imbalance Energy costs:</w:t>
      </w:r>
      <w:r>
        <w:rPr/>
        <w:t xml:space="preserve">  The $60 million could also be considered a reduction in the cost of dispatching Real Time energy.  In other words, the RR capacity payment is a “sunk” cost, and the incremental cost to dispatch the RR resource is really only the difference between the energy price paid less the capacity payment taken back.  </w:t>
      </w:r>
      <w:r>
        <w:rPr>
          <w:i/>
          <w:iCs/>
        </w:rPr>
        <w:t>(This is how the savings were reported for January.)</w:t>
      </w:r>
    </w:p>
    <w:p>
      <w:pPr>
        <w:pStyle w:val="Footer"/>
        <w:tabs>
          <w:tab w:val="clear" w:pos="4320"/>
          <w:tab w:val="clear" w:pos="8640"/>
        </w:tabs>
        <w:rPr>
          <w:i/>
          <w:i/>
          <w:iCs/>
        </w:rPr>
      </w:pPr>
      <w:r>
        <w:rPr>
          <w:i/>
          <w:iCs/>
        </w:rPr>
      </w:r>
    </w:p>
    <w:p>
      <w:pPr>
        <w:pStyle w:val="Heading3"/>
        <w:pBdr>
          <w:top w:val="single" w:sz="12" w:space="1" w:color="000000"/>
          <w:left w:val="single" w:sz="12" w:space="4" w:color="000000"/>
          <w:bottom w:val="single" w:sz="12" w:space="2" w:color="000000"/>
          <w:right w:val="single" w:sz="12" w:space="4" w:color="000000"/>
        </w:pBdr>
        <w:ind w:hanging="0" w:start="0"/>
        <w:rPr>
          <w:rFonts w:ascii="Lucida Sans" w:hAnsi="Lucida Sans" w:cs="Lucida Sans Unicode"/>
        </w:rPr>
      </w:pPr>
      <w:r>
        <w:rPr>
          <w:rFonts w:cs="Lucida Sans Unicode" w:ascii="Lucida Sans" w:hAnsi="Lucida Sans"/>
        </w:rPr>
        <w:t>Generator market power exercise in January</w:t>
      </w:r>
    </w:p>
    <w:p>
      <w:pPr>
        <w:pStyle w:val="Footer"/>
        <w:tabs>
          <w:tab w:val="clear" w:pos="4320"/>
          <w:tab w:val="clear" w:pos="8640"/>
        </w:tabs>
        <w:rPr/>
      </w:pPr>
      <w:r>
        <w:rPr>
          <w:rFonts w:cs="Arial" w:ascii="Arial" w:hAnsi="Arial"/>
          <w:b/>
          <w:bCs/>
          <w:u w:val="single"/>
        </w:rPr>
        <w:t>Definition</w:t>
      </w:r>
      <w:r>
        <w:rPr/>
        <w:t xml:space="preserve">  </w:t>
      </w:r>
    </w:p>
    <w:p>
      <w:pPr>
        <w:pStyle w:val="Footer"/>
        <w:tabs>
          <w:tab w:val="clear" w:pos="4320"/>
          <w:tab w:val="clear" w:pos="8640"/>
        </w:tabs>
        <w:rPr/>
      </w:pPr>
      <w:r>
        <w:rPr/>
        <w:t xml:space="preserve">DMA uses the standard definition for sellers as the Department of Justice and the Federal Trade Commission Horizontal Merger Guidelines – </w:t>
      </w:r>
    </w:p>
    <w:p>
      <w:pPr>
        <w:pStyle w:val="Footer"/>
        <w:tabs>
          <w:tab w:val="clear" w:pos="4320"/>
          <w:tab w:val="clear" w:pos="8640"/>
        </w:tabs>
        <w:rPr>
          <w:sz w:val="16"/>
        </w:rPr>
      </w:pPr>
      <w:r>
        <w:rPr>
          <w:sz w:val="16"/>
        </w:rPr>
      </w:r>
    </w:p>
    <w:p>
      <w:pPr>
        <w:pStyle w:val="Footer"/>
        <w:tabs>
          <w:tab w:val="clear" w:pos="4320"/>
          <w:tab w:val="clear" w:pos="8640"/>
        </w:tabs>
        <w:ind w:start="360" w:end="0"/>
        <w:rPr>
          <w:rFonts w:ascii="Abadi MT Condensed Light" w:hAnsi="Abadi MT Condensed Light" w:cs="Abadi MT Condensed Light"/>
          <w:b/>
          <w:bCs/>
          <w:i/>
          <w:i/>
          <w:iCs/>
        </w:rPr>
      </w:pPr>
      <w:r>
        <w:rPr>
          <w:rFonts w:cs="Abadi MT Condensed Light" w:ascii="Abadi MT Condensed Light" w:hAnsi="Abadi MT Condensed Light"/>
          <w:b/>
          <w:bCs/>
          <w:i/>
          <w:iCs/>
        </w:rPr>
        <w:t>“</w:t>
      </w:r>
      <w:r>
        <w:rPr>
          <w:rFonts w:cs="Abadi MT Condensed Light" w:ascii="Abadi MT Condensed Light" w:hAnsi="Abadi MT Condensed Light"/>
          <w:b/>
          <w:bCs/>
          <w:i/>
          <w:iCs/>
        </w:rPr>
        <w:t>Ability to profitably maintain prices above competitive levels for significant period of time.”</w:t>
      </w:r>
    </w:p>
    <w:p>
      <w:pPr>
        <w:pStyle w:val="Footer"/>
        <w:tabs>
          <w:tab w:val="clear" w:pos="4320"/>
          <w:tab w:val="clear" w:pos="8640"/>
        </w:tabs>
        <w:rPr>
          <w:rFonts w:ascii="Abadi MT Condensed Light" w:hAnsi="Abadi MT Condensed Light" w:cs="Abadi MT Condensed Light"/>
          <w:b/>
          <w:bCs/>
          <w:i/>
          <w:i/>
          <w:iCs/>
          <w:sz w:val="16"/>
        </w:rPr>
      </w:pPr>
      <w:r>
        <w:rPr>
          <w:rFonts w:cs="Abadi MT Condensed Light" w:ascii="Abadi MT Condensed Light" w:hAnsi="Abadi MT Condensed Light"/>
          <w:b/>
          <w:bCs/>
          <w:i/>
          <w:iCs/>
          <w:sz w:val="16"/>
        </w:rPr>
      </w:r>
    </w:p>
    <w:p>
      <w:pPr>
        <w:pStyle w:val="Footer"/>
        <w:tabs>
          <w:tab w:val="clear" w:pos="4320"/>
          <w:tab w:val="clear" w:pos="8640"/>
        </w:tabs>
        <w:rPr/>
      </w:pPr>
      <w:r>
        <w:rPr/>
        <w:t>DMA considers the “competitive” price level in this definition to be either:</w:t>
      </w:r>
    </w:p>
    <w:p>
      <w:pPr>
        <w:pStyle w:val="Footer"/>
        <w:numPr>
          <w:ilvl w:val="0"/>
          <w:numId w:val="2"/>
        </w:numPr>
        <w:tabs>
          <w:tab w:val="clear" w:pos="4320"/>
          <w:tab w:val="clear" w:pos="8640"/>
        </w:tabs>
        <w:rPr/>
      </w:pPr>
      <w:r>
        <w:rPr>
          <w:rFonts w:cs="Lucida Sans" w:ascii="Lucida Sans" w:hAnsi="Lucida Sans"/>
          <w:b/>
          <w:bCs/>
        </w:rPr>
        <w:t>Direct marginal costs</w:t>
      </w:r>
      <w:r>
        <w:rPr/>
        <w:t>;  or</w:t>
      </w:r>
    </w:p>
    <w:p>
      <w:pPr>
        <w:pStyle w:val="Footer"/>
        <w:numPr>
          <w:ilvl w:val="0"/>
          <w:numId w:val="2"/>
        </w:numPr>
        <w:tabs>
          <w:tab w:val="clear" w:pos="4320"/>
          <w:tab w:val="clear" w:pos="8640"/>
        </w:tabs>
        <w:rPr/>
      </w:pPr>
      <w:r>
        <w:rPr>
          <w:rFonts w:cs="Lucida Sans" w:ascii="Lucida Sans" w:hAnsi="Lucida Sans"/>
          <w:b/>
          <w:bCs/>
        </w:rPr>
        <w:t>Verifiable opportunity costs</w:t>
      </w:r>
      <w:r>
        <w:rPr/>
        <w:t xml:space="preserve"> (where the seller doesn’t have the ability to raise those opportunity costs).  </w:t>
      </w:r>
      <w:r>
        <w:rPr>
          <w:rFonts w:cs="Abadi MT Condensed Light" w:ascii="Abadi MT Condensed Light" w:hAnsi="Abadi MT Condensed Light"/>
          <w:b/>
          <w:bCs/>
          <w:i/>
          <w:iCs/>
          <w:color w:val="0000FF"/>
        </w:rPr>
        <w:t>[</w:t>
      </w:r>
      <w:r>
        <w:rPr>
          <w:rFonts w:cs="Abadi MT Condensed Light" w:ascii="Abadi MT Condensed Light" w:hAnsi="Abadi MT Condensed Light"/>
          <w:b/>
          <w:bCs/>
          <w:i/>
          <w:iCs/>
          <w:color w:val="0000FF"/>
          <w:u w:val="single"/>
        </w:rPr>
        <w:t>Consultant note:</w:t>
      </w:r>
      <w:r>
        <w:rPr>
          <w:rFonts w:cs="Abadi MT Condensed Light" w:ascii="Abadi MT Condensed Light" w:hAnsi="Abadi MT Condensed Light"/>
          <w:b/>
          <w:bCs/>
          <w:i/>
          <w:iCs/>
          <w:color w:val="0000FF"/>
        </w:rPr>
        <w:t xml:space="preserve">  In the past, DMA has applied this second definition primarily to “energy limited” resources, e.g., hydroelectricity with a limited water supply.]</w:t>
      </w:r>
    </w:p>
    <w:p>
      <w:pPr>
        <w:pStyle w:val="Footer"/>
        <w:tabs>
          <w:tab w:val="clear" w:pos="4320"/>
          <w:tab w:val="clear" w:pos="8640"/>
        </w:tabs>
        <w:rPr>
          <w:sz w:val="16"/>
        </w:rPr>
      </w:pPr>
      <w:r>
        <w:rPr>
          <w:sz w:val="16"/>
        </w:rPr>
      </w:r>
    </w:p>
    <w:p>
      <w:pPr>
        <w:pStyle w:val="Footer"/>
        <w:tabs>
          <w:tab w:val="clear" w:pos="4320"/>
          <w:tab w:val="clear" w:pos="8640"/>
        </w:tabs>
        <w:rPr>
          <w:rFonts w:ascii="Arial" w:hAnsi="Arial" w:cs="Arial"/>
          <w:b/>
          <w:bCs/>
          <w:u w:val="single"/>
        </w:rPr>
      </w:pPr>
      <w:r>
        <w:rPr>
          <w:rFonts w:cs="Arial" w:ascii="Arial" w:hAnsi="Arial"/>
          <w:b/>
          <w:bCs/>
          <w:u w:val="single"/>
        </w:rPr>
        <w:t>Measurement of market power</w:t>
      </w:r>
    </w:p>
    <w:p>
      <w:pPr>
        <w:pStyle w:val="Footer"/>
        <w:tabs>
          <w:tab w:val="clear" w:pos="4320"/>
          <w:tab w:val="clear" w:pos="8640"/>
        </w:tabs>
        <w:rPr/>
      </w:pPr>
      <w:r>
        <w:rPr/>
        <w:t>DMA uses the “Price-Cost Mark-Up” analysis framework to measure the extent of market-power exercise.  This method compares:</w:t>
      </w:r>
    </w:p>
    <w:p>
      <w:pPr>
        <w:pStyle w:val="Footer"/>
        <w:tabs>
          <w:tab w:val="clear" w:pos="4320"/>
          <w:tab w:val="clear" w:pos="8640"/>
        </w:tabs>
        <w:rPr>
          <w:sz w:val="8"/>
        </w:rPr>
      </w:pPr>
      <w:r>
        <w:rPr>
          <w:sz w:val="8"/>
        </w:rPr>
      </w:r>
    </w:p>
    <w:p>
      <w:pPr>
        <w:pStyle w:val="Footer"/>
        <w:numPr>
          <w:ilvl w:val="0"/>
          <w:numId w:val="2"/>
        </w:numPr>
        <w:tabs>
          <w:tab w:val="clear" w:pos="4320"/>
          <w:tab w:val="clear" w:pos="8640"/>
        </w:tabs>
        <w:rPr/>
      </w:pPr>
      <w:r>
        <w:rPr>
          <w:rFonts w:cs="Lucida Sans" w:ascii="Lucida Sans" w:hAnsi="Lucida Sans"/>
          <w:b/>
          <w:bCs/>
        </w:rPr>
        <w:t>Market revenues</w:t>
      </w:r>
      <w:r>
        <w:rPr/>
        <w:t xml:space="preserve"> at actual market prices to:</w:t>
      </w:r>
    </w:p>
    <w:p>
      <w:pPr>
        <w:pStyle w:val="Footer"/>
        <w:tabs>
          <w:tab w:val="clear" w:pos="4320"/>
          <w:tab w:val="clear" w:pos="8640"/>
        </w:tabs>
        <w:ind w:start="360" w:end="0"/>
        <w:rPr>
          <w:sz w:val="8"/>
        </w:rPr>
      </w:pPr>
      <w:r>
        <w:rPr>
          <w:sz w:val="8"/>
        </w:rPr>
      </w:r>
    </w:p>
    <w:p>
      <w:pPr>
        <w:pStyle w:val="Footer"/>
        <w:numPr>
          <w:ilvl w:val="0"/>
          <w:numId w:val="2"/>
        </w:numPr>
        <w:tabs>
          <w:tab w:val="clear" w:pos="4320"/>
          <w:tab w:val="clear" w:pos="8640"/>
        </w:tabs>
        <w:rPr/>
      </w:pPr>
      <w:r>
        <w:rPr>
          <w:rFonts w:cs="Lucida Sans" w:ascii="Lucida Sans" w:hAnsi="Lucida Sans"/>
          <w:b/>
          <w:bCs/>
        </w:rPr>
        <w:t>A “Competitive Benchmark,”</w:t>
      </w:r>
      <w:r>
        <w:rPr/>
        <w:t xml:space="preserve"> i.e., what market revenues would have been had prices been equal to marginal cost.  The system marginal production cost is estimated based on input prices, unit heat rate assumptions, market demand, and other factors.  </w:t>
      </w:r>
      <w:r>
        <w:rPr>
          <w:i/>
          <w:iCs/>
        </w:rPr>
        <w:t>(According to DMA, even at current gas prices, most units have production costs below $150.)</w:t>
      </w:r>
    </w:p>
    <w:p>
      <w:pPr>
        <w:pStyle w:val="Footer"/>
        <w:tabs>
          <w:tab w:val="clear" w:pos="4320"/>
          <w:tab w:val="clear" w:pos="8640"/>
        </w:tabs>
        <w:rPr>
          <w:sz w:val="16"/>
        </w:rPr>
      </w:pPr>
      <w:r>
        <w:rPr>
          <w:sz w:val="16"/>
        </w:rPr>
      </w:r>
    </w:p>
    <w:p>
      <w:pPr>
        <w:pStyle w:val="Footer"/>
        <w:tabs>
          <w:tab w:val="clear" w:pos="4320"/>
          <w:tab w:val="clear" w:pos="8640"/>
        </w:tabs>
        <w:rPr/>
      </w:pPr>
      <w:r>
        <w:rPr/>
        <w:t xml:space="preserve">The model </w:t>
      </w:r>
      <w:r>
        <w:rPr>
          <w:u w:val="single"/>
        </w:rPr>
        <w:t>excludes</w:t>
      </w:r>
      <w:r>
        <w:rPr/>
        <w:t xml:space="preserve"> hours of “scarcity,” when supply (scheduled energy, plus Real-Time market bids, OOM energy, and other import supplies) exceeds demand by less than 10%.  In other words, the model assumes that the ability to keep prices high even when there </w:t>
      </w:r>
      <w:r>
        <w:rPr>
          <w:u w:val="single"/>
        </w:rPr>
        <w:t>isn’t</w:t>
      </w:r>
      <w:r>
        <w:rPr/>
        <w:t xml:space="preserve"> supply scarcity is part of the market power definition.</w:t>
      </w:r>
    </w:p>
    <w:p>
      <w:pPr>
        <w:pStyle w:val="Footer"/>
        <w:tabs>
          <w:tab w:val="clear" w:pos="4320"/>
          <w:tab w:val="clear" w:pos="8640"/>
        </w:tabs>
        <w:rPr>
          <w:sz w:val="16"/>
        </w:rPr>
      </w:pPr>
      <w:r>
        <w:rPr>
          <w:sz w:val="16"/>
        </w:rPr>
      </w:r>
    </w:p>
    <w:p>
      <w:pPr>
        <w:pStyle w:val="Footer"/>
        <w:tabs>
          <w:tab w:val="clear" w:pos="4320"/>
          <w:tab w:val="clear" w:pos="8640"/>
        </w:tabs>
        <w:rPr/>
      </w:pPr>
      <w:r>
        <w:rPr/>
        <w:t>Here are the results for January 2001 and for each month in 2000, including consideration of emissions costs.  The Market Power Index (MPI) numbers indicate the percent that actual market revenues exceeded the calculated competitive level of market revenues, e.g., an MPI of .35 indicates that actual revenues exceeded competitive levels by 35%.</w:t>
      </w:r>
    </w:p>
    <w:p>
      <w:pPr>
        <w:pStyle w:val="Footer"/>
        <w:tabs>
          <w:tab w:val="clear" w:pos="4320"/>
          <w:tab w:val="clear" w:pos="8640"/>
        </w:tabs>
        <w:rPr/>
      </w:pPr>
      <w:r>
        <w:rPr/>
      </w:r>
    </w:p>
    <w:p>
      <w:pPr>
        <w:pStyle w:val="Footer"/>
        <w:tabs>
          <w:tab w:val="clear" w:pos="4320"/>
          <w:tab w:val="clear" w:pos="8640"/>
        </w:tabs>
        <w:jc w:val="center"/>
        <w:rPr>
          <w:b/>
          <w:bCs/>
          <w:u w:val="single"/>
        </w:rPr>
      </w:pPr>
      <w:r>
        <w:rPr>
          <w:b/>
          <w:bCs/>
          <w:u w:val="single"/>
        </w:rPr>
        <w:t>MARKET POWER INDEX, January 2000-January 2001</w:t>
      </w:r>
    </w:p>
    <w:p>
      <w:pPr>
        <w:pStyle w:val="Footer"/>
        <w:tabs>
          <w:tab w:val="clear" w:pos="4320"/>
          <w:tab w:val="clear" w:pos="8640"/>
        </w:tabs>
        <w:jc w:val="center"/>
        <w:rPr>
          <w:i/>
          <w:i/>
          <w:iCs/>
        </w:rPr>
      </w:pPr>
      <w:r>
        <w:rPr>
          <w:i/>
          <w:iCs/>
        </w:rPr>
        <w:t>(visual estimate from chart provided)</w:t>
      </w:r>
    </w:p>
    <w:p>
      <w:pPr>
        <w:pStyle w:val="Footer"/>
        <w:tabs>
          <w:tab w:val="clear" w:pos="4320"/>
          <w:tab w:val="clear" w:pos="8640"/>
        </w:tabs>
        <w:jc w:val="center"/>
        <w:rPr>
          <w:b/>
          <w:bCs/>
          <w:i/>
          <w:i/>
          <w:iCs/>
          <w:sz w:val="8"/>
        </w:rPr>
      </w:pPr>
      <w:r>
        <w:rPr>
          <w:b/>
          <w:bCs/>
          <w:i/>
          <w:iCs/>
          <w:sz w:val="8"/>
        </w:rPr>
      </w:r>
    </w:p>
    <w:tbl>
      <w:tblPr>
        <w:tblW w:w="8960" w:type="dxa"/>
        <w:jc w:val="start"/>
        <w:tblInd w:w="-3" w:type="dxa"/>
        <w:tblLayout w:type="fixed"/>
        <w:tblCellMar>
          <w:top w:w="12" w:type="dxa"/>
          <w:start w:w="12" w:type="dxa"/>
          <w:bottom w:w="0" w:type="dxa"/>
          <w:end w:w="12" w:type="dxa"/>
        </w:tblCellMar>
      </w:tblPr>
      <w:tblGrid>
        <w:gridCol w:w="1280"/>
        <w:gridCol w:w="1280"/>
        <w:gridCol w:w="1280"/>
        <w:gridCol w:w="1280"/>
        <w:gridCol w:w="1280"/>
        <w:gridCol w:w="1280"/>
        <w:gridCol w:w="1280"/>
      </w:tblGrid>
      <w:tr>
        <w:trPr>
          <w:trHeight w:val="264" w:hRule="atLeast"/>
        </w:trPr>
        <w:tc>
          <w:tcPr>
            <w:tcW w:w="1280" w:type="dxa"/>
            <w:tcBorders>
              <w:top w:val="single" w:sz="12" w:space="0" w:color="0000FF"/>
              <w:start w:val="single" w:sz="12" w:space="0" w:color="0000FF"/>
              <w:bottom w:val="single" w:sz="12" w:space="0" w:color="000000"/>
              <w:end w:val="single" w:sz="12" w:space="0" w:color="000000"/>
            </w:tcBorders>
            <w:shd w:fill="E0E0E0" w:val="clear"/>
            <w:vAlign w:val="bottom"/>
          </w:tcPr>
          <w:p>
            <w:pPr>
              <w:pStyle w:val="Normal"/>
              <w:jc w:val="center"/>
              <w:rPr>
                <w:rFonts w:ascii="Lucida Sans" w:hAnsi="Lucida Sans" w:cs="Arial"/>
                <w:b/>
                <w:bCs/>
              </w:rPr>
            </w:pPr>
            <w:r>
              <w:rPr>
                <w:rFonts w:cs="Arial" w:ascii="Lucida Sans" w:hAnsi="Lucida Sans"/>
                <w:b/>
                <w:bCs/>
              </w:rPr>
              <w:t>Jan 2001</w:t>
            </w:r>
          </w:p>
        </w:tc>
        <w:tc>
          <w:tcPr>
            <w:tcW w:w="1280" w:type="dxa"/>
            <w:tcBorders>
              <w:top w:val="single" w:sz="12" w:space="0" w:color="0000FF"/>
              <w:start w:val="single" w:sz="12" w:space="0" w:color="000000"/>
              <w:bottom w:val="single" w:sz="12" w:space="0" w:color="000000"/>
              <w:end w:val="single" w:sz="12" w:space="0" w:color="000000"/>
            </w:tcBorders>
            <w:shd w:fill="E0E0E0" w:val="clear"/>
            <w:vAlign w:val="bottom"/>
          </w:tcPr>
          <w:p>
            <w:pPr>
              <w:pStyle w:val="Normal"/>
              <w:jc w:val="center"/>
              <w:rPr>
                <w:rFonts w:ascii="Lucida Sans" w:hAnsi="Lucida Sans" w:cs="Arial"/>
                <w:b/>
                <w:bCs/>
              </w:rPr>
            </w:pPr>
            <w:r>
              <w:rPr>
                <w:rFonts w:cs="Arial" w:ascii="Lucida Sans" w:hAnsi="Lucida Sans"/>
                <w:b/>
                <w:bCs/>
              </w:rPr>
              <w:t>Dec 2000</w:t>
            </w:r>
          </w:p>
        </w:tc>
        <w:tc>
          <w:tcPr>
            <w:tcW w:w="1280" w:type="dxa"/>
            <w:tcBorders>
              <w:top w:val="single" w:sz="12" w:space="0" w:color="0000FF"/>
              <w:start w:val="single" w:sz="12" w:space="0" w:color="000000"/>
              <w:bottom w:val="single" w:sz="12" w:space="0" w:color="000000"/>
              <w:end w:val="single" w:sz="12" w:space="0" w:color="000000"/>
            </w:tcBorders>
            <w:shd w:fill="E0E0E0" w:val="clear"/>
            <w:vAlign w:val="bottom"/>
          </w:tcPr>
          <w:p>
            <w:pPr>
              <w:pStyle w:val="Normal"/>
              <w:jc w:val="center"/>
              <w:rPr>
                <w:rFonts w:ascii="Lucida Sans" w:hAnsi="Lucida Sans" w:cs="Arial"/>
                <w:b/>
                <w:bCs/>
              </w:rPr>
            </w:pPr>
            <w:r>
              <w:rPr>
                <w:rFonts w:cs="Arial" w:ascii="Lucida Sans" w:hAnsi="Lucida Sans"/>
                <w:b/>
                <w:bCs/>
              </w:rPr>
              <w:t>Nov 2000</w:t>
            </w:r>
          </w:p>
        </w:tc>
        <w:tc>
          <w:tcPr>
            <w:tcW w:w="1280" w:type="dxa"/>
            <w:tcBorders>
              <w:top w:val="single" w:sz="12" w:space="0" w:color="0000FF"/>
              <w:start w:val="single" w:sz="12" w:space="0" w:color="000000"/>
              <w:bottom w:val="single" w:sz="12" w:space="0" w:color="000000"/>
              <w:end w:val="single" w:sz="12" w:space="0" w:color="000000"/>
            </w:tcBorders>
            <w:shd w:fill="E0E0E0" w:val="clear"/>
            <w:vAlign w:val="bottom"/>
          </w:tcPr>
          <w:p>
            <w:pPr>
              <w:pStyle w:val="Normal"/>
              <w:jc w:val="center"/>
              <w:rPr>
                <w:rFonts w:ascii="Lucida Sans" w:hAnsi="Lucida Sans" w:cs="Arial"/>
                <w:b/>
                <w:bCs/>
              </w:rPr>
            </w:pPr>
            <w:r>
              <w:rPr>
                <w:rFonts w:cs="Arial" w:ascii="Lucida Sans" w:hAnsi="Lucida Sans"/>
                <w:b/>
                <w:bCs/>
              </w:rPr>
              <w:t>Oct 2000</w:t>
            </w:r>
          </w:p>
        </w:tc>
        <w:tc>
          <w:tcPr>
            <w:tcW w:w="1280" w:type="dxa"/>
            <w:tcBorders>
              <w:top w:val="single" w:sz="12" w:space="0" w:color="0000FF"/>
              <w:start w:val="single" w:sz="12" w:space="0" w:color="000000"/>
              <w:bottom w:val="single" w:sz="12" w:space="0" w:color="000000"/>
              <w:end w:val="single" w:sz="12" w:space="0" w:color="000000"/>
            </w:tcBorders>
            <w:shd w:fill="E0E0E0" w:val="clear"/>
            <w:vAlign w:val="bottom"/>
          </w:tcPr>
          <w:p>
            <w:pPr>
              <w:pStyle w:val="Normal"/>
              <w:jc w:val="center"/>
              <w:rPr>
                <w:rFonts w:ascii="Lucida Sans" w:hAnsi="Lucida Sans" w:cs="Arial"/>
                <w:b/>
                <w:bCs/>
              </w:rPr>
            </w:pPr>
            <w:r>
              <w:rPr>
                <w:rFonts w:cs="Arial" w:ascii="Lucida Sans" w:hAnsi="Lucida Sans"/>
                <w:b/>
                <w:bCs/>
              </w:rPr>
              <w:t>Sept 2000</w:t>
            </w:r>
          </w:p>
        </w:tc>
        <w:tc>
          <w:tcPr>
            <w:tcW w:w="1280" w:type="dxa"/>
            <w:tcBorders>
              <w:top w:val="single" w:sz="12" w:space="0" w:color="0000FF"/>
              <w:start w:val="single" w:sz="12" w:space="0" w:color="000000"/>
              <w:bottom w:val="single" w:sz="12" w:space="0" w:color="000000"/>
              <w:end w:val="single" w:sz="12" w:space="0" w:color="000000"/>
            </w:tcBorders>
            <w:shd w:fill="E0E0E0" w:val="clear"/>
            <w:vAlign w:val="bottom"/>
          </w:tcPr>
          <w:p>
            <w:pPr>
              <w:pStyle w:val="Normal"/>
              <w:jc w:val="center"/>
              <w:rPr>
                <w:rFonts w:ascii="Lucida Sans" w:hAnsi="Lucida Sans" w:cs="Arial"/>
                <w:b/>
                <w:bCs/>
              </w:rPr>
            </w:pPr>
            <w:r>
              <w:rPr>
                <w:rFonts w:cs="Arial" w:ascii="Lucida Sans" w:hAnsi="Lucida Sans"/>
                <w:b/>
                <w:bCs/>
              </w:rPr>
              <w:t>Aug 2000</w:t>
            </w:r>
          </w:p>
        </w:tc>
        <w:tc>
          <w:tcPr>
            <w:tcW w:w="1280" w:type="dxa"/>
            <w:tcBorders>
              <w:top w:val="single" w:sz="12" w:space="0" w:color="0000FF"/>
              <w:start w:val="single" w:sz="12" w:space="0" w:color="000000"/>
              <w:bottom w:val="single" w:sz="12" w:space="0" w:color="000000"/>
              <w:end w:val="single" w:sz="12" w:space="0" w:color="0000FF"/>
            </w:tcBorders>
            <w:shd w:fill="E0E0E0" w:val="clear"/>
            <w:vAlign w:val="bottom"/>
          </w:tcPr>
          <w:p>
            <w:pPr>
              <w:pStyle w:val="Normal"/>
              <w:jc w:val="center"/>
              <w:rPr>
                <w:rFonts w:ascii="Lucida Sans" w:hAnsi="Lucida Sans" w:cs="Arial"/>
                <w:b/>
                <w:bCs/>
              </w:rPr>
            </w:pPr>
            <w:r>
              <w:rPr>
                <w:rFonts w:cs="Arial" w:ascii="Lucida Sans" w:hAnsi="Lucida Sans"/>
                <w:b/>
                <w:bCs/>
              </w:rPr>
              <w:t>July 2000</w:t>
            </w:r>
          </w:p>
        </w:tc>
      </w:tr>
      <w:tr>
        <w:trPr>
          <w:trHeight w:val="264" w:hRule="atLeast"/>
        </w:trPr>
        <w:tc>
          <w:tcPr>
            <w:tcW w:w="1280" w:type="dxa"/>
            <w:tcBorders>
              <w:top w:val="single" w:sz="12" w:space="0" w:color="000000"/>
              <w:start w:val="single" w:sz="12" w:space="0" w:color="0000FF"/>
              <w:bottom w:val="single" w:sz="12" w:space="0" w:color="0000FF"/>
              <w:end w:val="single" w:sz="12" w:space="0" w:color="000000"/>
            </w:tcBorders>
            <w:vAlign w:val="bottom"/>
          </w:tcPr>
          <w:p>
            <w:pPr>
              <w:pStyle w:val="Normal"/>
              <w:jc w:val="center"/>
              <w:rPr/>
            </w:pPr>
            <w:r>
              <w:rPr/>
              <w:t>.50</w:t>
            </w:r>
          </w:p>
        </w:tc>
        <w:tc>
          <w:tcPr>
            <w:tcW w:w="1280" w:type="dxa"/>
            <w:tcBorders>
              <w:top w:val="single" w:sz="12" w:space="0" w:color="000000"/>
              <w:start w:val="single" w:sz="12" w:space="0" w:color="000000"/>
              <w:bottom w:val="single" w:sz="12" w:space="0" w:color="0000FF"/>
              <w:end w:val="single" w:sz="12" w:space="0" w:color="000000"/>
            </w:tcBorders>
            <w:vAlign w:val="bottom"/>
          </w:tcPr>
          <w:p>
            <w:pPr>
              <w:pStyle w:val="Normal"/>
              <w:jc w:val="center"/>
              <w:rPr/>
            </w:pPr>
            <w:r>
              <w:rPr/>
              <w:t>.03</w:t>
            </w:r>
          </w:p>
        </w:tc>
        <w:tc>
          <w:tcPr>
            <w:tcW w:w="1280" w:type="dxa"/>
            <w:tcBorders>
              <w:top w:val="single" w:sz="12" w:space="0" w:color="000000"/>
              <w:start w:val="single" w:sz="12" w:space="0" w:color="000000"/>
              <w:bottom w:val="single" w:sz="12" w:space="0" w:color="0000FF"/>
              <w:end w:val="single" w:sz="12" w:space="0" w:color="000000"/>
            </w:tcBorders>
            <w:vAlign w:val="bottom"/>
          </w:tcPr>
          <w:p>
            <w:pPr>
              <w:pStyle w:val="Normal"/>
              <w:jc w:val="center"/>
              <w:rPr/>
            </w:pPr>
            <w:r>
              <w:rPr/>
              <w:t>.20</w:t>
            </w:r>
          </w:p>
        </w:tc>
        <w:tc>
          <w:tcPr>
            <w:tcW w:w="1280" w:type="dxa"/>
            <w:tcBorders>
              <w:top w:val="single" w:sz="12" w:space="0" w:color="000000"/>
              <w:start w:val="single" w:sz="12" w:space="0" w:color="000000"/>
              <w:bottom w:val="single" w:sz="12" w:space="0" w:color="0000FF"/>
              <w:end w:val="single" w:sz="12" w:space="0" w:color="000000"/>
            </w:tcBorders>
            <w:vAlign w:val="bottom"/>
          </w:tcPr>
          <w:p>
            <w:pPr>
              <w:pStyle w:val="Normal"/>
              <w:jc w:val="center"/>
              <w:rPr/>
            </w:pPr>
            <w:r>
              <w:rPr/>
              <w:t>.21</w:t>
            </w:r>
          </w:p>
        </w:tc>
        <w:tc>
          <w:tcPr>
            <w:tcW w:w="1280" w:type="dxa"/>
            <w:tcBorders>
              <w:top w:val="single" w:sz="12" w:space="0" w:color="000000"/>
              <w:start w:val="single" w:sz="12" w:space="0" w:color="000000"/>
              <w:bottom w:val="single" w:sz="12" w:space="0" w:color="0000FF"/>
              <w:end w:val="single" w:sz="12" w:space="0" w:color="000000"/>
            </w:tcBorders>
            <w:vAlign w:val="bottom"/>
          </w:tcPr>
          <w:p>
            <w:pPr>
              <w:pStyle w:val="Normal"/>
              <w:jc w:val="center"/>
              <w:rPr/>
            </w:pPr>
            <w:r>
              <w:rPr/>
              <w:t>.26</w:t>
            </w:r>
          </w:p>
        </w:tc>
        <w:tc>
          <w:tcPr>
            <w:tcW w:w="1280" w:type="dxa"/>
            <w:tcBorders>
              <w:top w:val="single" w:sz="12" w:space="0" w:color="000000"/>
              <w:start w:val="single" w:sz="12" w:space="0" w:color="000000"/>
              <w:bottom w:val="single" w:sz="12" w:space="0" w:color="0000FF"/>
              <w:end w:val="single" w:sz="12" w:space="0" w:color="000000"/>
            </w:tcBorders>
            <w:vAlign w:val="bottom"/>
          </w:tcPr>
          <w:p>
            <w:pPr>
              <w:pStyle w:val="Normal"/>
              <w:jc w:val="center"/>
              <w:rPr/>
            </w:pPr>
            <w:r>
              <w:rPr/>
              <w:t>.47</w:t>
            </w:r>
          </w:p>
        </w:tc>
        <w:tc>
          <w:tcPr>
            <w:tcW w:w="1280" w:type="dxa"/>
            <w:tcBorders>
              <w:top w:val="single" w:sz="12" w:space="0" w:color="000000"/>
              <w:start w:val="single" w:sz="12" w:space="0" w:color="000000"/>
              <w:bottom w:val="single" w:sz="12" w:space="0" w:color="0000FF"/>
              <w:end w:val="single" w:sz="12" w:space="0" w:color="0000FF"/>
            </w:tcBorders>
            <w:vAlign w:val="bottom"/>
          </w:tcPr>
          <w:p>
            <w:pPr>
              <w:pStyle w:val="Normal"/>
              <w:jc w:val="center"/>
              <w:rPr/>
            </w:pPr>
            <w:r>
              <w:rPr/>
              <w:t>.40</w:t>
            </w:r>
          </w:p>
        </w:tc>
      </w:tr>
    </w:tbl>
    <w:p>
      <w:pPr>
        <w:pStyle w:val="Footer"/>
        <w:tabs>
          <w:tab w:val="clear" w:pos="4320"/>
          <w:tab w:val="clear" w:pos="8640"/>
        </w:tabs>
        <w:jc w:val="center"/>
        <w:rPr/>
      </w:pPr>
      <w:r>
        <w:rPr/>
      </w:r>
    </w:p>
    <w:tbl>
      <w:tblPr>
        <w:tblW w:w="7680" w:type="dxa"/>
        <w:jc w:val="start"/>
        <w:tblInd w:w="471" w:type="dxa"/>
        <w:tblLayout w:type="fixed"/>
        <w:tblCellMar>
          <w:top w:w="12" w:type="dxa"/>
          <w:start w:w="12" w:type="dxa"/>
          <w:bottom w:w="0" w:type="dxa"/>
          <w:end w:w="12" w:type="dxa"/>
        </w:tblCellMar>
      </w:tblPr>
      <w:tblGrid>
        <w:gridCol w:w="1280"/>
        <w:gridCol w:w="1280"/>
        <w:gridCol w:w="1280"/>
        <w:gridCol w:w="1280"/>
        <w:gridCol w:w="1280"/>
        <w:gridCol w:w="1280"/>
      </w:tblGrid>
      <w:tr>
        <w:trPr>
          <w:trHeight w:val="264" w:hRule="atLeast"/>
        </w:trPr>
        <w:tc>
          <w:tcPr>
            <w:tcW w:w="1280" w:type="dxa"/>
            <w:tcBorders>
              <w:top w:val="single" w:sz="12" w:space="0" w:color="0000FF"/>
              <w:start w:val="single" w:sz="12" w:space="0" w:color="0000FF"/>
              <w:bottom w:val="single" w:sz="12" w:space="0" w:color="000000"/>
              <w:end w:val="single" w:sz="12" w:space="0" w:color="000000"/>
            </w:tcBorders>
            <w:shd w:fill="E0E0E0" w:val="clear"/>
            <w:vAlign w:val="bottom"/>
          </w:tcPr>
          <w:p>
            <w:pPr>
              <w:pStyle w:val="Normal"/>
              <w:jc w:val="center"/>
              <w:rPr>
                <w:rFonts w:ascii="Lucida Sans" w:hAnsi="Lucida Sans" w:cs="Arial"/>
                <w:b/>
                <w:bCs/>
              </w:rPr>
            </w:pPr>
            <w:r>
              <w:rPr>
                <w:rFonts w:cs="Arial" w:ascii="Lucida Sans" w:hAnsi="Lucida Sans"/>
                <w:b/>
                <w:bCs/>
              </w:rPr>
              <w:t>June 2000</w:t>
            </w:r>
          </w:p>
        </w:tc>
        <w:tc>
          <w:tcPr>
            <w:tcW w:w="1280" w:type="dxa"/>
            <w:tcBorders>
              <w:top w:val="single" w:sz="12" w:space="0" w:color="0000FF"/>
              <w:start w:val="single" w:sz="12" w:space="0" w:color="000000"/>
              <w:bottom w:val="single" w:sz="12" w:space="0" w:color="000000"/>
              <w:end w:val="single" w:sz="12" w:space="0" w:color="000000"/>
            </w:tcBorders>
            <w:shd w:fill="E0E0E0" w:val="clear"/>
            <w:vAlign w:val="bottom"/>
          </w:tcPr>
          <w:p>
            <w:pPr>
              <w:pStyle w:val="Normal"/>
              <w:jc w:val="center"/>
              <w:rPr>
                <w:rFonts w:ascii="Lucida Sans" w:hAnsi="Lucida Sans" w:cs="Arial"/>
                <w:b/>
                <w:bCs/>
              </w:rPr>
            </w:pPr>
            <w:r>
              <w:rPr>
                <w:rFonts w:cs="Arial" w:ascii="Lucida Sans" w:hAnsi="Lucida Sans"/>
                <w:b/>
                <w:bCs/>
              </w:rPr>
              <w:t>May 2000</w:t>
            </w:r>
          </w:p>
        </w:tc>
        <w:tc>
          <w:tcPr>
            <w:tcW w:w="1280" w:type="dxa"/>
            <w:tcBorders>
              <w:top w:val="single" w:sz="12" w:space="0" w:color="0000FF"/>
              <w:start w:val="single" w:sz="12" w:space="0" w:color="000000"/>
              <w:bottom w:val="single" w:sz="12" w:space="0" w:color="000000"/>
              <w:end w:val="single" w:sz="12" w:space="0" w:color="000000"/>
            </w:tcBorders>
            <w:shd w:fill="E0E0E0" w:val="clear"/>
            <w:vAlign w:val="bottom"/>
          </w:tcPr>
          <w:p>
            <w:pPr>
              <w:pStyle w:val="Normal"/>
              <w:jc w:val="center"/>
              <w:rPr>
                <w:rFonts w:ascii="Lucida Sans" w:hAnsi="Lucida Sans" w:cs="Arial"/>
                <w:b/>
                <w:bCs/>
              </w:rPr>
            </w:pPr>
            <w:r>
              <w:rPr>
                <w:rFonts w:cs="Arial" w:ascii="Lucida Sans" w:hAnsi="Lucida Sans"/>
                <w:b/>
                <w:bCs/>
              </w:rPr>
              <w:t>April 2000</w:t>
            </w:r>
          </w:p>
        </w:tc>
        <w:tc>
          <w:tcPr>
            <w:tcW w:w="1280" w:type="dxa"/>
            <w:tcBorders>
              <w:top w:val="single" w:sz="12" w:space="0" w:color="0000FF"/>
              <w:start w:val="single" w:sz="12" w:space="0" w:color="000000"/>
              <w:bottom w:val="single" w:sz="12" w:space="0" w:color="000000"/>
              <w:end w:val="single" w:sz="12" w:space="0" w:color="000000"/>
            </w:tcBorders>
            <w:shd w:fill="E0E0E0" w:val="clear"/>
            <w:vAlign w:val="bottom"/>
          </w:tcPr>
          <w:p>
            <w:pPr>
              <w:pStyle w:val="Normal"/>
              <w:jc w:val="center"/>
              <w:rPr>
                <w:rFonts w:ascii="Lucida Sans" w:hAnsi="Lucida Sans" w:cs="Arial"/>
                <w:b/>
                <w:bCs/>
              </w:rPr>
            </w:pPr>
            <w:r>
              <w:rPr>
                <w:rFonts w:cs="Arial" w:ascii="Lucida Sans" w:hAnsi="Lucida Sans"/>
                <w:b/>
                <w:bCs/>
              </w:rPr>
              <w:t>Mar 2000</w:t>
            </w:r>
          </w:p>
        </w:tc>
        <w:tc>
          <w:tcPr>
            <w:tcW w:w="1280" w:type="dxa"/>
            <w:tcBorders>
              <w:top w:val="single" w:sz="12" w:space="0" w:color="0000FF"/>
              <w:start w:val="single" w:sz="12" w:space="0" w:color="000000"/>
              <w:bottom w:val="single" w:sz="12" w:space="0" w:color="000000"/>
              <w:end w:val="single" w:sz="12" w:space="0" w:color="000000"/>
            </w:tcBorders>
            <w:shd w:fill="E0E0E0" w:val="clear"/>
            <w:vAlign w:val="bottom"/>
          </w:tcPr>
          <w:p>
            <w:pPr>
              <w:pStyle w:val="Normal"/>
              <w:jc w:val="center"/>
              <w:rPr>
                <w:rFonts w:ascii="Lucida Sans" w:hAnsi="Lucida Sans" w:cs="Arial"/>
                <w:b/>
                <w:bCs/>
              </w:rPr>
            </w:pPr>
            <w:r>
              <w:rPr>
                <w:rFonts w:cs="Arial" w:ascii="Lucida Sans" w:hAnsi="Lucida Sans"/>
                <w:b/>
                <w:bCs/>
              </w:rPr>
              <w:t>Feb 2000</w:t>
            </w:r>
          </w:p>
        </w:tc>
        <w:tc>
          <w:tcPr>
            <w:tcW w:w="1280" w:type="dxa"/>
            <w:tcBorders>
              <w:top w:val="single" w:sz="12" w:space="0" w:color="0000FF"/>
              <w:start w:val="single" w:sz="12" w:space="0" w:color="000000"/>
              <w:bottom w:val="single" w:sz="12" w:space="0" w:color="000000"/>
              <w:end w:val="single" w:sz="12" w:space="0" w:color="0000FF"/>
            </w:tcBorders>
            <w:shd w:fill="E0E0E0" w:val="clear"/>
            <w:vAlign w:val="bottom"/>
          </w:tcPr>
          <w:p>
            <w:pPr>
              <w:pStyle w:val="Normal"/>
              <w:jc w:val="center"/>
              <w:rPr>
                <w:rFonts w:ascii="Lucida Sans" w:hAnsi="Lucida Sans" w:cs="Arial"/>
                <w:b/>
                <w:bCs/>
              </w:rPr>
            </w:pPr>
            <w:r>
              <w:rPr>
                <w:rFonts w:cs="Arial" w:ascii="Lucida Sans" w:hAnsi="Lucida Sans"/>
                <w:b/>
                <w:bCs/>
              </w:rPr>
              <w:t>Jan 2000</w:t>
            </w:r>
          </w:p>
        </w:tc>
      </w:tr>
      <w:tr>
        <w:trPr>
          <w:trHeight w:val="264" w:hRule="atLeast"/>
        </w:trPr>
        <w:tc>
          <w:tcPr>
            <w:tcW w:w="1280" w:type="dxa"/>
            <w:tcBorders>
              <w:top w:val="single" w:sz="12" w:space="0" w:color="000000"/>
              <w:start w:val="single" w:sz="12" w:space="0" w:color="0000FF"/>
              <w:bottom w:val="single" w:sz="12" w:space="0" w:color="0000FF"/>
              <w:end w:val="single" w:sz="12" w:space="0" w:color="000000"/>
            </w:tcBorders>
            <w:vAlign w:val="bottom"/>
          </w:tcPr>
          <w:p>
            <w:pPr>
              <w:pStyle w:val="Normal"/>
              <w:jc w:val="center"/>
              <w:rPr/>
            </w:pPr>
            <w:r>
              <w:rPr/>
              <w:t>.64</w:t>
            </w:r>
          </w:p>
        </w:tc>
        <w:tc>
          <w:tcPr>
            <w:tcW w:w="1280" w:type="dxa"/>
            <w:tcBorders>
              <w:top w:val="single" w:sz="12" w:space="0" w:color="000000"/>
              <w:start w:val="single" w:sz="12" w:space="0" w:color="000000"/>
              <w:bottom w:val="single" w:sz="12" w:space="0" w:color="0000FF"/>
              <w:end w:val="single" w:sz="12" w:space="0" w:color="000000"/>
            </w:tcBorders>
            <w:vAlign w:val="bottom"/>
          </w:tcPr>
          <w:p>
            <w:pPr>
              <w:pStyle w:val="Normal"/>
              <w:jc w:val="center"/>
              <w:rPr/>
            </w:pPr>
            <w:r>
              <w:rPr/>
              <w:t>.24</w:t>
            </w:r>
          </w:p>
        </w:tc>
        <w:tc>
          <w:tcPr>
            <w:tcW w:w="1280" w:type="dxa"/>
            <w:tcBorders>
              <w:top w:val="single" w:sz="12" w:space="0" w:color="000000"/>
              <w:start w:val="single" w:sz="12" w:space="0" w:color="000000"/>
              <w:bottom w:val="single" w:sz="12" w:space="0" w:color="0000FF"/>
              <w:end w:val="single" w:sz="12" w:space="0" w:color="000000"/>
            </w:tcBorders>
            <w:vAlign w:val="bottom"/>
          </w:tcPr>
          <w:p>
            <w:pPr>
              <w:pStyle w:val="Normal"/>
              <w:jc w:val="center"/>
              <w:rPr/>
            </w:pPr>
            <w:r>
              <w:rPr/>
              <w:t>.01</w:t>
            </w:r>
          </w:p>
        </w:tc>
        <w:tc>
          <w:tcPr>
            <w:tcW w:w="1280" w:type="dxa"/>
            <w:tcBorders>
              <w:top w:val="single" w:sz="12" w:space="0" w:color="000000"/>
              <w:start w:val="single" w:sz="12" w:space="0" w:color="000000"/>
              <w:bottom w:val="single" w:sz="12" w:space="0" w:color="0000FF"/>
              <w:end w:val="single" w:sz="12" w:space="0" w:color="000000"/>
            </w:tcBorders>
            <w:vAlign w:val="bottom"/>
          </w:tcPr>
          <w:p>
            <w:pPr>
              <w:pStyle w:val="Normal"/>
              <w:jc w:val="center"/>
              <w:rPr/>
            </w:pPr>
            <w:r>
              <w:rPr/>
              <w:t>negative</w:t>
            </w:r>
          </w:p>
        </w:tc>
        <w:tc>
          <w:tcPr>
            <w:tcW w:w="1280" w:type="dxa"/>
            <w:tcBorders>
              <w:top w:val="single" w:sz="12" w:space="0" w:color="000000"/>
              <w:start w:val="single" w:sz="12" w:space="0" w:color="000000"/>
              <w:bottom w:val="single" w:sz="12" w:space="0" w:color="0000FF"/>
              <w:end w:val="single" w:sz="12" w:space="0" w:color="000000"/>
            </w:tcBorders>
            <w:vAlign w:val="bottom"/>
          </w:tcPr>
          <w:p>
            <w:pPr>
              <w:pStyle w:val="Normal"/>
              <w:jc w:val="center"/>
              <w:rPr/>
            </w:pPr>
            <w:r>
              <w:rPr/>
              <w:t>.05</w:t>
            </w:r>
          </w:p>
        </w:tc>
        <w:tc>
          <w:tcPr>
            <w:tcW w:w="1280" w:type="dxa"/>
            <w:tcBorders>
              <w:top w:val="single" w:sz="12" w:space="0" w:color="000000"/>
              <w:start w:val="single" w:sz="12" w:space="0" w:color="000000"/>
              <w:bottom w:val="single" w:sz="12" w:space="0" w:color="0000FF"/>
              <w:end w:val="single" w:sz="12" w:space="0" w:color="0000FF"/>
            </w:tcBorders>
            <w:vAlign w:val="bottom"/>
          </w:tcPr>
          <w:p>
            <w:pPr>
              <w:pStyle w:val="Normal"/>
              <w:jc w:val="center"/>
              <w:rPr/>
            </w:pPr>
            <w:r>
              <w:rPr/>
              <w:t>.12</w:t>
            </w:r>
          </w:p>
        </w:tc>
      </w:tr>
    </w:tbl>
    <w:p>
      <w:pPr>
        <w:pStyle w:val="Footer"/>
        <w:tabs>
          <w:tab w:val="clear" w:pos="4320"/>
          <w:tab w:val="clear" w:pos="8640"/>
        </w:tabs>
        <w:rPr/>
      </w:pPr>
      <w:r>
        <w:rPr/>
      </w:r>
    </w:p>
    <w:p>
      <w:pPr>
        <w:pStyle w:val="Footer"/>
        <w:tabs>
          <w:tab w:val="clear" w:pos="4320"/>
          <w:tab w:val="clear" w:pos="8640"/>
        </w:tabs>
        <w:rPr/>
      </w:pPr>
      <w:r>
        <w:rPr/>
        <w:t xml:space="preserve">Note that, because the model uses </w:t>
      </w:r>
      <w:r>
        <w:rPr>
          <w:u w:val="single"/>
        </w:rPr>
        <w:t>percentages</w:t>
      </w:r>
      <w:r>
        <w:rPr/>
        <w:t xml:space="preserve">, it doesn’t necessarily show the </w:t>
      </w:r>
      <w:r>
        <w:rPr>
          <w:u w:val="single"/>
        </w:rPr>
        <w:t>absolute</w:t>
      </w:r>
      <w:r>
        <w:rPr/>
        <w:t xml:space="preserve"> impact that market power exercise has on the market, according to this approach. </w:t>
      </w:r>
    </w:p>
    <w:p>
      <w:pPr>
        <w:pStyle w:val="Footer"/>
        <w:tabs>
          <w:tab w:val="clear" w:pos="4320"/>
          <w:tab w:val="clear" w:pos="8640"/>
        </w:tabs>
        <w:rPr>
          <w:sz w:val="16"/>
        </w:rPr>
      </w:pPr>
      <w:r>
        <w:rPr>
          <w:sz w:val="16"/>
        </w:rPr>
      </w:r>
    </w:p>
    <w:p>
      <w:pPr>
        <w:pStyle w:val="Footer"/>
        <w:tabs>
          <w:tab w:val="clear" w:pos="4320"/>
          <w:tab w:val="clear" w:pos="8640"/>
        </w:tabs>
        <w:rPr/>
      </w:pPr>
      <w:r>
        <w:rPr/>
        <w:t>For example, the MPI was higher in June 2000 than in January 2001.  However, according to DMA, because both actual market revenues and calculated competitive market revenues were much higher in January 2001 than in June 2000, the dollar impact from market-power exercise was greater in January 2001.</w:t>
      </w:r>
    </w:p>
    <w:p>
      <w:pPr>
        <w:pStyle w:val="Footer"/>
        <w:tabs>
          <w:tab w:val="clear" w:pos="4320"/>
          <w:tab w:val="clear" w:pos="8640"/>
        </w:tabs>
        <w:rPr>
          <w:sz w:val="16"/>
        </w:rPr>
      </w:pPr>
      <w:r>
        <w:rPr>
          <w:sz w:val="16"/>
        </w:rPr>
      </w:r>
    </w:p>
    <w:p>
      <w:pPr>
        <w:pStyle w:val="Footer"/>
        <w:tabs>
          <w:tab w:val="clear" w:pos="4320"/>
          <w:tab w:val="clear" w:pos="8640"/>
        </w:tabs>
        <w:rPr/>
      </w:pPr>
      <w:r>
        <w:rPr>
          <w:rFonts w:cs="Lucida Sans" w:ascii="Lucida Sans" w:hAnsi="Lucida Sans"/>
          <w:b/>
          <w:bCs/>
        </w:rPr>
        <w:t>Dr. Wolak</w:t>
      </w:r>
      <w:r>
        <w:rPr/>
        <w:t xml:space="preserve"> and </w:t>
      </w:r>
      <w:r>
        <w:rPr>
          <w:rFonts w:cs="Lucida Sans" w:ascii="Lucida Sans" w:hAnsi="Lucida Sans"/>
          <w:b/>
          <w:bCs/>
        </w:rPr>
        <w:t>Mr. Nordhaus</w:t>
      </w:r>
      <w:r>
        <w:rPr/>
        <w:t xml:space="preserve"> said they found this presentation most enlightening and thanked the DMA staff for their hard work putting the analysis together.  The DMA speaker left the audience laughing with a tongue-in-cheek remark at the end of the presentation that he was sure that all these issues would be resolved by next month.</w:t>
      </w:r>
    </w:p>
    <w:p>
      <w:pPr>
        <w:pStyle w:val="Footer"/>
        <w:tabs>
          <w:tab w:val="clear" w:pos="4320"/>
          <w:tab w:val="clear" w:pos="8640"/>
        </w:tabs>
        <w:rPr/>
      </w:pPr>
      <w:r>
        <w:rPr/>
      </w:r>
    </w:p>
    <w:p>
      <w:pPr>
        <w:pStyle w:val="Heading3"/>
        <w:pBdr>
          <w:top w:val="single" w:sz="12" w:space="1" w:color="000000"/>
          <w:left w:val="single" w:sz="12" w:space="4" w:color="000000"/>
          <w:bottom w:val="single" w:sz="12" w:space="2" w:color="000000"/>
          <w:right w:val="single" w:sz="12" w:space="4" w:color="000000"/>
        </w:pBdr>
        <w:ind w:hanging="0" w:start="0"/>
        <w:rPr>
          <w:rFonts w:ascii="Lucida Sans" w:hAnsi="Lucida Sans" w:cs="Lucida Sans Unicode"/>
        </w:rPr>
      </w:pPr>
      <w:r>
        <w:rPr>
          <w:rFonts w:cs="Lucida Sans Unicode" w:ascii="Lucida Sans" w:hAnsi="Lucida Sans"/>
        </w:rPr>
        <w:t>ISO market power mitigation proposal</w:t>
      </w:r>
    </w:p>
    <w:p>
      <w:pPr>
        <w:pStyle w:val="Footer"/>
        <w:tabs>
          <w:tab w:val="clear" w:pos="4320"/>
          <w:tab w:val="clear" w:pos="8640"/>
        </w:tabs>
        <w:rPr/>
      </w:pPr>
      <w:r>
        <w:rPr/>
        <w:t>The DMA presented the ISO’s draft Market Power Monitoring and Mitigation Proposal that was discussed at the FERC staff January 23</w:t>
      </w:r>
      <w:r>
        <w:rPr>
          <w:vertAlign w:val="superscript"/>
        </w:rPr>
        <w:t>rd</w:t>
      </w:r>
      <w:r>
        <w:rPr/>
        <w:t xml:space="preserve"> technical conference.  The $150 “soft cap” market structure is set to expire on May 1</w:t>
      </w:r>
      <w:r>
        <w:rPr>
          <w:vertAlign w:val="superscript"/>
        </w:rPr>
        <w:t>st</w:t>
      </w:r>
      <w:r>
        <w:rPr/>
        <w:t>, and FERC staff must file a proposal for a successor framework by March 1</w:t>
      </w:r>
      <w:r>
        <w:rPr>
          <w:vertAlign w:val="superscript"/>
        </w:rPr>
        <w:t>st</w:t>
      </w:r>
      <w:r>
        <w:rPr/>
        <w:t>.</w:t>
      </w:r>
    </w:p>
    <w:p>
      <w:pPr>
        <w:pStyle w:val="Footer"/>
        <w:tabs>
          <w:tab w:val="clear" w:pos="4320"/>
          <w:tab w:val="clear" w:pos="8640"/>
        </w:tabs>
        <w:rPr>
          <w:sz w:val="16"/>
        </w:rPr>
      </w:pPr>
      <w:r>
        <w:rPr>
          <w:sz w:val="16"/>
        </w:rPr>
      </w:r>
    </w:p>
    <w:p>
      <w:pPr>
        <w:pStyle w:val="Footer"/>
        <w:tabs>
          <w:tab w:val="clear" w:pos="4320"/>
          <w:tab w:val="clear" w:pos="8640"/>
        </w:tabs>
        <w:rPr/>
      </w:pPr>
      <w:r>
        <w:rPr>
          <w:b/>
          <w:bCs/>
          <w:i/>
          <w:iCs/>
          <w:u w:val="single"/>
        </w:rPr>
        <w:t>New information about that process:</w:t>
      </w:r>
      <w:r>
        <w:rPr>
          <w:b/>
          <w:bCs/>
          <w:i/>
          <w:iCs/>
        </w:rPr>
        <w:t xml:space="preserve">  DMA said that FERC will allow “reply comments” on the FERC staff submittal (also indicating that the staff recommendation will be made public, which was not clear before).</w:t>
      </w:r>
    </w:p>
    <w:p>
      <w:pPr>
        <w:pStyle w:val="Footer"/>
        <w:tabs>
          <w:tab w:val="clear" w:pos="4320"/>
          <w:tab w:val="clear" w:pos="8640"/>
        </w:tabs>
        <w:rPr>
          <w:b/>
          <w:bCs/>
          <w:i/>
          <w:i/>
          <w:iCs/>
          <w:sz w:val="16"/>
        </w:rPr>
      </w:pPr>
      <w:r>
        <w:rPr>
          <w:b/>
          <w:bCs/>
          <w:i/>
          <w:iCs/>
          <w:sz w:val="16"/>
        </w:rPr>
      </w:r>
    </w:p>
    <w:p>
      <w:pPr>
        <w:pStyle w:val="Footer"/>
        <w:tabs>
          <w:tab w:val="clear" w:pos="4320"/>
          <w:tab w:val="clear" w:pos="8640"/>
        </w:tabs>
        <w:rPr/>
      </w:pPr>
      <w:r>
        <w:rPr/>
        <w:t xml:space="preserve">Rather than go over all the details of that proposal, I will refer you to our summary in the </w:t>
      </w:r>
      <w:r>
        <w:rPr>
          <w:b/>
          <w:bCs/>
          <w:i/>
          <w:iCs/>
        </w:rPr>
        <w:t>January 19</w:t>
      </w:r>
      <w:r>
        <w:rPr>
          <w:b/>
          <w:bCs/>
          <w:i/>
          <w:iCs/>
          <w:vertAlign w:val="superscript"/>
        </w:rPr>
        <w:t>th</w:t>
      </w:r>
      <w:r>
        <w:rPr>
          <w:b/>
          <w:bCs/>
          <w:i/>
          <w:iCs/>
        </w:rPr>
        <w:t>/22</w:t>
      </w:r>
      <w:r>
        <w:rPr>
          <w:b/>
          <w:bCs/>
          <w:i/>
          <w:iCs/>
          <w:vertAlign w:val="superscript"/>
        </w:rPr>
        <w:t>nd</w:t>
      </w:r>
      <w:r>
        <w:rPr>
          <w:b/>
          <w:bCs/>
          <w:i/>
          <w:iCs/>
        </w:rPr>
        <w:t xml:space="preserve"> </w:t>
      </w:r>
      <w:r>
        <w:rPr>
          <w:b/>
          <w:bCs/>
          <w:i/>
          <w:iCs/>
          <w:color w:val="0000FF"/>
        </w:rPr>
        <w:t>DMA Market Power Mitigation Proposal Event Report</w:t>
      </w:r>
      <w:r>
        <w:rPr/>
        <w:t xml:space="preserve">, and/or to the proposal itself, at </w:t>
      </w:r>
      <w:hyperlink r:id="rId9">
        <w:r>
          <w:rPr>
            <w:rStyle w:val="Hyperlink"/>
          </w:rPr>
          <w:t>http://www.caiso.com/docs/2001/01/19/2001011917092328168.pdf</w:t>
        </w:r>
      </w:hyperlink>
      <w:r>
        <w:rPr/>
        <w:t xml:space="preserve"> on the ISO Web site.</w:t>
      </w:r>
    </w:p>
    <w:p>
      <w:pPr>
        <w:pStyle w:val="Footer"/>
        <w:tabs>
          <w:tab w:val="clear" w:pos="4320"/>
          <w:tab w:val="clear" w:pos="8640"/>
        </w:tabs>
        <w:rPr>
          <w:sz w:val="16"/>
        </w:rPr>
      </w:pPr>
      <w:r>
        <w:rPr>
          <w:sz w:val="16"/>
        </w:rPr>
      </w:r>
    </w:p>
    <w:p>
      <w:pPr>
        <w:pStyle w:val="Footer"/>
        <w:tabs>
          <w:tab w:val="clear" w:pos="4320"/>
          <w:tab w:val="clear" w:pos="8640"/>
        </w:tabs>
        <w:jc w:val="center"/>
        <w:rPr>
          <w:b/>
          <w:bCs/>
          <w:sz w:val="28"/>
          <w:bdr w:val="single" w:sz="4" w:space="0" w:color="0000FF"/>
          <w:shd w:fill="E0E0E0" w:val="clear"/>
        </w:rPr>
      </w:pPr>
      <w:r>
        <w:rPr>
          <w:b/>
          <w:bCs/>
          <w:sz w:val="28"/>
          <w:bdr w:val="single" w:sz="4" w:space="0" w:color="0000FF"/>
          <w:shd w:fill="E0E0E0" w:val="clear"/>
        </w:rPr>
        <w:t>MSC discussion</w:t>
      </w:r>
    </w:p>
    <w:p>
      <w:pPr>
        <w:pStyle w:val="Footer"/>
        <w:tabs>
          <w:tab w:val="clear" w:pos="4320"/>
          <w:tab w:val="clear" w:pos="8640"/>
        </w:tabs>
        <w:jc w:val="center"/>
        <w:rPr>
          <w:b/>
          <w:bCs/>
          <w:sz w:val="8"/>
          <w:bdr w:val="single" w:sz="4" w:space="0" w:color="0000FF"/>
          <w:shd w:fill="E0E0E0" w:val="clear"/>
        </w:rPr>
      </w:pPr>
      <w:r>
        <w:rPr>
          <w:b/>
          <w:bCs/>
          <w:sz w:val="8"/>
          <w:bdr w:val="single" w:sz="4" w:space="0" w:color="0000FF"/>
          <w:shd w:fill="E0E0E0" w:val="clear"/>
        </w:rPr>
      </w:r>
    </w:p>
    <w:p>
      <w:pPr>
        <w:pStyle w:val="Footer"/>
        <w:numPr>
          <w:ilvl w:val="1"/>
          <w:numId w:val="3"/>
        </w:numPr>
        <w:tabs>
          <w:tab w:val="clear" w:pos="4320"/>
          <w:tab w:val="clear" w:pos="8640"/>
          <w:tab w:val="left" w:pos="720" w:leader="none"/>
        </w:tabs>
        <w:ind w:hanging="360" w:start="720" w:end="0"/>
        <w:rPr/>
      </w:pPr>
      <w:r>
        <w:rPr>
          <w:rFonts w:cs="Lucida Sans" w:ascii="Lucida Sans" w:hAnsi="Lucida Sans"/>
          <w:b/>
          <w:bCs/>
          <w:u w:val="single"/>
        </w:rPr>
        <w:t>Mr. Nordhaus:</w:t>
      </w:r>
      <w:r>
        <w:rPr/>
        <w:t xml:space="preserve">  The ISO proposal was the only one that actually had mitigation in it – the others were mainly monitoring proposals.</w:t>
      </w:r>
    </w:p>
    <w:p>
      <w:pPr>
        <w:pStyle w:val="Footer"/>
        <w:tabs>
          <w:tab w:val="clear" w:pos="4320"/>
          <w:tab w:val="clear" w:pos="8640"/>
        </w:tabs>
        <w:rPr>
          <w:sz w:val="8"/>
        </w:rPr>
      </w:pPr>
      <w:r>
        <w:rPr>
          <w:sz w:val="8"/>
        </w:rPr>
      </w:r>
    </w:p>
    <w:p>
      <w:pPr>
        <w:pStyle w:val="Footer"/>
        <w:tabs>
          <w:tab w:val="clear" w:pos="4320"/>
          <w:tab w:val="clear" w:pos="8640"/>
        </w:tabs>
        <w:ind w:start="720" w:end="0"/>
        <w:rPr/>
      </w:pPr>
      <w:r>
        <w:rPr>
          <w:i/>
          <w:iCs/>
        </w:rPr>
        <w:t xml:space="preserve">(For a summary of the non-ISO proposals, see the </w:t>
      </w:r>
      <w:r>
        <w:rPr>
          <w:b/>
          <w:bCs/>
          <w:i/>
          <w:iCs/>
        </w:rPr>
        <w:t>January 23</w:t>
      </w:r>
      <w:r>
        <w:rPr>
          <w:b/>
          <w:bCs/>
          <w:i/>
          <w:iCs/>
          <w:vertAlign w:val="superscript"/>
        </w:rPr>
        <w:t>rd</w:t>
      </w:r>
      <w:r>
        <w:rPr>
          <w:b/>
          <w:bCs/>
          <w:i/>
          <w:iCs/>
        </w:rPr>
        <w:t xml:space="preserve"> </w:t>
      </w:r>
      <w:r>
        <w:rPr>
          <w:b/>
          <w:bCs/>
          <w:i/>
          <w:iCs/>
          <w:color w:val="0000FF"/>
        </w:rPr>
        <w:t>Non-ISO Market Power Mitigation Proposals Event Report</w:t>
      </w:r>
      <w:r>
        <w:rPr>
          <w:i/>
          <w:iCs/>
        </w:rPr>
        <w:t>.  Actually, I believe that the SCE proposal also contained mitigation measures.)</w:t>
      </w:r>
    </w:p>
    <w:p>
      <w:pPr>
        <w:pStyle w:val="Footer"/>
        <w:tabs>
          <w:tab w:val="clear" w:pos="4320"/>
          <w:tab w:val="clear" w:pos="8640"/>
        </w:tabs>
        <w:rPr>
          <w:i/>
          <w:i/>
          <w:iCs/>
          <w:sz w:val="8"/>
        </w:rPr>
      </w:pPr>
      <w:r>
        <w:rPr>
          <w:i/>
          <w:iCs/>
          <w:sz w:val="8"/>
        </w:rPr>
      </w:r>
    </w:p>
    <w:p>
      <w:pPr>
        <w:pStyle w:val="Footer"/>
        <w:tabs>
          <w:tab w:val="clear" w:pos="4320"/>
          <w:tab w:val="clear" w:pos="8640"/>
        </w:tabs>
        <w:ind w:start="900" w:end="0"/>
        <w:rPr/>
      </w:pPr>
      <w:r>
        <w:rPr>
          <w:rFonts w:cs="Abadi MT Condensed Light" w:ascii="Abadi MT Condensed Light" w:hAnsi="Abadi MT Condensed Light"/>
          <w:b/>
          <w:bCs/>
          <w:i/>
          <w:iCs/>
          <w:u w:val="single"/>
        </w:rPr>
        <w:t>DMA:</w:t>
      </w:r>
      <w:r>
        <w:rPr>
          <w:rFonts w:cs="Abadi MT Condensed Light" w:ascii="Abadi MT Condensed Light" w:hAnsi="Abadi MT Condensed Light"/>
          <w:b/>
          <w:bCs/>
          <w:i/>
          <w:iCs/>
        </w:rPr>
        <w:t xml:space="preserve">  “We can’t just watch, we have to mitigate.”  “Short of saying that current owners have to divest further, which doesn’t seem to be contemplated at this point,” action needs to be taken that would “limit benefits from market-power exercise and the incentives to exercise it.”</w:t>
      </w:r>
    </w:p>
    <w:p>
      <w:pPr>
        <w:pStyle w:val="Footer"/>
        <w:tabs>
          <w:tab w:val="clear" w:pos="4320"/>
          <w:tab w:val="clear" w:pos="8640"/>
        </w:tabs>
        <w:ind w:start="900" w:end="0"/>
        <w:rPr>
          <w:rFonts w:ascii="Abadi MT Condensed Light" w:hAnsi="Abadi MT Condensed Light" w:cs="Abadi MT Condensed Light"/>
          <w:b/>
          <w:bCs/>
          <w:i/>
          <w:i/>
          <w:iCs/>
          <w:sz w:val="8"/>
        </w:rPr>
      </w:pPr>
      <w:r>
        <w:rPr>
          <w:rFonts w:cs="Abadi MT Condensed Light" w:ascii="Abadi MT Condensed Light" w:hAnsi="Abadi MT Condensed Light"/>
          <w:b/>
          <w:bCs/>
          <w:i/>
          <w:iCs/>
          <w:sz w:val="8"/>
        </w:rPr>
      </w:r>
    </w:p>
    <w:p>
      <w:pPr>
        <w:pStyle w:val="Footer"/>
        <w:tabs>
          <w:tab w:val="clear" w:pos="4320"/>
          <w:tab w:val="clear" w:pos="8640"/>
        </w:tabs>
        <w:ind w:start="900" w:end="0"/>
        <w:rPr/>
      </w:pPr>
      <w:r>
        <w:rPr>
          <w:rFonts w:cs="Abadi MT Condensed Light" w:ascii="Abadi MT Condensed Light" w:hAnsi="Abadi MT Condensed Light"/>
          <w:b/>
          <w:bCs/>
          <w:i/>
          <w:iCs/>
        </w:rPr>
        <w:t xml:space="preserve">We also need a Code of Conduct, with a streamlined process to apply penalties.  For example, we’ve been denied information the ISO Market Monitoring and Information Protocol (MMIP) requires parties to give us, but there aren’t any “teeth” in those requirements.  </w:t>
      </w:r>
      <w:r>
        <w:rPr>
          <w:rFonts w:cs="Abadi MT Condensed Light" w:ascii="Abadi MT Condensed Light" w:hAnsi="Abadi MT Condensed Light"/>
          <w:i/>
          <w:iCs/>
        </w:rPr>
        <w:t xml:space="preserve">(The MMIP is at </w:t>
      </w:r>
      <w:hyperlink r:id="rId10">
        <w:r>
          <w:rPr>
            <w:rStyle w:val="Hyperlink"/>
            <w:rFonts w:cs="Abadi MT Condensed Light" w:ascii="Abadi MT Condensed Light" w:hAnsi="Abadi MT Condensed Light"/>
            <w:i/>
            <w:iCs/>
          </w:rPr>
          <w:t>http://www.caiso.com/docs/09003a6080/0b/1e/09003a60800b1e85.pdf</w:t>
        </w:r>
      </w:hyperlink>
      <w:r>
        <w:rPr>
          <w:rFonts w:cs="Abadi MT Condensed Light" w:ascii="Abadi MT Condensed Light" w:hAnsi="Abadi MT Condensed Light"/>
          <w:i/>
          <w:iCs/>
        </w:rPr>
        <w:t xml:space="preserve"> on the ISO Web site.)</w:t>
      </w:r>
    </w:p>
    <w:p>
      <w:pPr>
        <w:pStyle w:val="Footer"/>
        <w:tabs>
          <w:tab w:val="clear" w:pos="4320"/>
          <w:tab w:val="clear" w:pos="8640"/>
        </w:tabs>
        <w:rPr>
          <w:rFonts w:ascii="Abadi MT Condensed Light" w:hAnsi="Abadi MT Condensed Light" w:cs="Abadi MT Condensed Light"/>
          <w:i/>
          <w:i/>
          <w:iCs/>
          <w:sz w:val="16"/>
        </w:rPr>
      </w:pPr>
      <w:r>
        <w:rPr>
          <w:rFonts w:cs="Abadi MT Condensed Light" w:ascii="Abadi MT Condensed Light" w:hAnsi="Abadi MT Condensed Light"/>
          <w:i/>
          <w:iCs/>
          <w:sz w:val="16"/>
        </w:rPr>
      </w:r>
    </w:p>
    <w:p>
      <w:pPr>
        <w:pStyle w:val="Footer"/>
        <w:numPr>
          <w:ilvl w:val="1"/>
          <w:numId w:val="3"/>
        </w:numPr>
        <w:tabs>
          <w:tab w:val="clear" w:pos="4320"/>
          <w:tab w:val="clear" w:pos="8640"/>
          <w:tab w:val="left" w:pos="720" w:leader="none"/>
        </w:tabs>
        <w:ind w:hanging="1080" w:start="1440" w:end="0"/>
        <w:rPr/>
      </w:pPr>
      <w:r>
        <w:rPr>
          <w:rFonts w:cs="Lucida Sans" w:ascii="Lucida Sans" w:hAnsi="Lucida Sans"/>
          <w:b/>
          <w:bCs/>
          <w:u w:val="single"/>
        </w:rPr>
        <w:t>Mr. Nordhaus:</w:t>
      </w:r>
      <w:r>
        <w:rPr/>
        <w:t xml:space="preserve">  Won’t there be a captive market for ACR*?  </w:t>
      </w:r>
    </w:p>
    <w:p>
      <w:pPr>
        <w:pStyle w:val="Footer"/>
        <w:tabs>
          <w:tab w:val="clear" w:pos="4320"/>
          <w:tab w:val="clear" w:pos="8640"/>
        </w:tabs>
        <w:rPr>
          <w:sz w:val="8"/>
        </w:rPr>
      </w:pPr>
      <w:r>
        <w:rPr>
          <w:sz w:val="8"/>
        </w:rPr>
      </w:r>
    </w:p>
    <w:p>
      <w:pPr>
        <w:pStyle w:val="Footer"/>
        <w:tabs>
          <w:tab w:val="clear" w:pos="4320"/>
          <w:tab w:val="clear" w:pos="8640"/>
        </w:tabs>
        <w:ind w:hanging="180" w:start="1080" w:end="0"/>
        <w:rPr>
          <w:rFonts w:ascii="Lucida Sans" w:hAnsi="Lucida Sans" w:cs="Lucida Sans"/>
          <w:b/>
          <w:bCs/>
          <w:i/>
          <w:i/>
          <w:iCs/>
          <w:sz w:val="20"/>
        </w:rPr>
      </w:pPr>
      <w:r>
        <w:rPr>
          <w:rFonts w:cs="Lucida Sans" w:ascii="Lucida Sans" w:hAnsi="Lucida Sans"/>
          <w:b/>
          <w:bCs/>
          <w:i/>
          <w:iCs/>
          <w:sz w:val="20"/>
        </w:rPr>
        <w:t>* ACR, or Annual Capacity Reserve, refers to the provision that would require Load-Serving Entities (LSEs) to reserve capacity equal to 115% of their annual peak demand, with that capacity then required to either schedule generation or bid capacity into real-time markets.</w:t>
      </w:r>
    </w:p>
    <w:p>
      <w:pPr>
        <w:pStyle w:val="Footer"/>
        <w:tabs>
          <w:tab w:val="clear" w:pos="4320"/>
          <w:tab w:val="clear" w:pos="8640"/>
        </w:tabs>
        <w:rPr>
          <w:rFonts w:ascii="Lucida Sans" w:hAnsi="Lucida Sans" w:cs="Lucida Sans"/>
          <w:b/>
          <w:bCs/>
          <w:i/>
          <w:i/>
          <w:iCs/>
          <w:sz w:val="8"/>
        </w:rPr>
      </w:pPr>
      <w:r>
        <w:rPr>
          <w:rFonts w:cs="Lucida Sans" w:ascii="Lucida Sans" w:hAnsi="Lucida Sans"/>
          <w:b/>
          <w:bCs/>
          <w:i/>
          <w:iCs/>
          <w:sz w:val="8"/>
        </w:rPr>
      </w:r>
    </w:p>
    <w:p>
      <w:pPr>
        <w:pStyle w:val="Footer"/>
        <w:tabs>
          <w:tab w:val="clear" w:pos="4320"/>
          <w:tab w:val="clear" w:pos="8640"/>
          <w:tab w:val="left" w:pos="900" w:leader="none"/>
        </w:tabs>
        <w:ind w:start="900" w:end="0"/>
        <w:rPr/>
      </w:pPr>
      <w:r>
        <w:rPr>
          <w:rFonts w:cs="Abadi MT Condensed Light" w:ascii="Abadi MT Condensed Light" w:hAnsi="Abadi MT Condensed Light"/>
          <w:b/>
          <w:bCs/>
          <w:i/>
          <w:iCs/>
          <w:u w:val="single"/>
        </w:rPr>
        <w:t>DMA</w:t>
      </w:r>
      <w:r>
        <w:rPr>
          <w:rFonts w:cs="Abadi MT Condensed Light" w:ascii="Abadi MT Condensed Light" w:hAnsi="Abadi MT Condensed Light"/>
          <w:b/>
          <w:bCs/>
          <w:i/>
          <w:iCs/>
        </w:rPr>
        <w:t>:  The LSEs can contract with out-of-state generators as well as in-state suppliers, and we will probably have to start with a lower requirement than 115% and then move up as more supply comes on line.</w:t>
      </w:r>
    </w:p>
    <w:p>
      <w:pPr>
        <w:pStyle w:val="Footer"/>
        <w:tabs>
          <w:tab w:val="clear" w:pos="4320"/>
          <w:tab w:val="clear" w:pos="8640"/>
        </w:tabs>
        <w:rPr>
          <w:rFonts w:ascii="Abadi MT Condensed Light" w:hAnsi="Abadi MT Condensed Light" w:cs="Abadi MT Condensed Light"/>
          <w:b/>
          <w:bCs/>
          <w:i/>
          <w:i/>
          <w:iCs/>
          <w:sz w:val="16"/>
        </w:rPr>
      </w:pPr>
      <w:r>
        <w:rPr>
          <w:rFonts w:cs="Abadi MT Condensed Light" w:ascii="Abadi MT Condensed Light" w:hAnsi="Abadi MT Condensed Light"/>
          <w:b/>
          <w:bCs/>
          <w:i/>
          <w:iCs/>
          <w:sz w:val="16"/>
        </w:rPr>
      </w:r>
    </w:p>
    <w:p>
      <w:pPr>
        <w:pStyle w:val="Footer"/>
        <w:numPr>
          <w:ilvl w:val="1"/>
          <w:numId w:val="3"/>
        </w:numPr>
        <w:tabs>
          <w:tab w:val="clear" w:pos="4320"/>
          <w:tab w:val="clear" w:pos="8640"/>
          <w:tab w:val="left" w:pos="720" w:leader="none"/>
        </w:tabs>
        <w:ind w:hanging="360" w:start="720" w:end="0"/>
        <w:rPr/>
      </w:pPr>
      <w:r>
        <w:rPr>
          <w:rFonts w:cs="Lucida Sans" w:ascii="Lucida Sans" w:hAnsi="Lucida Sans"/>
          <w:b/>
          <w:bCs/>
          <w:u w:val="single"/>
        </w:rPr>
        <w:t>Eric Woychik</w:t>
      </w:r>
      <w:r>
        <w:rPr/>
        <w:t xml:space="preserve"> </w:t>
      </w:r>
      <w:r>
        <w:rPr>
          <w:i/>
          <w:iCs/>
          <w:u w:val="single"/>
        </w:rPr>
        <w:t>(Strategy Integration (consulting firm), and former ISO stakeholder Board member)</w:t>
      </w:r>
      <w:r>
        <w:rPr/>
        <w:t>:  Your proposal includes resource-specific bid caps.  You have the cost info you need for the RMR units, but will that need to be litigated at FERC for every other unit?</w:t>
      </w:r>
    </w:p>
    <w:p>
      <w:pPr>
        <w:pStyle w:val="Footer"/>
        <w:tabs>
          <w:tab w:val="clear" w:pos="4320"/>
          <w:tab w:val="clear" w:pos="8640"/>
        </w:tabs>
        <w:rPr>
          <w:sz w:val="8"/>
        </w:rPr>
      </w:pPr>
      <w:r>
        <w:rPr>
          <w:sz w:val="8"/>
        </w:rPr>
      </w:r>
    </w:p>
    <w:p>
      <w:pPr>
        <w:pStyle w:val="Footer"/>
        <w:tabs>
          <w:tab w:val="clear" w:pos="4320"/>
          <w:tab w:val="clear" w:pos="8640"/>
        </w:tabs>
        <w:ind w:start="900" w:end="0"/>
        <w:rPr/>
      </w:pPr>
      <w:r>
        <w:rPr>
          <w:rFonts w:cs="Abadi MT Condensed Light" w:ascii="Abadi MT Condensed Light" w:hAnsi="Abadi MT Condensed Light"/>
          <w:b/>
          <w:bCs/>
          <w:i/>
          <w:iCs/>
          <w:u w:val="single"/>
        </w:rPr>
        <w:t>DMA:</w:t>
      </w:r>
      <w:r>
        <w:rPr>
          <w:rFonts w:cs="Abadi MT Condensed Light" w:ascii="Abadi MT Condensed Light" w:hAnsi="Abadi MT Condensed Light"/>
          <w:b/>
          <w:bCs/>
          <w:i/>
          <w:iCs/>
        </w:rPr>
        <w:t xml:space="preserve">  Even where we don’t have that information, the proposal allows us to implement this feature by looking at past history, such as the bid prices for the unit when it was selected in merit order [i.e., if they were happy with a particular price in the past, we can assume that it at least covers the unit’s costs].</w:t>
      </w:r>
    </w:p>
    <w:p>
      <w:pPr>
        <w:pStyle w:val="Footer"/>
        <w:tabs>
          <w:tab w:val="clear" w:pos="4320"/>
          <w:tab w:val="clear" w:pos="8640"/>
        </w:tabs>
        <w:rPr>
          <w:rFonts w:ascii="Abadi MT Condensed Light" w:hAnsi="Abadi MT Condensed Light" w:cs="Abadi MT Condensed Light"/>
          <w:b/>
          <w:bCs/>
          <w:i/>
          <w:i/>
          <w:iCs/>
        </w:rPr>
      </w:pPr>
      <w:r>
        <w:rPr>
          <w:rFonts w:cs="Abadi MT Condensed Light" w:ascii="Abadi MT Condensed Light" w:hAnsi="Abadi MT Condensed Light"/>
          <w:b/>
          <w:bCs/>
          <w:i/>
          <w:iCs/>
        </w:rPr>
      </w:r>
    </w:p>
    <w:p>
      <w:pPr>
        <w:pStyle w:val="Heading3"/>
        <w:pBdr>
          <w:top w:val="single" w:sz="12" w:space="1" w:color="000000"/>
          <w:left w:val="single" w:sz="12" w:space="4" w:color="000000"/>
          <w:bottom w:val="single" w:sz="12" w:space="2" w:color="000000"/>
          <w:right w:val="single" w:sz="12" w:space="4" w:color="000000"/>
        </w:pBdr>
        <w:ind w:hanging="0" w:start="0"/>
        <w:rPr>
          <w:rFonts w:ascii="Lucida Sans" w:hAnsi="Lucida Sans" w:cs="Lucida Sans Unicode"/>
        </w:rPr>
      </w:pPr>
      <w:r>
        <w:rPr>
          <w:rFonts w:cs="Lucida Sans Unicode" w:ascii="Lucida Sans" w:hAnsi="Lucida Sans"/>
        </w:rPr>
        <w:t>Separating Operating Reserve energy from the real-time Imbalance Energy dispatch list (“BEEP stack”)</w:t>
      </w:r>
    </w:p>
    <w:p>
      <w:pPr>
        <w:pStyle w:val="Footer"/>
        <w:tabs>
          <w:tab w:val="clear" w:pos="4320"/>
          <w:tab w:val="clear" w:pos="8640"/>
        </w:tabs>
        <w:rPr>
          <w:rFonts w:ascii="Arial" w:hAnsi="Arial" w:cs="Arial"/>
          <w:b/>
          <w:bCs/>
          <w:u w:val="single"/>
        </w:rPr>
      </w:pPr>
      <w:r>
        <w:rPr>
          <w:rFonts w:cs="Arial" w:ascii="Arial" w:hAnsi="Arial"/>
          <w:b/>
          <w:bCs/>
          <w:u w:val="single"/>
        </w:rPr>
        <w:t>Background</w:t>
      </w:r>
    </w:p>
    <w:p>
      <w:pPr>
        <w:pStyle w:val="Footer"/>
        <w:tabs>
          <w:tab w:val="clear" w:pos="4320"/>
          <w:tab w:val="clear" w:pos="8640"/>
        </w:tabs>
        <w:rPr/>
      </w:pPr>
      <w:r>
        <w:rPr/>
        <w:t>Currently, when the ISO needs additional energy in real time to cover loads short of supply, it dispatches Imbalance Energy from a merit-order (by price) list known as the “BEEP stack” (Balance Energy Ex-Post).  The BEEP stack contains Supplemental Energy, plus energy dispatched from the Spinning Reserve, Non-Spinning Reserve, and Replacement Reserve Ancillary Services.</w:t>
      </w:r>
    </w:p>
    <w:p>
      <w:pPr>
        <w:pStyle w:val="Footer"/>
        <w:tabs>
          <w:tab w:val="clear" w:pos="4320"/>
          <w:tab w:val="clear" w:pos="8640"/>
        </w:tabs>
        <w:rPr>
          <w:sz w:val="16"/>
        </w:rPr>
      </w:pPr>
      <w:r>
        <w:rPr>
          <w:sz w:val="16"/>
        </w:rPr>
      </w:r>
    </w:p>
    <w:p>
      <w:pPr>
        <w:pStyle w:val="Footer"/>
        <w:tabs>
          <w:tab w:val="clear" w:pos="4320"/>
          <w:tab w:val="clear" w:pos="8640"/>
        </w:tabs>
        <w:rPr/>
      </w:pPr>
      <w:r>
        <w:rPr/>
        <w:t>The ISO has proposed to:</w:t>
      </w:r>
    </w:p>
    <w:p>
      <w:pPr>
        <w:pStyle w:val="Footer"/>
        <w:tabs>
          <w:tab w:val="clear" w:pos="4320"/>
          <w:tab w:val="clear" w:pos="8640"/>
        </w:tabs>
        <w:rPr>
          <w:sz w:val="8"/>
        </w:rPr>
      </w:pPr>
      <w:r>
        <w:rPr>
          <w:sz w:val="8"/>
        </w:rPr>
      </w:r>
    </w:p>
    <w:p>
      <w:pPr>
        <w:pStyle w:val="Normal"/>
        <w:numPr>
          <w:ilvl w:val="0"/>
          <w:numId w:val="5"/>
        </w:numPr>
        <w:tabs>
          <w:tab w:val="clear" w:pos="720"/>
          <w:tab w:val="left" w:pos="540" w:leader="none"/>
        </w:tabs>
        <w:ind w:hanging="360" w:start="540" w:end="0"/>
        <w:rPr>
          <w:szCs w:val="26"/>
        </w:rPr>
      </w:pPr>
      <w:r>
        <w:rPr>
          <w:szCs w:val="26"/>
        </w:rPr>
        <w:t xml:space="preserve">Remove energy that could be produced from Operating Reserve (Spinning Reserve and Non-Spinning Reserve) capacity from the BEEP stack;  and </w:t>
      </w:r>
    </w:p>
    <w:p>
      <w:pPr>
        <w:pStyle w:val="Normal"/>
        <w:tabs>
          <w:tab w:val="clear" w:pos="720"/>
          <w:tab w:val="left" w:pos="540" w:leader="none"/>
        </w:tabs>
        <w:ind w:hanging="360" w:start="540" w:end="0"/>
        <w:rPr>
          <w:sz w:val="12"/>
          <w:szCs w:val="26"/>
        </w:rPr>
      </w:pPr>
      <w:r>
        <w:rPr>
          <w:sz w:val="12"/>
          <w:szCs w:val="26"/>
        </w:rPr>
      </w:r>
    </w:p>
    <w:p>
      <w:pPr>
        <w:pStyle w:val="Normal"/>
        <w:numPr>
          <w:ilvl w:val="0"/>
          <w:numId w:val="5"/>
        </w:numPr>
        <w:tabs>
          <w:tab w:val="clear" w:pos="720"/>
          <w:tab w:val="left" w:pos="540" w:leader="none"/>
        </w:tabs>
        <w:ind w:hanging="360" w:start="540" w:end="0"/>
        <w:rPr>
          <w:szCs w:val="26"/>
        </w:rPr>
      </w:pPr>
      <w:r>
        <w:rPr>
          <w:szCs w:val="26"/>
        </w:rPr>
        <w:t>Only dispatch those supplies in the event of “outages, contingencies, or emergencies” (in other words, not for more routine system imbalances).</w:t>
      </w:r>
    </w:p>
    <w:p>
      <w:pPr>
        <w:pStyle w:val="Footer"/>
        <w:tabs>
          <w:tab w:val="clear" w:pos="4320"/>
          <w:tab w:val="clear" w:pos="8640"/>
        </w:tabs>
        <w:rPr>
          <w:szCs w:val="26"/>
        </w:rPr>
      </w:pPr>
      <w:r>
        <w:rPr>
          <w:szCs w:val="26"/>
        </w:rPr>
      </w:r>
    </w:p>
    <w:p>
      <w:pPr>
        <w:pStyle w:val="Footer"/>
        <w:tabs>
          <w:tab w:val="clear" w:pos="4320"/>
          <w:tab w:val="clear" w:pos="8640"/>
        </w:tabs>
        <w:rPr/>
      </w:pPr>
      <w:r>
        <w:rPr/>
        <w:t xml:space="preserve">The change is proposed to better maintain the minimum Operating Reserve levels required by the WSCC and encourage “energy-limited resources” (e.g., hydroelectric generation) to provide reserve capacity without worrying as much about being dispatched.  </w:t>
      </w:r>
      <w:r>
        <w:rPr>
          <w:i/>
          <w:iCs/>
        </w:rPr>
        <w:t xml:space="preserve">(See the </w:t>
      </w:r>
      <w:r>
        <w:rPr>
          <w:b/>
          <w:bCs/>
          <w:i/>
          <w:iCs/>
        </w:rPr>
        <w:t>January 24</w:t>
      </w:r>
      <w:r>
        <w:rPr>
          <w:b/>
          <w:bCs/>
          <w:i/>
          <w:iCs/>
          <w:vertAlign w:val="superscript"/>
        </w:rPr>
        <w:t>th</w:t>
      </w:r>
      <w:r>
        <w:rPr>
          <w:b/>
          <w:bCs/>
          <w:i/>
          <w:iCs/>
        </w:rPr>
        <w:t xml:space="preserve"> </w:t>
      </w:r>
      <w:r>
        <w:rPr>
          <w:b/>
          <w:bCs/>
          <w:i/>
          <w:iCs/>
          <w:color w:val="0000FF"/>
        </w:rPr>
        <w:t>Real-Time Dispatch Changes Event Report</w:t>
      </w:r>
      <w:r>
        <w:rPr/>
        <w:t xml:space="preserve"> </w:t>
      </w:r>
      <w:r>
        <w:rPr>
          <w:i/>
          <w:iCs/>
        </w:rPr>
        <w:t>for more details about the ISO’s original proposal and questions/comments from Market Participants.)</w:t>
      </w:r>
    </w:p>
    <w:p>
      <w:pPr>
        <w:pStyle w:val="Footer"/>
        <w:tabs>
          <w:tab w:val="clear" w:pos="4320"/>
          <w:tab w:val="clear" w:pos="8640"/>
        </w:tabs>
        <w:rPr>
          <w:i/>
          <w:i/>
          <w:iCs/>
          <w:sz w:val="16"/>
        </w:rPr>
      </w:pPr>
      <w:r>
        <w:rPr>
          <w:i/>
          <w:iCs/>
          <w:sz w:val="16"/>
        </w:rPr>
      </w:r>
    </w:p>
    <w:p>
      <w:pPr>
        <w:pStyle w:val="Footer"/>
        <w:tabs>
          <w:tab w:val="clear" w:pos="4320"/>
          <w:tab w:val="clear" w:pos="8640"/>
        </w:tabs>
        <w:rPr>
          <w:rFonts w:ascii="Arial" w:hAnsi="Arial" w:cs="Arial"/>
          <w:b/>
          <w:bCs/>
          <w:u w:val="single"/>
        </w:rPr>
      </w:pPr>
      <w:r>
        <w:rPr>
          <w:rFonts w:cs="Arial" w:ascii="Arial" w:hAnsi="Arial"/>
          <w:b/>
          <w:bCs/>
          <w:u w:val="single"/>
        </w:rPr>
        <w:t>Updated proposal</w:t>
      </w:r>
    </w:p>
    <w:p>
      <w:pPr>
        <w:pStyle w:val="Footer"/>
        <w:tabs>
          <w:tab w:val="clear" w:pos="4320"/>
          <w:tab w:val="clear" w:pos="8640"/>
        </w:tabs>
        <w:rPr/>
      </w:pPr>
      <w:r>
        <w:rPr/>
        <w:t>The ISO has incorporated some stakeholder ideas from the earlier conference call.  Here are the latest ISO proposed short- and long-term solutions.</w:t>
      </w:r>
    </w:p>
    <w:p>
      <w:pPr>
        <w:pStyle w:val="Footer"/>
        <w:tabs>
          <w:tab w:val="clear" w:pos="4320"/>
          <w:tab w:val="clear" w:pos="8640"/>
        </w:tabs>
        <w:rPr>
          <w:sz w:val="16"/>
        </w:rPr>
      </w:pPr>
      <w:r>
        <w:rPr>
          <w:sz w:val="16"/>
        </w:rPr>
      </w:r>
    </w:p>
    <w:p>
      <w:pPr>
        <w:pStyle w:val="Footer"/>
        <w:numPr>
          <w:ilvl w:val="0"/>
          <w:numId w:val="3"/>
        </w:numPr>
        <w:tabs>
          <w:tab w:val="clear" w:pos="4320"/>
          <w:tab w:val="clear" w:pos="8640"/>
          <w:tab w:val="left" w:pos="540" w:leader="none"/>
        </w:tabs>
        <w:ind w:hanging="540" w:start="720" w:end="0"/>
        <w:rPr>
          <w:rFonts w:ascii="BookmanITC Lt BT" w:hAnsi="BookmanITC Lt BT" w:cs="Arial"/>
          <w:b/>
          <w:bCs/>
          <w:u w:val="single"/>
        </w:rPr>
      </w:pPr>
      <w:r>
        <w:rPr>
          <w:rFonts w:cs="Arial" w:ascii="BookmanITC Lt BT" w:hAnsi="BookmanITC Lt BT"/>
          <w:b/>
          <w:bCs/>
          <w:u w:val="single"/>
        </w:rPr>
        <w:t>Short-term solution</w:t>
      </w:r>
    </w:p>
    <w:p>
      <w:pPr>
        <w:pStyle w:val="Footer"/>
        <w:numPr>
          <w:ilvl w:val="1"/>
          <w:numId w:val="3"/>
        </w:numPr>
        <w:tabs>
          <w:tab w:val="clear" w:pos="4320"/>
          <w:tab w:val="clear" w:pos="8640"/>
          <w:tab w:val="left" w:pos="1080" w:leader="none"/>
        </w:tabs>
        <w:ind w:hanging="360" w:start="1080" w:end="0"/>
        <w:rPr/>
      </w:pPr>
      <w:r>
        <w:rPr/>
        <w:t xml:space="preserve">Separate Operating Reserves (OR) from the rest of the BEEP stack.   </w:t>
      </w:r>
    </w:p>
    <w:p>
      <w:pPr>
        <w:pStyle w:val="Footer"/>
        <w:tabs>
          <w:tab w:val="clear" w:pos="4320"/>
          <w:tab w:val="clear" w:pos="8640"/>
          <w:tab w:val="left" w:pos="1080" w:leader="none"/>
        </w:tabs>
        <w:ind w:hanging="360" w:start="1080" w:end="0"/>
        <w:rPr>
          <w:sz w:val="8"/>
        </w:rPr>
      </w:pPr>
      <w:r>
        <w:rPr>
          <w:sz w:val="8"/>
        </w:rPr>
      </w:r>
    </w:p>
    <w:p>
      <w:pPr>
        <w:pStyle w:val="Footer"/>
        <w:numPr>
          <w:ilvl w:val="1"/>
          <w:numId w:val="3"/>
        </w:numPr>
        <w:tabs>
          <w:tab w:val="clear" w:pos="4320"/>
          <w:tab w:val="clear" w:pos="8640"/>
          <w:tab w:val="left" w:pos="1080" w:leader="none"/>
        </w:tabs>
        <w:ind w:hanging="360" w:start="1080" w:end="0"/>
        <w:rPr/>
      </w:pPr>
      <w:r>
        <w:rPr/>
        <w:t>If no contingency (significant unexpected event) occurs, dispatch rest of BEEP stack, and make OOM calls, before dispatching OR capacity (i.e., do it just to avoid load curtailments).</w:t>
      </w:r>
    </w:p>
    <w:p>
      <w:pPr>
        <w:pStyle w:val="Footer"/>
        <w:tabs>
          <w:tab w:val="clear" w:pos="4320"/>
          <w:tab w:val="clear" w:pos="8640"/>
          <w:tab w:val="left" w:pos="1080" w:leader="none"/>
        </w:tabs>
        <w:ind w:hanging="360" w:start="1080" w:end="0"/>
        <w:rPr>
          <w:sz w:val="8"/>
        </w:rPr>
      </w:pPr>
      <w:r>
        <w:rPr>
          <w:sz w:val="8"/>
        </w:rPr>
      </w:r>
    </w:p>
    <w:p>
      <w:pPr>
        <w:pStyle w:val="Footer"/>
        <w:numPr>
          <w:ilvl w:val="1"/>
          <w:numId w:val="3"/>
        </w:numPr>
        <w:tabs>
          <w:tab w:val="clear" w:pos="4320"/>
          <w:tab w:val="clear" w:pos="8640"/>
          <w:tab w:val="left" w:pos="1080" w:leader="none"/>
        </w:tabs>
        <w:ind w:hanging="360" w:start="1080" w:end="0"/>
        <w:rPr/>
      </w:pPr>
      <w:r>
        <w:rPr/>
        <w:t>If a contingency occurs, re-combine the two dispatch lists and dispatch in merit (price) order, but return OR capacity to reserve status as soon as possible.</w:t>
      </w:r>
    </w:p>
    <w:p>
      <w:pPr>
        <w:pStyle w:val="Footer"/>
        <w:tabs>
          <w:tab w:val="clear" w:pos="4320"/>
          <w:tab w:val="clear" w:pos="8640"/>
        </w:tabs>
        <w:rPr>
          <w:sz w:val="8"/>
        </w:rPr>
      </w:pPr>
      <w:r>
        <w:rPr>
          <w:sz w:val="8"/>
        </w:rPr>
      </w:r>
    </w:p>
    <w:p>
      <w:pPr>
        <w:pStyle w:val="Footer"/>
        <w:tabs>
          <w:tab w:val="clear" w:pos="4320"/>
          <w:tab w:val="clear" w:pos="8640"/>
        </w:tabs>
        <w:ind w:firstLine="540" w:end="0"/>
        <w:rPr/>
      </w:pPr>
      <w:r>
        <w:rPr>
          <w:rFonts w:cs="Abadi MT Condensed Light" w:ascii="Abadi MT Condensed Light" w:hAnsi="Abadi MT Condensed Light"/>
          <w:b/>
          <w:bCs/>
          <w:i/>
          <w:iCs/>
          <w:color w:val="0000FF"/>
        </w:rPr>
        <w:t>[</w:t>
      </w:r>
      <w:r>
        <w:rPr>
          <w:rFonts w:cs="Abadi MT Condensed Light" w:ascii="Abadi MT Condensed Light" w:hAnsi="Abadi MT Condensed Light"/>
          <w:b/>
          <w:bCs/>
          <w:i/>
          <w:iCs/>
          <w:color w:val="0000FF"/>
          <w:u w:val="single"/>
        </w:rPr>
        <w:t>Consultant note</w:t>
      </w:r>
      <w:r>
        <w:rPr>
          <w:rFonts w:cs="Abadi MT Condensed Light" w:ascii="Abadi MT Condensed Light" w:hAnsi="Abadi MT Condensed Light"/>
          <w:b/>
          <w:bCs/>
          <w:i/>
          <w:iCs/>
          <w:color w:val="0000FF"/>
        </w:rPr>
        <w:t xml:space="preserve">:  I’m not sure that this last point has been fully thought out.  </w:t>
      </w:r>
    </w:p>
    <w:p>
      <w:pPr>
        <w:pStyle w:val="Footer"/>
        <w:numPr>
          <w:ilvl w:val="0"/>
          <w:numId w:val="3"/>
        </w:numPr>
        <w:tabs>
          <w:tab w:val="clear" w:pos="4320"/>
          <w:tab w:val="clear" w:pos="8640"/>
          <w:tab w:val="left" w:pos="1080" w:leader="none"/>
        </w:tabs>
        <w:ind w:hanging="360" w:start="1080" w:end="0"/>
        <w:rPr>
          <w:rFonts w:ascii="Abadi MT Condensed Light" w:hAnsi="Abadi MT Condensed Light" w:cs="Abadi MT Condensed Light"/>
          <w:b/>
          <w:bCs/>
          <w:i/>
          <w:i/>
          <w:iCs/>
          <w:color w:val="0000FF"/>
        </w:rPr>
      </w:pPr>
      <w:r>
        <w:rPr>
          <w:rFonts w:cs="Abadi MT Condensed Light" w:ascii="Abadi MT Condensed Light" w:hAnsi="Abadi MT Condensed Light"/>
          <w:b/>
          <w:bCs/>
          <w:i/>
          <w:iCs/>
          <w:color w:val="0000FF"/>
        </w:rPr>
        <w:t xml:space="preserve">The definition of “contingency” isn’t that clear, though some things (e.g., major transmission line outage) would clearly fit qualify.  </w:t>
      </w:r>
    </w:p>
    <w:p>
      <w:pPr>
        <w:pStyle w:val="Footer"/>
        <w:tabs>
          <w:tab w:val="clear" w:pos="4320"/>
          <w:tab w:val="clear" w:pos="8640"/>
          <w:tab w:val="left" w:pos="1080" w:leader="none"/>
        </w:tabs>
        <w:ind w:hanging="360" w:start="1080" w:end="0"/>
        <w:rPr>
          <w:rFonts w:ascii="Abadi MT Condensed Light" w:hAnsi="Abadi MT Condensed Light" w:cs="Abadi MT Condensed Light"/>
          <w:b/>
          <w:bCs/>
          <w:i/>
          <w:i/>
          <w:iCs/>
          <w:color w:val="0000FF"/>
          <w:sz w:val="8"/>
        </w:rPr>
      </w:pPr>
      <w:r>
        <w:rPr>
          <w:rFonts w:cs="Abadi MT Condensed Light" w:ascii="Abadi MT Condensed Light" w:hAnsi="Abadi MT Condensed Light"/>
          <w:b/>
          <w:bCs/>
          <w:i/>
          <w:iCs/>
          <w:color w:val="0000FF"/>
          <w:sz w:val="8"/>
        </w:rPr>
      </w:r>
    </w:p>
    <w:p>
      <w:pPr>
        <w:pStyle w:val="Footer"/>
        <w:numPr>
          <w:ilvl w:val="0"/>
          <w:numId w:val="3"/>
        </w:numPr>
        <w:tabs>
          <w:tab w:val="clear" w:pos="4320"/>
          <w:tab w:val="clear" w:pos="8640"/>
          <w:tab w:val="left" w:pos="1080" w:leader="none"/>
        </w:tabs>
        <w:ind w:hanging="360" w:start="1080" w:end="0"/>
        <w:rPr>
          <w:rFonts w:ascii="Abadi MT Condensed Light" w:hAnsi="Abadi MT Condensed Light" w:cs="Abadi MT Condensed Light"/>
          <w:b/>
          <w:bCs/>
          <w:i/>
          <w:i/>
          <w:iCs/>
          <w:color w:val="0000FF"/>
        </w:rPr>
      </w:pPr>
      <w:r>
        <w:rPr>
          <w:rFonts w:cs="Abadi MT Condensed Light" w:ascii="Abadi MT Condensed Light" w:hAnsi="Abadi MT Condensed Light"/>
          <w:b/>
          <w:bCs/>
          <w:i/>
          <w:iCs/>
          <w:color w:val="0000FF"/>
        </w:rPr>
        <w:t xml:space="preserve">Even then, if the BEEP stack was sufficiently deep that the ISO didn’t </w:t>
      </w:r>
      <w:r>
        <w:rPr>
          <w:rFonts w:cs="Abadi MT Condensed Light" w:ascii="Abadi MT Condensed Light" w:hAnsi="Abadi MT Condensed Light"/>
          <w:b/>
          <w:bCs/>
          <w:i/>
          <w:iCs/>
          <w:color w:val="0000FF"/>
          <w:u w:val="single"/>
        </w:rPr>
        <w:t>have</w:t>
      </w:r>
      <w:r>
        <w:rPr>
          <w:rFonts w:cs="Abadi MT Condensed Light" w:ascii="Abadi MT Condensed Light" w:hAnsi="Abadi MT Condensed Light"/>
          <w:b/>
          <w:bCs/>
          <w:i/>
          <w:iCs/>
          <w:color w:val="0000FF"/>
        </w:rPr>
        <w:t xml:space="preserve"> to eat into its OR to address a contingency, I don’t know if it would be acceptable to do so anyway.]</w:t>
      </w:r>
    </w:p>
    <w:p>
      <w:pPr>
        <w:pStyle w:val="Footer"/>
        <w:tabs>
          <w:tab w:val="clear" w:pos="4320"/>
          <w:tab w:val="clear" w:pos="8640"/>
        </w:tabs>
        <w:rPr>
          <w:rFonts w:ascii="Abadi MT Condensed Light" w:hAnsi="Abadi MT Condensed Light" w:cs="Abadi MT Condensed Light"/>
          <w:b/>
          <w:bCs/>
          <w:i/>
          <w:i/>
          <w:iCs/>
          <w:color w:val="0000FF"/>
          <w:sz w:val="16"/>
        </w:rPr>
      </w:pPr>
      <w:r>
        <w:rPr>
          <w:rFonts w:cs="Abadi MT Condensed Light" w:ascii="Abadi MT Condensed Light" w:hAnsi="Abadi MT Condensed Light"/>
          <w:b/>
          <w:bCs/>
          <w:i/>
          <w:iCs/>
          <w:color w:val="0000FF"/>
          <w:sz w:val="16"/>
        </w:rPr>
      </w:r>
    </w:p>
    <w:p>
      <w:pPr>
        <w:pStyle w:val="Footer"/>
        <w:numPr>
          <w:ilvl w:val="0"/>
          <w:numId w:val="3"/>
        </w:numPr>
        <w:tabs>
          <w:tab w:val="clear" w:pos="4320"/>
          <w:tab w:val="clear" w:pos="8640"/>
          <w:tab w:val="left" w:pos="540" w:leader="none"/>
        </w:tabs>
        <w:ind w:hanging="540" w:start="720" w:end="0"/>
        <w:rPr>
          <w:rFonts w:ascii="BookmanITC Lt BT" w:hAnsi="BookmanITC Lt BT" w:cs="Arial"/>
          <w:b/>
          <w:bCs/>
          <w:u w:val="single"/>
        </w:rPr>
      </w:pPr>
      <w:r>
        <w:rPr>
          <w:rFonts w:cs="Arial" w:ascii="BookmanITC Lt BT" w:hAnsi="BookmanITC Lt BT"/>
          <w:b/>
          <w:bCs/>
          <w:u w:val="single"/>
        </w:rPr>
        <w:t>Longer-term solution</w:t>
      </w:r>
    </w:p>
    <w:p>
      <w:pPr>
        <w:pStyle w:val="Footer"/>
        <w:numPr>
          <w:ilvl w:val="1"/>
          <w:numId w:val="3"/>
        </w:numPr>
        <w:tabs>
          <w:tab w:val="clear" w:pos="4320"/>
          <w:tab w:val="clear" w:pos="8640"/>
          <w:tab w:val="left" w:pos="1080" w:leader="none"/>
        </w:tabs>
        <w:ind w:hanging="360" w:start="1080" w:end="0"/>
        <w:rPr/>
      </w:pPr>
      <w:r>
        <w:rPr/>
        <w:t xml:space="preserve">Allow OR suppliers to put an electronic “flag” on their bids, indicating that they wish to opt into the regular BEEP stack if they wish </w:t>
      </w:r>
      <w:r>
        <w:rPr>
          <w:b/>
          <w:bCs/>
          <w:i/>
          <w:iCs/>
        </w:rPr>
        <w:t>(stakeholder suggestion from conference call)</w:t>
      </w:r>
      <w:r>
        <w:rPr/>
        <w:t xml:space="preserve">, with those choosing to stay in the separate OR list paid as “price takers” (at the market price, not their energy bid price) for the energy, if dispatched.  </w:t>
      </w:r>
    </w:p>
    <w:p>
      <w:pPr>
        <w:pStyle w:val="Footer"/>
        <w:tabs>
          <w:tab w:val="clear" w:pos="4320"/>
          <w:tab w:val="clear" w:pos="8640"/>
        </w:tabs>
        <w:ind w:start="180" w:end="0"/>
        <w:rPr>
          <w:sz w:val="8"/>
        </w:rPr>
      </w:pPr>
      <w:r>
        <w:rPr>
          <w:sz w:val="8"/>
        </w:rPr>
      </w:r>
    </w:p>
    <w:p>
      <w:pPr>
        <w:pStyle w:val="Footer"/>
        <w:tabs>
          <w:tab w:val="clear" w:pos="4320"/>
          <w:tab w:val="clear" w:pos="8640"/>
        </w:tabs>
        <w:ind w:start="720" w:end="0"/>
        <w:rPr/>
      </w:pPr>
      <w:r>
        <w:rPr>
          <w:rFonts w:cs="Abadi MT Condensed Light" w:ascii="Abadi MT Condensed Light" w:hAnsi="Abadi MT Condensed Light"/>
          <w:b/>
          <w:bCs/>
          <w:i/>
          <w:iCs/>
          <w:color w:val="0000FF"/>
        </w:rPr>
        <w:t>[</w:t>
      </w:r>
      <w:r>
        <w:rPr>
          <w:rFonts w:cs="Abadi MT Condensed Light" w:ascii="Abadi MT Condensed Light" w:hAnsi="Abadi MT Condensed Light"/>
          <w:b/>
          <w:bCs/>
          <w:i/>
          <w:iCs/>
          <w:color w:val="0000FF"/>
          <w:u w:val="single"/>
        </w:rPr>
        <w:t>Consultant note</w:t>
      </w:r>
      <w:r>
        <w:rPr>
          <w:rFonts w:cs="Abadi MT Condensed Light" w:ascii="Abadi MT Condensed Light" w:hAnsi="Abadi MT Condensed Light"/>
          <w:b/>
          <w:bCs/>
          <w:i/>
          <w:iCs/>
          <w:color w:val="0000FF"/>
        </w:rPr>
        <w:t>:  It’s not clear why those not opting into the regular BEEP list would have to be price takers for energy.  However, if the ISO is dispatching OR capacity only as a last resort, after exhausting the whole BEEP list and all OOM energy, the price is likely to be pretty high, anyway, depending on how the price-taker concept would work with the “soft cap” structure.]</w:t>
      </w:r>
    </w:p>
    <w:p>
      <w:pPr>
        <w:pStyle w:val="Footer"/>
        <w:tabs>
          <w:tab w:val="clear" w:pos="4320"/>
          <w:tab w:val="clear" w:pos="8640"/>
          <w:tab w:val="left" w:pos="540" w:leader="none"/>
        </w:tabs>
        <w:ind w:hanging="360" w:start="540" w:end="0"/>
        <w:rPr>
          <w:rFonts w:ascii="Abadi MT Condensed Light" w:hAnsi="Abadi MT Condensed Light" w:cs="Abadi MT Condensed Light"/>
          <w:b/>
          <w:bCs/>
          <w:i/>
          <w:i/>
          <w:iCs/>
          <w:color w:val="0000FF"/>
          <w:sz w:val="8"/>
        </w:rPr>
      </w:pPr>
      <w:r>
        <w:rPr>
          <w:rFonts w:cs="Abadi MT Condensed Light" w:ascii="Abadi MT Condensed Light" w:hAnsi="Abadi MT Condensed Light"/>
          <w:b/>
          <w:bCs/>
          <w:i/>
          <w:iCs/>
          <w:color w:val="0000FF"/>
          <w:sz w:val="8"/>
        </w:rPr>
      </w:r>
    </w:p>
    <w:p>
      <w:pPr>
        <w:pStyle w:val="Footer"/>
        <w:numPr>
          <w:ilvl w:val="1"/>
          <w:numId w:val="3"/>
        </w:numPr>
        <w:tabs>
          <w:tab w:val="clear" w:pos="4320"/>
          <w:tab w:val="clear" w:pos="8640"/>
          <w:tab w:val="left" w:pos="1080" w:leader="none"/>
        </w:tabs>
        <w:ind w:hanging="360" w:start="1080" w:end="0"/>
        <w:rPr/>
      </w:pPr>
      <w:r>
        <w:rPr/>
        <w:t xml:space="preserve">Count all 10-minute dispatchable energy as Operating Reserve </w:t>
      </w:r>
      <w:r>
        <w:rPr>
          <w:i/>
          <w:iCs/>
        </w:rPr>
        <w:t>(unclear whether WSCC rules would allow this or whether they might have to be modified, or an exception granted)</w:t>
      </w:r>
      <w:r>
        <w:rPr/>
        <w:t>, and create a new dispatch software tool to enable this change.</w:t>
      </w:r>
    </w:p>
    <w:p>
      <w:pPr>
        <w:pStyle w:val="Footer"/>
        <w:tabs>
          <w:tab w:val="clear" w:pos="4320"/>
          <w:tab w:val="clear" w:pos="8640"/>
          <w:tab w:val="left" w:pos="1080" w:leader="none"/>
        </w:tabs>
        <w:ind w:hanging="360" w:start="1080" w:end="0"/>
        <w:rPr>
          <w:sz w:val="8"/>
        </w:rPr>
      </w:pPr>
      <w:r>
        <w:rPr>
          <w:sz w:val="8"/>
        </w:rPr>
      </w:r>
    </w:p>
    <w:p>
      <w:pPr>
        <w:pStyle w:val="Footer"/>
        <w:numPr>
          <w:ilvl w:val="1"/>
          <w:numId w:val="3"/>
        </w:numPr>
        <w:tabs>
          <w:tab w:val="clear" w:pos="4320"/>
          <w:tab w:val="clear" w:pos="8640"/>
          <w:tab w:val="left" w:pos="1080" w:leader="none"/>
        </w:tabs>
        <w:ind w:hanging="360" w:start="1080" w:end="0"/>
        <w:rPr/>
      </w:pPr>
      <w:r>
        <w:rPr/>
        <w:t xml:space="preserve">In forming the BEEP dispatch order by merit (price), subtract the Replacement Reserve capacity price from the dispatch price for those supplies </w:t>
      </w:r>
      <w:r>
        <w:rPr>
          <w:i/>
          <w:iCs/>
        </w:rPr>
        <w:t>(see above under “Replacement Reserve savings”)</w:t>
      </w:r>
      <w:r>
        <w:rPr/>
        <w:t>.</w:t>
      </w:r>
    </w:p>
    <w:p>
      <w:pPr>
        <w:pStyle w:val="Footer"/>
        <w:tabs>
          <w:tab w:val="clear" w:pos="4320"/>
          <w:tab w:val="clear" w:pos="8640"/>
        </w:tabs>
        <w:rPr/>
      </w:pPr>
      <w:r>
        <w:rPr/>
      </w:r>
    </w:p>
    <w:p>
      <w:pPr>
        <w:pStyle w:val="Footer"/>
        <w:tabs>
          <w:tab w:val="clear" w:pos="4320"/>
          <w:tab w:val="clear" w:pos="8640"/>
        </w:tabs>
        <w:rPr/>
      </w:pPr>
      <w:r>
        <w:rPr/>
      </w:r>
    </w:p>
    <w:p>
      <w:pPr>
        <w:pStyle w:val="Footer"/>
        <w:tabs>
          <w:tab w:val="clear" w:pos="4320"/>
          <w:tab w:val="clear" w:pos="8640"/>
        </w:tabs>
        <w:rPr/>
      </w:pPr>
      <w:r>
        <w:rPr/>
      </w:r>
    </w:p>
    <w:p>
      <w:pPr>
        <w:pStyle w:val="Footer"/>
        <w:tabs>
          <w:tab w:val="clear" w:pos="4320"/>
          <w:tab w:val="clear" w:pos="8640"/>
        </w:tabs>
        <w:jc w:val="center"/>
        <w:rPr/>
      </w:pPr>
      <w:r>
        <w:rPr>
          <w:b/>
          <w:bCs/>
          <w:sz w:val="28"/>
          <w:bdr w:val="single" w:sz="4" w:space="0" w:color="0000FF"/>
          <w:shd w:fill="E0E0E0" w:val="clear"/>
        </w:rPr>
        <w:t>MSC discussion</w:t>
      </w:r>
      <w:r>
        <w:rPr>
          <w:b/>
          <w:bCs/>
          <w:sz w:val="28"/>
        </w:rPr>
        <w:t xml:space="preserve"> </w:t>
      </w:r>
    </w:p>
    <w:p>
      <w:pPr>
        <w:pStyle w:val="Footer"/>
        <w:tabs>
          <w:tab w:val="clear" w:pos="4320"/>
          <w:tab w:val="clear" w:pos="8640"/>
        </w:tabs>
        <w:jc w:val="center"/>
        <w:rPr>
          <w:b/>
          <w:bCs/>
          <w:sz w:val="8"/>
        </w:rPr>
      </w:pPr>
      <w:r>
        <w:rPr>
          <w:b/>
          <w:bCs/>
          <w:sz w:val="8"/>
        </w:rPr>
      </w:r>
    </w:p>
    <w:p>
      <w:pPr>
        <w:pStyle w:val="Footer"/>
        <w:numPr>
          <w:ilvl w:val="1"/>
          <w:numId w:val="3"/>
        </w:numPr>
        <w:tabs>
          <w:tab w:val="clear" w:pos="4320"/>
          <w:tab w:val="clear" w:pos="8640"/>
          <w:tab w:val="left" w:pos="720" w:leader="none"/>
        </w:tabs>
        <w:ind w:hanging="360" w:start="720" w:end="0"/>
        <w:rPr/>
      </w:pPr>
      <w:r>
        <w:rPr>
          <w:rFonts w:cs="Lucida Sans" w:ascii="Lucida Sans" w:hAnsi="Lucida Sans"/>
          <w:b/>
          <w:bCs/>
          <w:u w:val="single"/>
        </w:rPr>
        <w:t>Mr. Nordhaus:</w:t>
      </w:r>
      <w:r>
        <w:rPr/>
        <w:t xml:space="preserve">  If you’re keeping what might be lower-cost energy supplies in the OR stack, and dispatching higher-cost energy in the BEEP stack instead, won’t that inflict unnecessary costs on the ISO?  </w:t>
      </w:r>
    </w:p>
    <w:p>
      <w:pPr>
        <w:pStyle w:val="Footer"/>
        <w:tabs>
          <w:tab w:val="clear" w:pos="4320"/>
          <w:tab w:val="clear" w:pos="8640"/>
        </w:tabs>
        <w:rPr>
          <w:sz w:val="8"/>
        </w:rPr>
      </w:pPr>
      <w:r>
        <w:rPr>
          <w:sz w:val="8"/>
        </w:rPr>
      </w:r>
    </w:p>
    <w:p>
      <w:pPr>
        <w:pStyle w:val="Footer"/>
        <w:tabs>
          <w:tab w:val="clear" w:pos="4320"/>
          <w:tab w:val="clear" w:pos="8640"/>
        </w:tabs>
        <w:ind w:start="900" w:end="0"/>
        <w:rPr/>
      </w:pPr>
      <w:r>
        <w:rPr>
          <w:rFonts w:cs="Abadi MT Condensed Light" w:ascii="Abadi MT Condensed Light" w:hAnsi="Abadi MT Condensed Light"/>
          <w:b/>
          <w:bCs/>
          <w:i/>
          <w:iCs/>
          <w:u w:val="single"/>
        </w:rPr>
        <w:t>DMA:</w:t>
      </w:r>
      <w:r>
        <w:rPr>
          <w:rFonts w:cs="Abadi MT Condensed Light" w:ascii="Abadi MT Condensed Light" w:hAnsi="Abadi MT Condensed Light"/>
          <w:b/>
          <w:bCs/>
          <w:i/>
          <w:iCs/>
        </w:rPr>
        <w:t xml:space="preserve">  It’s true that, in the short term, this is a pure reliability solution.  However, the longer-term changes, allowing OR capacity that wants to be dispatched to bid that way should mitigate that effect, and increasing the potential pool of OR providers should also lower costs.</w:t>
      </w:r>
    </w:p>
    <w:p>
      <w:pPr>
        <w:pStyle w:val="Footer"/>
        <w:tabs>
          <w:tab w:val="clear" w:pos="4320"/>
          <w:tab w:val="clear" w:pos="8640"/>
        </w:tabs>
        <w:rPr>
          <w:rFonts w:ascii="Abadi MT Condensed Light" w:hAnsi="Abadi MT Condensed Light" w:cs="Abadi MT Condensed Light"/>
          <w:b/>
          <w:bCs/>
          <w:i/>
          <w:i/>
          <w:iCs/>
          <w:sz w:val="16"/>
        </w:rPr>
      </w:pPr>
      <w:r>
        <w:rPr>
          <w:rFonts w:cs="Abadi MT Condensed Light" w:ascii="Abadi MT Condensed Light" w:hAnsi="Abadi MT Condensed Light"/>
          <w:b/>
          <w:bCs/>
          <w:i/>
          <w:iCs/>
          <w:sz w:val="16"/>
        </w:rPr>
      </w:r>
    </w:p>
    <w:p>
      <w:pPr>
        <w:pStyle w:val="Footer"/>
        <w:numPr>
          <w:ilvl w:val="1"/>
          <w:numId w:val="3"/>
        </w:numPr>
        <w:tabs>
          <w:tab w:val="clear" w:pos="4320"/>
          <w:tab w:val="clear" w:pos="8640"/>
          <w:tab w:val="left" w:pos="720" w:leader="none"/>
        </w:tabs>
        <w:ind w:hanging="360" w:start="720" w:end="0"/>
        <w:rPr/>
      </w:pPr>
      <w:r>
        <w:rPr>
          <w:rFonts w:cs="Lucida Sans" w:ascii="Lucida Sans" w:hAnsi="Lucida Sans"/>
          <w:b/>
          <w:bCs/>
          <w:u w:val="single"/>
        </w:rPr>
        <w:t>Mr. Nordhaus:</w:t>
      </w:r>
      <w:r>
        <w:rPr/>
        <w:t xml:space="preserve">  For your long-term solution, if they opt out of the BEEP stack, they have to be a price-taker.  What if the market price is lower than their variable cost?  Won’t they have to do what Regulation sellers in that situation do – raise the capacity bid price to make up for that risk?</w:t>
      </w:r>
    </w:p>
    <w:p>
      <w:pPr>
        <w:pStyle w:val="Footer"/>
        <w:tabs>
          <w:tab w:val="clear" w:pos="4320"/>
          <w:tab w:val="clear" w:pos="8640"/>
        </w:tabs>
        <w:rPr>
          <w:sz w:val="8"/>
        </w:rPr>
      </w:pPr>
      <w:r>
        <w:rPr>
          <w:sz w:val="8"/>
        </w:rPr>
      </w:r>
    </w:p>
    <w:p>
      <w:pPr>
        <w:pStyle w:val="Footer"/>
        <w:tabs>
          <w:tab w:val="clear" w:pos="4320"/>
          <w:tab w:val="clear" w:pos="8640"/>
        </w:tabs>
        <w:ind w:start="900" w:end="0"/>
        <w:rPr/>
      </w:pPr>
      <w:r>
        <w:rPr>
          <w:rFonts w:cs="Abadi MT Condensed Light" w:ascii="Abadi MT Condensed Light" w:hAnsi="Abadi MT Condensed Light"/>
          <w:b/>
          <w:bCs/>
          <w:i/>
          <w:iCs/>
          <w:u w:val="single"/>
        </w:rPr>
        <w:t>DMA:</w:t>
      </w:r>
      <w:r>
        <w:rPr>
          <w:rFonts w:cs="Abadi MT Condensed Light" w:ascii="Abadi MT Condensed Light" w:hAnsi="Abadi MT Condensed Light"/>
          <w:b/>
          <w:bCs/>
          <w:i/>
          <w:iCs/>
        </w:rPr>
        <w:t xml:space="preserve">  Since they would be the last dispatched, chances are that prices would be pretty high anyway, so the risk likely wouldn’t be great (and would probably be less than for Regulation).</w:t>
      </w:r>
    </w:p>
    <w:p>
      <w:pPr>
        <w:pStyle w:val="Footer"/>
        <w:tabs>
          <w:tab w:val="clear" w:pos="4320"/>
          <w:tab w:val="clear" w:pos="8640"/>
        </w:tabs>
        <w:rPr>
          <w:rFonts w:ascii="Abadi MT Condensed Light" w:hAnsi="Abadi MT Condensed Light" w:cs="Abadi MT Condensed Light"/>
          <w:b/>
          <w:bCs/>
          <w:i/>
          <w:i/>
          <w:iCs/>
        </w:rPr>
      </w:pPr>
      <w:r>
        <w:rPr>
          <w:rFonts w:cs="Abadi MT Condensed Light" w:ascii="Abadi MT Condensed Light" w:hAnsi="Abadi MT Condensed Light"/>
          <w:b/>
          <w:bCs/>
          <w:i/>
          <w:iCs/>
        </w:rPr>
      </w:r>
    </w:p>
    <w:p>
      <w:pPr>
        <w:pStyle w:val="Heading3"/>
        <w:pBdr>
          <w:top w:val="single" w:sz="12" w:space="1" w:color="000000"/>
          <w:left w:val="single" w:sz="12" w:space="4" w:color="000000"/>
          <w:bottom w:val="single" w:sz="12" w:space="2" w:color="000000"/>
          <w:right w:val="single" w:sz="12" w:space="4" w:color="000000"/>
        </w:pBdr>
        <w:ind w:hanging="0" w:start="0"/>
        <w:rPr>
          <w:rFonts w:ascii="Lucida Sans" w:hAnsi="Lucida Sans" w:cs="Lucida Sans Unicode"/>
        </w:rPr>
      </w:pPr>
      <w:r>
        <w:rPr>
          <w:rFonts w:cs="Lucida Sans Unicode" w:ascii="Lucida Sans" w:hAnsi="Lucida Sans"/>
        </w:rPr>
        <w:t>Shortage of Adjustment Bids</w:t>
      </w:r>
    </w:p>
    <w:p>
      <w:pPr>
        <w:pStyle w:val="Footer"/>
        <w:tabs>
          <w:tab w:val="clear" w:pos="4320"/>
          <w:tab w:val="clear" w:pos="8640"/>
        </w:tabs>
        <w:rPr>
          <w:rFonts w:ascii="Arial" w:hAnsi="Arial" w:cs="Arial"/>
          <w:b/>
          <w:bCs/>
          <w:u w:val="single"/>
        </w:rPr>
      </w:pPr>
      <w:r>
        <w:rPr>
          <w:rFonts w:cs="Arial" w:ascii="Arial" w:hAnsi="Arial"/>
          <w:b/>
          <w:bCs/>
          <w:u w:val="single"/>
        </w:rPr>
        <w:t>Background</w:t>
      </w:r>
    </w:p>
    <w:p>
      <w:pPr>
        <w:pStyle w:val="Footer"/>
        <w:tabs>
          <w:tab w:val="clear" w:pos="4320"/>
          <w:tab w:val="clear" w:pos="8640"/>
        </w:tabs>
        <w:rPr/>
      </w:pPr>
      <w:r>
        <w:rPr/>
        <w:t xml:space="preserve">When Scheduling Coordinators (SCs) submit proposed load and generation schedules a day in advance to the ISO.  Often, accommodating those schedules would result in overloading the capacity of one or more major transmission paths.  </w:t>
      </w:r>
    </w:p>
    <w:p>
      <w:pPr>
        <w:pStyle w:val="Footer"/>
        <w:tabs>
          <w:tab w:val="clear" w:pos="4320"/>
          <w:tab w:val="clear" w:pos="8640"/>
        </w:tabs>
        <w:rPr>
          <w:sz w:val="16"/>
        </w:rPr>
      </w:pPr>
      <w:r>
        <w:rPr>
          <w:sz w:val="16"/>
        </w:rPr>
      </w:r>
    </w:p>
    <w:p>
      <w:pPr>
        <w:pStyle w:val="Footer"/>
        <w:tabs>
          <w:tab w:val="clear" w:pos="4320"/>
          <w:tab w:val="clear" w:pos="8640"/>
        </w:tabs>
        <w:rPr/>
      </w:pPr>
      <w:r>
        <w:rPr/>
        <w:t xml:space="preserve">To resolve the potential congestion in the most economically efficient way, and accommodate all the schedules submitted, the ISO calls on “Adjustment Bids.”  These are bids by SCs to increase generation (or decrease loads) on one side of the congested path, and decrease generation (or increase loads) on the other, so that the potential congestion would be relieved.  </w:t>
      </w:r>
    </w:p>
    <w:p>
      <w:pPr>
        <w:pStyle w:val="Footer"/>
        <w:tabs>
          <w:tab w:val="clear" w:pos="4320"/>
          <w:tab w:val="clear" w:pos="8640"/>
        </w:tabs>
        <w:rPr>
          <w:sz w:val="16"/>
        </w:rPr>
      </w:pPr>
      <w:r>
        <w:rPr>
          <w:sz w:val="16"/>
        </w:rPr>
      </w:r>
    </w:p>
    <w:p>
      <w:pPr>
        <w:pStyle w:val="Footer"/>
        <w:tabs>
          <w:tab w:val="clear" w:pos="4320"/>
          <w:tab w:val="clear" w:pos="8640"/>
        </w:tabs>
        <w:rPr/>
      </w:pPr>
      <w:r>
        <w:rPr/>
        <w:t xml:space="preserve">The Adjustment Bids are accepted in merit (price) order, and the SCs providing them are paid their bid prices.  The last (most expensive) Adjustment Bid sets the uniform congestion, or “usage,” charge that is then assessed to all SCs using the transmission path.  </w:t>
      </w:r>
      <w:r>
        <w:rPr>
          <w:i/>
          <w:iCs/>
        </w:rPr>
        <w:t>(The difference between the revenues received from the path users and the bid prices paid to the Adjustment Bid sellers is given to the owners of the transmission path, who credit it to their end-use customers paying the cost of transmission in their rates.)</w:t>
      </w:r>
    </w:p>
    <w:p>
      <w:pPr>
        <w:pStyle w:val="Footer"/>
        <w:tabs>
          <w:tab w:val="clear" w:pos="4320"/>
          <w:tab w:val="clear" w:pos="8640"/>
        </w:tabs>
        <w:rPr>
          <w:i/>
          <w:i/>
          <w:iCs/>
          <w:sz w:val="16"/>
        </w:rPr>
      </w:pPr>
      <w:r>
        <w:rPr>
          <w:i/>
          <w:iCs/>
          <w:sz w:val="16"/>
        </w:rPr>
      </w:r>
    </w:p>
    <w:p>
      <w:pPr>
        <w:pStyle w:val="Footer"/>
        <w:tabs>
          <w:tab w:val="clear" w:pos="4320"/>
          <w:tab w:val="clear" w:pos="8640"/>
        </w:tabs>
        <w:rPr/>
      </w:pPr>
      <w:r>
        <w:rPr/>
        <w:t>However, if there aren’t enough Adjustment Bids to clear the transmission path, then all the SCs’ schedules cannot be accommodated.  In those situations, “pro rata” schedule adjustments (e.g., generation increases and decreases) must be made to avoid line overloads.</w:t>
      </w:r>
    </w:p>
    <w:p>
      <w:pPr>
        <w:pStyle w:val="Footer"/>
        <w:tabs>
          <w:tab w:val="clear" w:pos="4320"/>
          <w:tab w:val="clear" w:pos="8640"/>
        </w:tabs>
        <w:rPr>
          <w:sz w:val="16"/>
        </w:rPr>
      </w:pPr>
      <w:r>
        <w:rPr>
          <w:sz w:val="16"/>
        </w:rPr>
      </w:r>
    </w:p>
    <w:p>
      <w:pPr>
        <w:pStyle w:val="Footer"/>
        <w:tabs>
          <w:tab w:val="clear" w:pos="4320"/>
          <w:tab w:val="clear" w:pos="8640"/>
        </w:tabs>
        <w:rPr>
          <w:rFonts w:ascii="Arial" w:hAnsi="Arial" w:cs="Arial"/>
          <w:b/>
          <w:bCs/>
          <w:u w:val="single"/>
        </w:rPr>
      </w:pPr>
      <w:r>
        <w:rPr>
          <w:rFonts w:cs="Arial" w:ascii="Arial" w:hAnsi="Arial"/>
          <w:b/>
          <w:bCs/>
          <w:u w:val="single"/>
        </w:rPr>
        <w:t>Problems with Path 15 congestion management</w:t>
      </w:r>
    </w:p>
    <w:p>
      <w:pPr>
        <w:pStyle w:val="Footer"/>
        <w:tabs>
          <w:tab w:val="clear" w:pos="4320"/>
          <w:tab w:val="clear" w:pos="8640"/>
        </w:tabs>
        <w:rPr/>
      </w:pPr>
      <w:r>
        <w:rPr/>
        <w:t xml:space="preserve">There has been “frequent, significant” congestion on Path 15, the major connecting transmission path between northern and southern California.  </w:t>
      </w:r>
      <w:r>
        <w:rPr>
          <w:i/>
          <w:iCs/>
        </w:rPr>
        <w:t>(The presence of supplies in southern California that can’t get to loads in northern California has been a major cause of recent supply problems in the north.)</w:t>
      </w:r>
      <w:r>
        <w:rPr/>
        <w:t xml:space="preserve">  There have been insufficient Adjustment Bids submitted to resolve the congestion, and schedule adjustments have been necessary.</w:t>
      </w:r>
    </w:p>
    <w:p>
      <w:pPr>
        <w:pStyle w:val="Footer"/>
        <w:tabs>
          <w:tab w:val="clear" w:pos="4320"/>
          <w:tab w:val="clear" w:pos="8640"/>
        </w:tabs>
        <w:rPr>
          <w:sz w:val="16"/>
        </w:rPr>
      </w:pPr>
      <w:r>
        <w:rPr>
          <w:sz w:val="16"/>
        </w:rPr>
      </w:r>
    </w:p>
    <w:p>
      <w:pPr>
        <w:pStyle w:val="Footer"/>
        <w:tabs>
          <w:tab w:val="clear" w:pos="4320"/>
          <w:tab w:val="clear" w:pos="8640"/>
        </w:tabs>
        <w:rPr/>
      </w:pPr>
      <w:r>
        <w:rPr>
          <w:rFonts w:cs="BookmanITC Lt BT" w:ascii="BookmanITC Lt BT" w:hAnsi="BookmanITC Lt BT"/>
          <w:b/>
          <w:bCs/>
          <w:u w:val="single"/>
        </w:rPr>
        <w:t>Problems with pro rata curtailments:</w:t>
      </w:r>
      <w:r>
        <w:rPr/>
        <w:t xml:space="preserve">  Because of what were characterized as “problems in the ISO’s algorithm,” these pro-rata schedule adjustments have caused several problems:</w:t>
      </w:r>
    </w:p>
    <w:p>
      <w:pPr>
        <w:pStyle w:val="Footer"/>
        <w:tabs>
          <w:tab w:val="clear" w:pos="4320"/>
          <w:tab w:val="clear" w:pos="8640"/>
        </w:tabs>
        <w:rPr>
          <w:sz w:val="8"/>
        </w:rPr>
      </w:pPr>
      <w:r>
        <w:rPr>
          <w:sz w:val="8"/>
        </w:rPr>
      </w:r>
    </w:p>
    <w:p>
      <w:pPr>
        <w:pStyle w:val="Footer"/>
        <w:numPr>
          <w:ilvl w:val="1"/>
          <w:numId w:val="3"/>
        </w:numPr>
        <w:tabs>
          <w:tab w:val="clear" w:pos="4320"/>
          <w:tab w:val="clear" w:pos="8640"/>
          <w:tab w:val="left" w:pos="720" w:leader="none"/>
        </w:tabs>
        <w:ind w:hanging="360" w:start="720" w:end="0"/>
        <w:rPr/>
      </w:pPr>
      <w:r>
        <w:rPr>
          <w:rFonts w:cs="Lucida Sans" w:ascii="Lucida Sans" w:hAnsi="Lucida Sans"/>
          <w:b/>
          <w:bCs/>
          <w:u w:val="single"/>
        </w:rPr>
        <w:t>Some generating units have refused to follow ISO instructions</w:t>
      </w:r>
      <w:r>
        <w:rPr/>
        <w:t>, because:</w:t>
      </w:r>
    </w:p>
    <w:p>
      <w:pPr>
        <w:pStyle w:val="Footer"/>
        <w:tabs>
          <w:tab w:val="clear" w:pos="4320"/>
          <w:tab w:val="clear" w:pos="8640"/>
        </w:tabs>
        <w:rPr>
          <w:sz w:val="8"/>
        </w:rPr>
      </w:pPr>
      <w:r>
        <w:rPr>
          <w:sz w:val="8"/>
        </w:rPr>
      </w:r>
    </w:p>
    <w:p>
      <w:pPr>
        <w:pStyle w:val="Footer"/>
        <w:numPr>
          <w:ilvl w:val="2"/>
          <w:numId w:val="3"/>
        </w:numPr>
        <w:tabs>
          <w:tab w:val="clear" w:pos="4320"/>
          <w:tab w:val="clear" w:pos="8640"/>
          <w:tab w:val="left" w:pos="1440" w:leader="none"/>
        </w:tabs>
        <w:ind w:hanging="360" w:start="1440" w:end="0"/>
        <w:rPr/>
      </w:pPr>
      <w:r>
        <w:rPr/>
        <w:t>They were ordered to reduce their generation to zero, instead of their minimum operating level (where they need to be in order to meet schedules later);</w:t>
      </w:r>
    </w:p>
    <w:p>
      <w:pPr>
        <w:pStyle w:val="Footer"/>
        <w:tabs>
          <w:tab w:val="clear" w:pos="4320"/>
          <w:tab w:val="clear" w:pos="8640"/>
          <w:tab w:val="left" w:pos="1440" w:leader="none"/>
        </w:tabs>
        <w:ind w:hanging="360" w:start="1440" w:end="0"/>
        <w:rPr>
          <w:sz w:val="8"/>
        </w:rPr>
      </w:pPr>
      <w:r>
        <w:rPr>
          <w:sz w:val="8"/>
        </w:rPr>
      </w:r>
    </w:p>
    <w:p>
      <w:pPr>
        <w:pStyle w:val="Footer"/>
        <w:numPr>
          <w:ilvl w:val="2"/>
          <w:numId w:val="3"/>
        </w:numPr>
        <w:tabs>
          <w:tab w:val="clear" w:pos="4320"/>
          <w:tab w:val="clear" w:pos="8640"/>
          <w:tab w:val="left" w:pos="1440" w:leader="none"/>
        </w:tabs>
        <w:ind w:hanging="360" w:start="1440" w:end="0"/>
        <w:rPr/>
      </w:pPr>
      <w:r>
        <w:rPr/>
        <w:t>“</w:t>
      </w:r>
      <w:r>
        <w:rPr/>
        <w:t>Energy-limited” resources, such as hydroelectricity, were ordered to generate at high levels but want to conserve their limited production capability for later use;  and</w:t>
      </w:r>
    </w:p>
    <w:p>
      <w:pPr>
        <w:pStyle w:val="Footer"/>
        <w:tabs>
          <w:tab w:val="clear" w:pos="4320"/>
          <w:tab w:val="clear" w:pos="8640"/>
          <w:tab w:val="left" w:pos="1440" w:leader="none"/>
        </w:tabs>
        <w:ind w:hanging="360" w:start="1440" w:end="0"/>
        <w:rPr>
          <w:sz w:val="8"/>
        </w:rPr>
      </w:pPr>
      <w:r>
        <w:rPr>
          <w:sz w:val="8"/>
        </w:rPr>
      </w:r>
    </w:p>
    <w:p>
      <w:pPr>
        <w:pStyle w:val="Footer"/>
        <w:numPr>
          <w:ilvl w:val="2"/>
          <w:numId w:val="3"/>
        </w:numPr>
        <w:tabs>
          <w:tab w:val="clear" w:pos="4320"/>
          <w:tab w:val="clear" w:pos="8640"/>
          <w:tab w:val="left" w:pos="1440" w:leader="none"/>
        </w:tabs>
        <w:ind w:hanging="360" w:start="1440" w:end="0"/>
        <w:rPr/>
      </w:pPr>
      <w:r>
        <w:rPr/>
        <w:t>“</w:t>
      </w:r>
      <w:r>
        <w:rPr/>
        <w:t>Non-dispatchable” resources (e.g., nuclear and QFs) were ordered to reduce their generation but may be physically unable to do so.</w:t>
      </w:r>
    </w:p>
    <w:p>
      <w:pPr>
        <w:pStyle w:val="Footer"/>
        <w:tabs>
          <w:tab w:val="clear" w:pos="4320"/>
          <w:tab w:val="clear" w:pos="8640"/>
        </w:tabs>
        <w:rPr>
          <w:sz w:val="12"/>
        </w:rPr>
      </w:pPr>
      <w:r>
        <w:rPr>
          <w:sz w:val="12"/>
        </w:rPr>
      </w:r>
    </w:p>
    <w:p>
      <w:pPr>
        <w:pStyle w:val="Footer"/>
        <w:numPr>
          <w:ilvl w:val="1"/>
          <w:numId w:val="3"/>
        </w:numPr>
        <w:tabs>
          <w:tab w:val="clear" w:pos="4320"/>
          <w:tab w:val="clear" w:pos="8640"/>
          <w:tab w:val="left" w:pos="720" w:leader="none"/>
        </w:tabs>
        <w:ind w:hanging="360" w:start="720" w:end="0"/>
        <w:rPr/>
      </w:pPr>
      <w:r>
        <w:rPr>
          <w:rFonts w:cs="Lucida Sans" w:ascii="Lucida Sans" w:hAnsi="Lucida Sans"/>
          <w:b/>
          <w:bCs/>
          <w:u w:val="single"/>
        </w:rPr>
        <w:t>Non-dispatchable loads have been ordered to curtail but show up anyway</w:t>
      </w:r>
      <w:r>
        <w:rPr/>
        <w:t xml:space="preserve"> in real time.  </w:t>
      </w:r>
    </w:p>
    <w:p>
      <w:pPr>
        <w:pStyle w:val="Footer"/>
        <w:tabs>
          <w:tab w:val="clear" w:pos="4320"/>
          <w:tab w:val="clear" w:pos="8640"/>
        </w:tabs>
        <w:rPr>
          <w:sz w:val="8"/>
        </w:rPr>
      </w:pPr>
      <w:r>
        <w:rPr>
          <w:sz w:val="8"/>
        </w:rPr>
      </w:r>
    </w:p>
    <w:p>
      <w:pPr>
        <w:pStyle w:val="Footer"/>
        <w:tabs>
          <w:tab w:val="clear" w:pos="4320"/>
          <w:tab w:val="clear" w:pos="8640"/>
        </w:tabs>
        <w:ind w:start="720" w:end="0"/>
        <w:rPr/>
      </w:pPr>
      <w:r>
        <w:rPr>
          <w:rFonts w:cs="Abadi MT Condensed Light" w:ascii="Abadi MT Condensed Light" w:hAnsi="Abadi MT Condensed Light"/>
          <w:b/>
          <w:bCs/>
          <w:i/>
          <w:iCs/>
          <w:color w:val="0000FF"/>
        </w:rPr>
        <w:t>[</w:t>
      </w:r>
      <w:r>
        <w:rPr>
          <w:rFonts w:cs="Abadi MT Condensed Light" w:ascii="Abadi MT Condensed Light" w:hAnsi="Abadi MT Condensed Light"/>
          <w:b/>
          <w:bCs/>
          <w:i/>
          <w:iCs/>
          <w:color w:val="0000FF"/>
          <w:u w:val="single"/>
        </w:rPr>
        <w:t>Consultant note</w:t>
      </w:r>
      <w:r>
        <w:rPr>
          <w:rFonts w:cs="Abadi MT Condensed Light" w:ascii="Abadi MT Condensed Light" w:hAnsi="Abadi MT Condensed Light"/>
          <w:b/>
          <w:bCs/>
          <w:i/>
          <w:iCs/>
          <w:color w:val="0000FF"/>
        </w:rPr>
        <w:t xml:space="preserve">:  As I understand it, this last point is not really a pro rata curtailment issue, but a problem with Adjustment Bids.  Apparently, the practice of submitting Adjustment Bids on firm loads, much lamented by ISO Management, continues.  The Adjustment Bid is submitted at a very attractive price, so that the congestion management market clears at a low price and usage charges are low.  </w:t>
      </w:r>
    </w:p>
    <w:p>
      <w:pPr>
        <w:pStyle w:val="Footer"/>
        <w:tabs>
          <w:tab w:val="clear" w:pos="4320"/>
          <w:tab w:val="clear" w:pos="8640"/>
        </w:tabs>
        <w:ind w:start="720" w:end="0"/>
        <w:rPr>
          <w:rFonts w:ascii="Abadi MT Condensed Light" w:hAnsi="Abadi MT Condensed Light" w:cs="Abadi MT Condensed Light"/>
          <w:b/>
          <w:bCs/>
          <w:i/>
          <w:i/>
          <w:iCs/>
          <w:color w:val="0000FF"/>
          <w:sz w:val="8"/>
        </w:rPr>
      </w:pPr>
      <w:r>
        <w:rPr>
          <w:rFonts w:cs="Abadi MT Condensed Light" w:ascii="Abadi MT Condensed Light" w:hAnsi="Abadi MT Condensed Light"/>
          <w:b/>
          <w:bCs/>
          <w:i/>
          <w:iCs/>
          <w:color w:val="0000FF"/>
          <w:sz w:val="8"/>
        </w:rPr>
      </w:r>
    </w:p>
    <w:p>
      <w:pPr>
        <w:pStyle w:val="Footer"/>
        <w:tabs>
          <w:tab w:val="clear" w:pos="4320"/>
          <w:tab w:val="clear" w:pos="8640"/>
        </w:tabs>
        <w:ind w:start="720" w:end="0"/>
        <w:rPr>
          <w:rFonts w:ascii="Abadi MT Condensed Light" w:hAnsi="Abadi MT Condensed Light" w:cs="Abadi MT Condensed Light"/>
          <w:b/>
          <w:bCs/>
          <w:i/>
          <w:i/>
          <w:iCs/>
          <w:color w:val="0000FF"/>
        </w:rPr>
      </w:pPr>
      <w:r>
        <w:rPr>
          <w:rFonts w:cs="Abadi MT Condensed Light" w:ascii="Abadi MT Condensed Light" w:hAnsi="Abadi MT Condensed Light"/>
          <w:b/>
          <w:bCs/>
          <w:i/>
          <w:iCs/>
          <w:color w:val="0000FF"/>
        </w:rPr>
        <w:t>However, the load can’t really curtail and shows up in real time, forcing extraordinary action by ISO operators to avoid line overloads.  The load is then subject to under-scheduling charges and allocation of above-$150 Imbalance Energy charges, but apparently these are more than cancelled out by the lower usage charges.]</w:t>
      </w:r>
    </w:p>
    <w:p>
      <w:pPr>
        <w:pStyle w:val="Footer"/>
        <w:tabs>
          <w:tab w:val="clear" w:pos="4320"/>
          <w:tab w:val="clear" w:pos="8640"/>
        </w:tabs>
        <w:rPr>
          <w:rFonts w:ascii="Abadi MT Condensed Light" w:hAnsi="Abadi MT Condensed Light" w:cs="Abadi MT Condensed Light"/>
          <w:b/>
          <w:bCs/>
          <w:i/>
          <w:i/>
          <w:iCs/>
          <w:color w:val="0000FF"/>
          <w:sz w:val="16"/>
        </w:rPr>
      </w:pPr>
      <w:r>
        <w:rPr>
          <w:rFonts w:cs="Abadi MT Condensed Light" w:ascii="Abadi MT Condensed Light" w:hAnsi="Abadi MT Condensed Light"/>
          <w:b/>
          <w:bCs/>
          <w:i/>
          <w:iCs/>
          <w:color w:val="0000FF"/>
          <w:sz w:val="16"/>
        </w:rPr>
      </w:r>
    </w:p>
    <w:p>
      <w:pPr>
        <w:pStyle w:val="Footer"/>
        <w:tabs>
          <w:tab w:val="clear" w:pos="4320"/>
          <w:tab w:val="clear" w:pos="8640"/>
        </w:tabs>
        <w:rPr/>
      </w:pPr>
      <w:r>
        <w:rPr>
          <w:rFonts w:cs="BookmanITC Lt BT" w:ascii="BookmanITC Lt BT" w:hAnsi="BookmanITC Lt BT"/>
          <w:b/>
          <w:bCs/>
          <w:u w:val="single"/>
        </w:rPr>
        <w:t>Why there is a shortage of Adjustment Bids:</w:t>
      </w:r>
      <w:r>
        <w:rPr/>
        <w:t xml:space="preserve">  DMA attributed the lack of Adjustment Bids to the following factors:</w:t>
      </w:r>
    </w:p>
    <w:p>
      <w:pPr>
        <w:pStyle w:val="Footer"/>
        <w:tabs>
          <w:tab w:val="clear" w:pos="4320"/>
          <w:tab w:val="clear" w:pos="8640"/>
        </w:tabs>
        <w:rPr>
          <w:sz w:val="8"/>
        </w:rPr>
      </w:pPr>
      <w:r>
        <w:rPr>
          <w:sz w:val="8"/>
        </w:rPr>
      </w:r>
    </w:p>
    <w:p>
      <w:pPr>
        <w:pStyle w:val="Footer"/>
        <w:numPr>
          <w:ilvl w:val="1"/>
          <w:numId w:val="3"/>
        </w:numPr>
        <w:tabs>
          <w:tab w:val="clear" w:pos="4320"/>
          <w:tab w:val="clear" w:pos="8640"/>
          <w:tab w:val="left" w:pos="720" w:leader="none"/>
        </w:tabs>
        <w:ind w:hanging="360" w:start="720" w:end="0"/>
        <w:rPr/>
      </w:pPr>
      <w:r>
        <w:rPr>
          <w:rFonts w:cs="Lucida Sans" w:ascii="Lucida Sans" w:hAnsi="Lucida Sans"/>
          <w:b/>
          <w:bCs/>
          <w:u w:val="single"/>
        </w:rPr>
        <w:t>Significant energy/loads are not scheduled in the forward market</w:t>
      </w:r>
      <w:r>
        <w:rPr/>
        <w:t>, and they can’t provide Adjustment Bids if they’re not even scheduled;</w:t>
      </w:r>
    </w:p>
    <w:p>
      <w:pPr>
        <w:pStyle w:val="Footer"/>
        <w:tabs>
          <w:tab w:val="clear" w:pos="4320"/>
          <w:tab w:val="clear" w:pos="8640"/>
          <w:tab w:val="left" w:pos="720" w:leader="none"/>
        </w:tabs>
        <w:ind w:hanging="360" w:start="720" w:end="0"/>
        <w:rPr>
          <w:sz w:val="8"/>
        </w:rPr>
      </w:pPr>
      <w:r>
        <w:rPr>
          <w:sz w:val="8"/>
        </w:rPr>
      </w:r>
    </w:p>
    <w:p>
      <w:pPr>
        <w:pStyle w:val="Footer"/>
        <w:numPr>
          <w:ilvl w:val="1"/>
          <w:numId w:val="3"/>
        </w:numPr>
        <w:tabs>
          <w:tab w:val="clear" w:pos="4320"/>
          <w:tab w:val="clear" w:pos="8640"/>
          <w:tab w:val="left" w:pos="720" w:leader="none"/>
        </w:tabs>
        <w:ind w:hanging="360" w:start="720" w:end="0"/>
        <w:rPr/>
      </w:pPr>
      <w:r>
        <w:rPr>
          <w:rFonts w:cs="Lucida Sans" w:ascii="Lucida Sans" w:hAnsi="Lucida Sans"/>
          <w:b/>
          <w:bCs/>
          <w:u w:val="single"/>
        </w:rPr>
        <w:t>Shrinkage in the size of the Cal-PX markets</w:t>
      </w:r>
      <w:r>
        <w:rPr/>
        <w:t>, where some congestion would have been resolved in advance through use of “constrained” prices;  and</w:t>
      </w:r>
    </w:p>
    <w:p>
      <w:pPr>
        <w:pStyle w:val="Footer"/>
        <w:tabs>
          <w:tab w:val="clear" w:pos="4320"/>
          <w:tab w:val="clear" w:pos="8640"/>
          <w:tab w:val="left" w:pos="720" w:leader="none"/>
        </w:tabs>
        <w:ind w:hanging="360" w:start="720" w:end="0"/>
        <w:rPr>
          <w:sz w:val="8"/>
        </w:rPr>
      </w:pPr>
      <w:r>
        <w:rPr>
          <w:sz w:val="8"/>
        </w:rPr>
      </w:r>
    </w:p>
    <w:p>
      <w:pPr>
        <w:pStyle w:val="Footer"/>
        <w:numPr>
          <w:ilvl w:val="1"/>
          <w:numId w:val="3"/>
        </w:numPr>
        <w:tabs>
          <w:tab w:val="clear" w:pos="4320"/>
          <w:tab w:val="clear" w:pos="8640"/>
          <w:tab w:val="left" w:pos="720" w:leader="none"/>
        </w:tabs>
        <w:ind w:hanging="360" w:start="720" w:end="0"/>
        <w:rPr/>
      </w:pPr>
      <w:r>
        <w:rPr>
          <w:rFonts w:cs="Lucida Sans" w:ascii="Lucida Sans" w:hAnsi="Lucida Sans"/>
          <w:b/>
          <w:bCs/>
          <w:u w:val="single"/>
        </w:rPr>
        <w:t>Utilities scheduling their own generation to serve their own loads</w:t>
      </w:r>
      <w:r>
        <w:rPr/>
        <w:t>, without submission of Adjustment Bids.</w:t>
      </w:r>
    </w:p>
    <w:p>
      <w:pPr>
        <w:pStyle w:val="Footer"/>
        <w:tabs>
          <w:tab w:val="clear" w:pos="4320"/>
          <w:tab w:val="clear" w:pos="8640"/>
        </w:tabs>
        <w:rPr>
          <w:sz w:val="16"/>
        </w:rPr>
      </w:pPr>
      <w:r>
        <w:rPr>
          <w:sz w:val="16"/>
        </w:rPr>
      </w:r>
    </w:p>
    <w:p>
      <w:pPr>
        <w:pStyle w:val="Footer"/>
        <w:tabs>
          <w:tab w:val="clear" w:pos="4320"/>
          <w:tab w:val="clear" w:pos="8640"/>
        </w:tabs>
        <w:rPr/>
      </w:pPr>
      <w:r>
        <w:rPr>
          <w:rFonts w:cs="BookmanITC Lt BT" w:ascii="BookmanITC Lt BT" w:hAnsi="BookmanITC Lt BT"/>
          <w:b/>
          <w:bCs/>
          <w:u w:val="single"/>
        </w:rPr>
        <w:t>Potential solutions:</w:t>
      </w:r>
      <w:r>
        <w:rPr/>
        <w:t xml:space="preserve">  No solutions were proposed at this time, but DMA is considering various alternatives and expects to make some proposals in the future.</w:t>
      </w:r>
    </w:p>
    <w:p>
      <w:pPr>
        <w:pStyle w:val="Footer"/>
        <w:tabs>
          <w:tab w:val="clear" w:pos="4320"/>
          <w:tab w:val="clear" w:pos="8640"/>
        </w:tabs>
        <w:rPr/>
      </w:pPr>
      <w:r>
        <w:rPr/>
      </w:r>
    </w:p>
    <w:sectPr>
      <w:footerReference w:type="default" r:id="rId11"/>
      <w:type w:val="nextPage"/>
      <w:pgSz w:w="12240" w:h="15408"/>
      <w:pgMar w:left="1800" w:right="1800" w:gutter="0" w:header="0" w:top="1440" w:footer="720" w:bottom="1440"/>
      <w:pgBorders w:display="allPages" w:offsetFrom="page">
        <w:top w:val="single" w:sz="4" w:space="24" w:color="0000FF" w:shadow="1"/>
        <w:left w:val="single" w:sz="4" w:space="24" w:color="0000FF" w:shadow="1"/>
        <w:bottom w:val="single" w:sz="4" w:space="24" w:color="0000FF" w:shadow="1"/>
        <w:right w:val="single" w:sz="4" w:space="24" w:color="0000FF" w:shadow="1"/>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ucida Sans">
    <w:charset w:val="00" w:characterSet="windows-1252"/>
    <w:family w:val="swiss"/>
    <w:pitch w:val="variable"/>
  </w:font>
  <w:font w:name="Tahoma">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Arial Narrow">
    <w:charset w:val="00" w:characterSet="windows-1252"/>
    <w:family w:val="swiss"/>
    <w:pitch w:val="variable"/>
  </w:font>
  <w:font w:name="Liberation Sans">
    <w:altName w:val="Arial"/>
    <w:charset w:val="01" w:characterSet="utf-8"/>
    <w:family w:val="swiss"/>
    <w:pitch w:val="variable"/>
  </w:font>
  <w:font w:name="Abadi MT Condensed Light">
    <w:charset w:val="00" w:characterSet="windows-1252"/>
    <w:family w:val="swiss"/>
    <w:pitch w:val="variable"/>
  </w:font>
  <w:font w:name="BookmanITC Lt BT">
    <w:charset w:val="00" w:characterSet="windows-1252"/>
    <w:family w:val="roman"/>
    <w:pitch w:val="variable"/>
  </w:font>
  <w:font w:name="Technical">
    <w:charset w:val="00" w:characterSet="windows-1252"/>
    <w:family w:val="script"/>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17">
              <wp:simplePos x="0" y="0"/>
              <wp:positionH relativeFrom="margin">
                <wp:align>right</wp:align>
              </wp:positionH>
              <wp:positionV relativeFrom="paragraph">
                <wp:posOffset>635</wp:posOffset>
              </wp:positionV>
              <wp:extent cx="153035" cy="175260"/>
              <wp:effectExtent l="0" t="0" r="0" b="0"/>
              <wp:wrapSquare wrapText="bothSides"/>
              <wp:docPr id="4"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419.1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bullet"/>
      <w:lvlText w:val=""/>
      <w:lvlJc w:val="start"/>
      <w:pPr>
        <w:tabs>
          <w:tab w:val="num" w:pos="720"/>
        </w:tabs>
        <w:ind w:start="720" w:hanging="360"/>
      </w:pPr>
      <w:rPr>
        <w:rFonts w:ascii="Wingdings" w:hAnsi="Wingdings" w:cs="Wingdings" w:hint="default"/>
      </w:rPr>
    </w:lvl>
  </w:abstractNum>
  <w:abstractNum w:abstractNumId="3">
    <w:lvl w:ilvl="0">
      <w:start w:val="2"/>
      <w:numFmt w:val="bullet"/>
      <w:lvlText w:val=""/>
      <w:lvlJc w:val="start"/>
      <w:pPr>
        <w:tabs>
          <w:tab w:val="num" w:pos="720"/>
        </w:tabs>
        <w:ind w:start="720" w:hanging="360"/>
      </w:pPr>
      <w:rPr>
        <w:rFonts w:ascii="Symbol" w:hAnsi="Symbol" w:cs="Symbol" w:hint="default"/>
      </w:rPr>
    </w:lvl>
    <w:lvl w:ilvl="1">
      <w:start w:val="2"/>
      <w:numFmt w:val="bullet"/>
      <w:lvlText w:val=""/>
      <w:lvlJc w:val="start"/>
      <w:pPr>
        <w:tabs>
          <w:tab w:val="num" w:pos="720"/>
        </w:tabs>
        <w:ind w:start="1440" w:hanging="360"/>
      </w:pPr>
      <w:rPr>
        <w:rFonts w:ascii="Wingdings" w:hAnsi="Wingdings" w:cs="Wingdings" w:hint="default"/>
        <w:u w:val="single"/>
        <w:b/>
      </w:rPr>
    </w:lvl>
    <w:lvl w:ilvl="2">
      <w:start w:val="2"/>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4">
    <w:lvl w:ilvl="0">
      <w:start w:val="1"/>
      <w:numFmt w:val="bullet"/>
      <w:lvlText w:val=""/>
      <w:lvlJc w:val="start"/>
      <w:pPr>
        <w:tabs>
          <w:tab w:val="num" w:pos="720"/>
        </w:tabs>
        <w:ind w:start="1800" w:hanging="360"/>
      </w:pPr>
      <w:rPr>
        <w:rFonts w:ascii="Symbol" w:hAnsi="Symbol" w:cs="Symbol" w:hint="default"/>
      </w:rPr>
    </w:lvl>
  </w:abstractNum>
  <w:abstractNum w:abstractNumId="5">
    <w:lvl w:ilvl="0">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z w:val="40"/>
    </w:rPr>
  </w:style>
  <w:style w:type="paragraph" w:styleId="Heading2">
    <w:name w:val="heading 2"/>
    <w:basedOn w:val="Normal"/>
    <w:next w:val="Normal"/>
    <w:qFormat/>
    <w:pPr>
      <w:keepNext w:val="true"/>
      <w:numPr>
        <w:ilvl w:val="1"/>
        <w:numId w:val="1"/>
      </w:numPr>
      <w:outlineLvl w:val="1"/>
    </w:pPr>
    <w:rPr>
      <w:b/>
      <w:bCs/>
      <w:sz w:val="52"/>
    </w:rPr>
  </w:style>
  <w:style w:type="paragraph" w:styleId="Heading3">
    <w:name w:val="heading 3"/>
    <w:basedOn w:val="Normal"/>
    <w:next w:val="Normal"/>
    <w:qFormat/>
    <w:pPr>
      <w:keepNext w:val="true"/>
      <w:numPr>
        <w:ilvl w:val="2"/>
        <w:numId w:val="1"/>
      </w:numPr>
      <w:shd w:fill="E0E0E0" w:val="clear"/>
      <w:outlineLvl w:val="2"/>
    </w:pPr>
    <w:rPr>
      <w:b/>
      <w:bCs/>
      <w:sz w:val="28"/>
    </w:rPr>
  </w:style>
  <w:style w:type="paragraph" w:styleId="Heading4">
    <w:name w:val="heading 4"/>
    <w:basedOn w:val="Normal"/>
    <w:next w:val="Normal"/>
    <w:qFormat/>
    <w:pPr>
      <w:keepNext w:val="true"/>
      <w:numPr>
        <w:ilvl w:val="3"/>
        <w:numId w:val="1"/>
      </w:numPr>
      <w:outlineLvl w:val="3"/>
    </w:pPr>
    <w:rPr>
      <w:rFonts w:ascii="Lucida Sans" w:hAnsi="Lucida Sans" w:cs="Lucida Sans Unicode"/>
      <w:b/>
      <w:bCs/>
      <w:u w:val="single"/>
    </w:rPr>
  </w:style>
  <w:style w:type="paragraph" w:styleId="Heading5">
    <w:name w:val="heading 5"/>
    <w:basedOn w:val="Normal"/>
    <w:next w:val="Normal"/>
    <w:qFormat/>
    <w:pPr>
      <w:keepNext w:val="true"/>
      <w:numPr>
        <w:ilvl w:val="4"/>
        <w:numId w:val="1"/>
      </w:numPr>
      <w:shd w:fill="E0E0E0" w:val="clear"/>
      <w:outlineLvl w:val="4"/>
    </w:pPr>
    <w:rPr>
      <w:rFonts w:ascii="Lucida Sans" w:hAnsi="Lucida Sans" w:cs="Lucida Sans"/>
      <w:b/>
      <w:bCs/>
    </w:rPr>
  </w:style>
  <w:style w:type="paragraph" w:styleId="Heading6">
    <w:name w:val="heading 6"/>
    <w:basedOn w:val="Normal"/>
    <w:next w:val="Normal"/>
    <w:qFormat/>
    <w:pPr>
      <w:keepNext w:val="true"/>
      <w:numPr>
        <w:ilvl w:val="5"/>
        <w:numId w:val="1"/>
      </w:numPr>
      <w:jc w:val="center"/>
      <w:outlineLvl w:val="5"/>
    </w:pPr>
    <w:rPr>
      <w:b/>
      <w:bCs/>
      <w:sz w:val="28"/>
    </w:rPr>
  </w:style>
  <w:style w:type="paragraph" w:styleId="Heading7">
    <w:name w:val="heading 7"/>
    <w:basedOn w:val="Normal"/>
    <w:next w:val="Normal"/>
    <w:qFormat/>
    <w:pPr>
      <w:keepNext w:val="true"/>
      <w:numPr>
        <w:ilvl w:val="6"/>
        <w:numId w:val="1"/>
      </w:numPr>
      <w:outlineLvl w:val="6"/>
    </w:pPr>
    <w:rPr>
      <w:b/>
      <w:bCs/>
    </w:rPr>
  </w:style>
  <w:style w:type="paragraph" w:styleId="Heading8">
    <w:name w:val="heading 8"/>
    <w:basedOn w:val="Normal"/>
    <w:next w:val="Normal"/>
    <w:qFormat/>
    <w:pPr>
      <w:keepNext w:val="true"/>
      <w:numPr>
        <w:ilvl w:val="7"/>
        <w:numId w:val="1"/>
      </w:numPr>
      <w:tabs>
        <w:tab w:val="clear" w:pos="720"/>
        <w:tab w:val="left" w:pos="0" w:leader="none"/>
      </w:tabs>
      <w:jc w:val="end"/>
      <w:outlineLvl w:val="7"/>
    </w:pPr>
    <w:rPr>
      <w:rFonts w:ascii="Lucida Sans" w:hAnsi="Lucida Sans" w:cs="Lucida Sans"/>
      <w:b/>
      <w:i/>
      <w:sz w:val="16"/>
    </w:rPr>
  </w:style>
  <w:style w:type="paragraph" w:styleId="Heading9">
    <w:name w:val="heading 9"/>
    <w:basedOn w:val="Normal"/>
    <w:next w:val="Normal"/>
    <w:qFormat/>
    <w:pPr>
      <w:keepNext w:val="true"/>
      <w:numPr>
        <w:ilvl w:val="8"/>
        <w:numId w:val="1"/>
      </w:numPr>
      <w:jc w:val="end"/>
      <w:outlineLvl w:val="8"/>
    </w:pPr>
    <w:rPr>
      <w:rFonts w:ascii="Tahoma" w:hAnsi="Tahoma" w:cs="Tahoma"/>
      <w:b/>
      <w:bCs/>
    </w:rPr>
  </w:style>
  <w:style w:type="character" w:styleId="WW8Num1z0">
    <w:name w:val="WW8Num1z0"/>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2">
    <w:name w:val="WW8Num3z2"/>
    <w:qFormat/>
    <w:rPr>
      <w:rFonts w:ascii="Times New Roman" w:hAnsi="Times New Roman" w:eastAsia="Times New Roman" w:cs="Times New Roman"/>
    </w:rPr>
  </w:style>
  <w:style w:type="character" w:styleId="WW8Num3z3">
    <w:name w:val="WW8Num3z3"/>
    <w:qFormat/>
    <w:rPr>
      <w:rFonts w:ascii="Wingdings" w:hAnsi="Wingdings" w:eastAsia="Times New Roman" w:cs="Times New Roman"/>
    </w:rPr>
  </w:style>
  <w:style w:type="character" w:styleId="WW8Num4z0">
    <w:name w:val="WW8Num4z0"/>
    <w:qFormat/>
    <w:rPr>
      <w:rFonts w:ascii="Wingdings" w:hAnsi="Wingdings"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style>
  <w:style w:type="character" w:styleId="WW8Num6z0">
    <w:name w:val="WW8Num6z0"/>
    <w:qFormat/>
    <w:rPr>
      <w:rFonts w:ascii="Wingdings" w:hAnsi="Wingdings" w:eastAsia="Times New Roman" w:cs="Times New Roman"/>
    </w:rPr>
  </w:style>
  <w:style w:type="character" w:styleId="WW8Num6z1">
    <w:name w:val="WW8Num6z1"/>
    <w:qFormat/>
    <w:rPr>
      <w:rFonts w:ascii="Times New Roman" w:hAnsi="Times New Roman" w:eastAsia="Times New Roman" w:cs="Times New Roman"/>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6z4">
    <w:name w:val="WW8Num6z4"/>
    <w:qFormat/>
    <w:rPr>
      <w:rFonts w:ascii="Courier New" w:hAnsi="Courier New" w:cs="Courier New"/>
    </w:rPr>
  </w:style>
  <w:style w:type="character" w:styleId="WW8Num7z0">
    <w:name w:val="WW8Num7z0"/>
    <w:qFormat/>
    <w:rPr/>
  </w:style>
  <w:style w:type="character" w:styleId="WW8Num7z1">
    <w:name w:val="WW8Num7z1"/>
    <w:qFormat/>
    <w:rPr>
      <w:rFonts w:ascii="Wingdings" w:hAnsi="Wingdings" w:eastAsia="Times New Roman" w:cs="Times New Roman"/>
    </w:rPr>
  </w:style>
  <w:style w:type="character" w:styleId="WW8Num8z0">
    <w:name w:val="WW8Num8z0"/>
    <w:qFormat/>
    <w:rPr>
      <w:rFonts w:ascii="Wingdings" w:hAnsi="Wingdings" w:eastAsia="Times New Roman" w:cs="Times New Roman"/>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8z4">
    <w:name w:val="WW8Num8z4"/>
    <w:qFormat/>
    <w:rPr>
      <w:rFonts w:ascii="Courier New" w:hAnsi="Courier New" w:cs="Courier New"/>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Wingdings" w:hAnsi="Wingdings" w:cs="Wingdings"/>
      <w:sz w:val="24"/>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rFonts w:ascii="Wingdings" w:hAnsi="Wingdings" w:eastAsia="Times New Roman" w:cs="Times New Roman"/>
    </w:rPr>
  </w:style>
  <w:style w:type="character" w:styleId="WW8Num11z1">
    <w:name w:val="WW8Num11z1"/>
    <w:qFormat/>
    <w:rPr>
      <w:rFonts w:ascii="Wingdings" w:hAnsi="Wingdings" w:eastAsia="Times New Roman" w:cs="Times New Roman"/>
      <w:b/>
      <w:i/>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1z4">
    <w:name w:val="WW8Num11z4"/>
    <w:qFormat/>
    <w:rPr>
      <w:rFonts w:ascii="Courier New" w:hAnsi="Courier New" w:cs="Courier New"/>
    </w:rPr>
  </w:style>
  <w:style w:type="character" w:styleId="WW8Num12z0">
    <w:name w:val="WW8Num12z0"/>
    <w:qFormat/>
    <w:rPr>
      <w:rFonts w:ascii="Symbol" w:hAnsi="Symbol" w:cs="Symbol"/>
      <w:color w:val="000000"/>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style>
  <w:style w:type="character" w:styleId="WW8Num15z0">
    <w:name w:val="WW8Num15z0"/>
    <w:qFormat/>
    <w:rPr>
      <w:rFonts w:ascii="Times New Roman" w:hAnsi="Times New Roman" w:eastAsia="Times New Roman" w:cs="Times New Roman"/>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Wingdings" w:hAnsi="Wingdings" w:eastAsia="Times New Roman" w:cs="Times New Roman"/>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Times New Roman" w:hAnsi="Times New Roman" w:eastAsia="Times New Roman" w:cs="Times New Roman"/>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Wingdings" w:hAnsi="Wingdings" w:eastAsia="Times New Roman" w:cs="Times New Roman"/>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19z0">
    <w:name w:val="WW8Num19z0"/>
    <w:qFormat/>
    <w:rPr>
      <w:rFonts w:ascii="Times New Roman" w:hAnsi="Times New Roman" w:eastAsia="Times New Roman" w:cs="Times New Roman"/>
    </w:rPr>
  </w:style>
  <w:style w:type="character" w:styleId="WW8Num19z1">
    <w:name w:val="WW8Num19z1"/>
    <w:qFormat/>
    <w:rPr>
      <w:rFonts w:ascii="Wingdings" w:hAnsi="Wingdings" w:eastAsia="Times New Roman" w:cs="Times New Roman"/>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19z4">
    <w:name w:val="WW8Num19z4"/>
    <w:qFormat/>
    <w:rPr>
      <w:rFonts w:ascii="Courier New" w:hAnsi="Courier New" w:cs="Courier New"/>
    </w:rPr>
  </w:style>
  <w:style w:type="character" w:styleId="WW8Num20z0">
    <w:name w:val="WW8Num20z0"/>
    <w:qFormat/>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style>
  <w:style w:type="character" w:styleId="WW8Num23z0">
    <w:name w:val="WW8Num23z0"/>
    <w:qFormat/>
    <w:rPr>
      <w:rFonts w:ascii="Wingdings" w:hAnsi="Wingdings" w:eastAsia="Times New Roman" w:cs="Times New Roman"/>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3z3">
    <w:name w:val="WW8Num23z3"/>
    <w:qFormat/>
    <w:rPr>
      <w:rFonts w:ascii="Symbol" w:hAnsi="Symbol" w:cs="Symbol"/>
    </w:rPr>
  </w:style>
  <w:style w:type="character" w:styleId="WW8Num24z0">
    <w:name w:val="WW8Num24z0"/>
    <w:qFormat/>
    <w:rPr>
      <w:rFonts w:ascii="Times New Roman" w:hAnsi="Times New Roman" w:eastAsia="Times New Roman" w:cs="Times New Roman"/>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4z3">
    <w:name w:val="WW8Num24z3"/>
    <w:qFormat/>
    <w:rPr>
      <w:rFonts w:ascii="Symbol" w:hAnsi="Symbol" w:cs="Symbol"/>
    </w:rPr>
  </w:style>
  <w:style w:type="character" w:styleId="WW8Num25z0">
    <w:name w:val="WW8Num25z0"/>
    <w:qFormat/>
    <w:rPr>
      <w:rFonts w:ascii="Times New Roman" w:hAnsi="Times New Roman" w:eastAsia="Times New Roman" w:cs="Times New Roman"/>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5z3">
    <w:name w:val="WW8Num25z3"/>
    <w:qFormat/>
    <w:rPr>
      <w:rFonts w:ascii="Symbol" w:hAnsi="Symbol" w:cs="Symbol"/>
    </w:rPr>
  </w:style>
  <w:style w:type="character" w:styleId="WW8Num26z0">
    <w:name w:val="WW8Num26z0"/>
    <w:qFormat/>
    <w:rPr>
      <w:rFonts w:ascii="Wingdings" w:hAnsi="Wingdings" w:eastAsia="Times New Roman" w:cs="Times New Roman"/>
    </w:rPr>
  </w:style>
  <w:style w:type="character" w:styleId="WW8Num26z2">
    <w:name w:val="WW8Num26z2"/>
    <w:qFormat/>
    <w:rPr>
      <w:rFonts w:ascii="Times New Roman" w:hAnsi="Times New Roman" w:eastAsia="Times New Roman" w:cs="Times New Roman"/>
    </w:rPr>
  </w:style>
  <w:style w:type="character" w:styleId="WW8Num26z3">
    <w:name w:val="WW8Num26z3"/>
    <w:qFormat/>
    <w:rPr>
      <w:rFonts w:ascii="Symbol" w:hAnsi="Symbol" w:cs="Symbol"/>
    </w:rPr>
  </w:style>
  <w:style w:type="character" w:styleId="WW8Num26z4">
    <w:name w:val="WW8Num26z4"/>
    <w:qFormat/>
    <w:rPr>
      <w:rFonts w:ascii="Courier New" w:hAnsi="Courier New" w:cs="Courier New"/>
    </w:rPr>
  </w:style>
  <w:style w:type="character" w:styleId="WW8Num26z5">
    <w:name w:val="WW8Num26z5"/>
    <w:qFormat/>
    <w:rPr>
      <w:rFonts w:ascii="Wingdings" w:hAnsi="Wingdings" w:cs="Wingdings"/>
    </w:rPr>
  </w:style>
  <w:style w:type="character" w:styleId="WW8Num27z0">
    <w:name w:val="WW8Num27z0"/>
    <w:qFormat/>
    <w:rPr>
      <w:rFonts w:ascii="Wingdings" w:hAnsi="Wingdings" w:eastAsia="Times New Roman" w:cs="Times New Roman"/>
    </w:rPr>
  </w:style>
  <w:style w:type="character" w:styleId="WW8Num27z1">
    <w:name w:val="WW8Num27z1"/>
    <w:qFormat/>
    <w:rPr>
      <w:rFonts w:ascii="Symbol" w:hAnsi="Symbol" w:cs="Symbol"/>
    </w:rPr>
  </w:style>
  <w:style w:type="character" w:styleId="WW8Num27z2">
    <w:name w:val="WW8Num27z2"/>
    <w:qFormat/>
    <w:rPr>
      <w:rFonts w:ascii="Wingdings" w:hAnsi="Wingdings" w:cs="Wingdings"/>
    </w:rPr>
  </w:style>
  <w:style w:type="character" w:styleId="WW8Num27z4">
    <w:name w:val="WW8Num27z4"/>
    <w:qFormat/>
    <w:rPr>
      <w:rFonts w:ascii="Courier New" w:hAnsi="Courier New" w:cs="Courier New"/>
    </w:rPr>
  </w:style>
  <w:style w:type="character" w:styleId="WW8Num28z0">
    <w:name w:val="WW8Num28z0"/>
    <w:qFormat/>
    <w:rPr>
      <w:rFonts w:ascii="Wingdings" w:hAnsi="Wingdings" w:eastAsia="Times New Roman" w:cs="Times New Roman"/>
    </w:rPr>
  </w:style>
  <w:style w:type="character" w:styleId="WW8Num28z2">
    <w:name w:val="WW8Num28z2"/>
    <w:qFormat/>
    <w:rPr>
      <w:rFonts w:ascii="Wingdings" w:hAnsi="Wingdings" w:cs="Wingdings"/>
    </w:rPr>
  </w:style>
  <w:style w:type="character" w:styleId="WW8Num28z3">
    <w:name w:val="WW8Num28z3"/>
    <w:qFormat/>
    <w:rPr>
      <w:rFonts w:ascii="Symbol" w:hAnsi="Symbol" w:cs="Symbol"/>
    </w:rPr>
  </w:style>
  <w:style w:type="character" w:styleId="WW8Num28z4">
    <w:name w:val="WW8Num28z4"/>
    <w:qFormat/>
    <w:rPr>
      <w:rFonts w:ascii="Courier New" w:hAnsi="Courier New" w:cs="Courier New"/>
    </w:rPr>
  </w:style>
  <w:style w:type="character" w:styleId="WW8Num29z0">
    <w:name w:val="WW8Num29z0"/>
    <w:qFormat/>
    <w:rPr>
      <w:rFonts w:ascii="Wingdings" w:hAnsi="Wingdings" w:eastAsia="Times New Roman" w:cs="Times New Roman"/>
    </w:rPr>
  </w:style>
  <w:style w:type="character" w:styleId="WW8Num29z2">
    <w:name w:val="WW8Num29z2"/>
    <w:qFormat/>
    <w:rPr>
      <w:rFonts w:ascii="Wingdings" w:hAnsi="Wingdings" w:cs="Wingdings"/>
    </w:rPr>
  </w:style>
  <w:style w:type="character" w:styleId="WW8Num29z3">
    <w:name w:val="WW8Num29z3"/>
    <w:qFormat/>
    <w:rPr>
      <w:rFonts w:ascii="Symbol" w:hAnsi="Symbol" w:cs="Symbol"/>
    </w:rPr>
  </w:style>
  <w:style w:type="character" w:styleId="WW8Num29z4">
    <w:name w:val="WW8Num29z4"/>
    <w:qFormat/>
    <w:rPr>
      <w:rFonts w:ascii="Courier New" w:hAnsi="Courier New" w:cs="Courier New"/>
    </w:rPr>
  </w:style>
  <w:style w:type="character" w:styleId="WW8Num30z0">
    <w:name w:val="WW8Num30z0"/>
    <w:qFormat/>
    <w:rPr/>
  </w:style>
  <w:style w:type="character" w:styleId="WW8Num31z0">
    <w:name w:val="WW8Num31z0"/>
    <w:qFormat/>
    <w:rPr>
      <w:rFonts w:ascii="Wingdings" w:hAnsi="Wingdings" w:eastAsia="Times New Roman" w:cs="Times New Roman"/>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1z3">
    <w:name w:val="WW8Num31z3"/>
    <w:qFormat/>
    <w:rPr>
      <w:rFonts w:ascii="Symbol" w:hAnsi="Symbol" w:cs="Symbol"/>
    </w:rPr>
  </w:style>
  <w:style w:type="character" w:styleId="WW8Num32z0">
    <w:name w:val="WW8Num32z0"/>
    <w:qFormat/>
    <w:rPr>
      <w:rFonts w:ascii="Wingdings" w:hAnsi="Wingdings" w:eastAsia="Times New Roman" w:cs="Times New Roman"/>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2z3">
    <w:name w:val="WW8Num32z3"/>
    <w:qFormat/>
    <w:rPr>
      <w:rFonts w:ascii="Symbol" w:hAnsi="Symbol" w:cs="Symbol"/>
    </w:rPr>
  </w:style>
  <w:style w:type="character" w:styleId="WW8Num33z0">
    <w:name w:val="WW8Num33z0"/>
    <w:qFormat/>
    <w:rPr>
      <w:rFonts w:ascii="Wingdings" w:hAnsi="Wingdings" w:eastAsia="Times New Roman" w:cs="Times New Roman"/>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3z3">
    <w:name w:val="WW8Num33z3"/>
    <w:qFormat/>
    <w:rPr>
      <w:rFonts w:ascii="Symbol" w:hAnsi="Symbol" w:cs="Symbol"/>
    </w:rPr>
  </w:style>
  <w:style w:type="character" w:styleId="WW8Num34z0">
    <w:name w:val="WW8Num34z0"/>
    <w:qFormat/>
    <w:rPr/>
  </w:style>
  <w:style w:type="character" w:styleId="WW8Num34z1">
    <w:name w:val="WW8Num34z1"/>
    <w:qFormat/>
    <w:rPr>
      <w:rFonts w:ascii="Wingdings" w:hAnsi="Wingdings" w:eastAsia="Times New Roman" w:cs="Times New Roman"/>
    </w:rPr>
  </w:style>
  <w:style w:type="character" w:styleId="WW8Num35z0">
    <w:name w:val="WW8Num35z0"/>
    <w:qFormat/>
    <w:rPr>
      <w:rFonts w:ascii="Wingdings" w:hAnsi="Wingdings" w:eastAsia="Times New Roman" w:cs="Times New Roman"/>
    </w:rPr>
  </w:style>
  <w:style w:type="character" w:styleId="WW8Num35z2">
    <w:name w:val="WW8Num35z2"/>
    <w:qFormat/>
    <w:rPr>
      <w:rFonts w:ascii="Wingdings" w:hAnsi="Wingdings" w:cs="Wingdings"/>
    </w:rPr>
  </w:style>
  <w:style w:type="character" w:styleId="WW8Num35z3">
    <w:name w:val="WW8Num35z3"/>
    <w:qFormat/>
    <w:rPr>
      <w:rFonts w:ascii="Symbol" w:hAnsi="Symbol" w:cs="Symbol"/>
    </w:rPr>
  </w:style>
  <w:style w:type="character" w:styleId="WW8Num35z4">
    <w:name w:val="WW8Num35z4"/>
    <w:qFormat/>
    <w:rPr>
      <w:rFonts w:ascii="Courier New" w:hAnsi="Courier New" w:cs="Courier New"/>
    </w:rPr>
  </w:style>
  <w:style w:type="character" w:styleId="WW8Num36z0">
    <w:name w:val="WW8Num36z0"/>
    <w:qFormat/>
    <w:rPr>
      <w:rFonts w:ascii="Wingdings" w:hAnsi="Wingdings" w:eastAsia="Times New Roman" w:cs="Times New Roman"/>
    </w:rPr>
  </w:style>
  <w:style w:type="character" w:styleId="WW8Num36z2">
    <w:name w:val="WW8Num36z2"/>
    <w:qFormat/>
    <w:rPr>
      <w:rFonts w:ascii="Wingdings" w:hAnsi="Wingdings" w:cs="Wingdings"/>
    </w:rPr>
  </w:style>
  <w:style w:type="character" w:styleId="WW8Num36z3">
    <w:name w:val="WW8Num36z3"/>
    <w:qFormat/>
    <w:rPr>
      <w:rFonts w:ascii="Symbol" w:hAnsi="Symbol" w:cs="Symbol"/>
    </w:rPr>
  </w:style>
  <w:style w:type="character" w:styleId="WW8Num36z4">
    <w:name w:val="WW8Num36z4"/>
    <w:qFormat/>
    <w:rPr>
      <w:rFonts w:ascii="Courier New" w:hAnsi="Courier New" w:cs="Courier New"/>
    </w:rPr>
  </w:style>
  <w:style w:type="character" w:styleId="WW8Num37z0">
    <w:name w:val="WW8Num37z0"/>
    <w:qFormat/>
    <w:rPr/>
  </w:style>
  <w:style w:type="character" w:styleId="WW8Num38z0">
    <w:name w:val="WW8Num38z0"/>
    <w:qFormat/>
    <w:rPr>
      <w:rFonts w:ascii="Wingdings" w:hAnsi="Wingdings" w:eastAsia="Times New Roman" w:cs="Times New Roman"/>
    </w:rPr>
  </w:style>
  <w:style w:type="character" w:styleId="WW8Num38z1">
    <w:name w:val="WW8Num38z1"/>
    <w:qFormat/>
    <w:rPr>
      <w:rFonts w:ascii="Times New Roman" w:hAnsi="Times New Roman" w:eastAsia="Times New Roman" w:cs="Times New Roman"/>
    </w:rPr>
  </w:style>
  <w:style w:type="character" w:styleId="WW8Num38z2">
    <w:name w:val="WW8Num38z2"/>
    <w:qFormat/>
    <w:rPr>
      <w:rFonts w:ascii="Wingdings" w:hAnsi="Wingdings" w:cs="Wingdings"/>
    </w:rPr>
  </w:style>
  <w:style w:type="character" w:styleId="WW8Num38z3">
    <w:name w:val="WW8Num38z3"/>
    <w:qFormat/>
    <w:rPr>
      <w:rFonts w:ascii="Symbol" w:hAnsi="Symbol" w:cs="Symbol"/>
    </w:rPr>
  </w:style>
  <w:style w:type="character" w:styleId="WW8Num38z4">
    <w:name w:val="WW8Num38z4"/>
    <w:qFormat/>
    <w:rPr>
      <w:rFonts w:ascii="Courier New" w:hAnsi="Courier New" w:cs="Courier New"/>
    </w:rPr>
  </w:style>
  <w:style w:type="character" w:styleId="WW8Num39z0">
    <w:name w:val="WW8Num39z0"/>
    <w:qFormat/>
    <w:rPr/>
  </w:style>
  <w:style w:type="character" w:styleId="WW8Num40z0">
    <w:name w:val="WW8Num40z0"/>
    <w:qFormat/>
    <w:rPr>
      <w:rFonts w:ascii="Wingdings" w:hAnsi="Wingdings" w:eastAsia="Times New Roman" w:cs="Times New Roman"/>
    </w:rPr>
  </w:style>
  <w:style w:type="character" w:styleId="WW8Num40z2">
    <w:name w:val="WW8Num40z2"/>
    <w:qFormat/>
    <w:rPr>
      <w:rFonts w:ascii="Wingdings" w:hAnsi="Wingdings" w:cs="Wingdings"/>
    </w:rPr>
  </w:style>
  <w:style w:type="character" w:styleId="WW8Num40z3">
    <w:name w:val="WW8Num40z3"/>
    <w:qFormat/>
    <w:rPr>
      <w:rFonts w:ascii="Symbol" w:hAnsi="Symbol" w:cs="Symbol"/>
    </w:rPr>
  </w:style>
  <w:style w:type="character" w:styleId="WW8Num40z4">
    <w:name w:val="WW8Num40z4"/>
    <w:qFormat/>
    <w:rPr>
      <w:rFonts w:ascii="Courier New" w:hAnsi="Courier New" w:cs="Courier New"/>
    </w:rPr>
  </w:style>
  <w:style w:type="character" w:styleId="WW8Num41z0">
    <w:name w:val="WW8Num41z0"/>
    <w:qFormat/>
    <w:rPr>
      <w:rFonts w:ascii="Wingdings" w:hAnsi="Wingdings" w:eastAsia="Times New Roman" w:cs="Times New Roman"/>
      <w:b/>
      <w:i/>
      <w:u w:val="single"/>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1z3">
    <w:name w:val="WW8Num41z3"/>
    <w:qFormat/>
    <w:rPr>
      <w:rFonts w:ascii="Symbol" w:hAnsi="Symbol" w:cs="Symbol"/>
    </w:rPr>
  </w:style>
  <w:style w:type="character" w:styleId="WW8Num42z0">
    <w:name w:val="WW8Num42z0"/>
    <w:qFormat/>
    <w:rPr/>
  </w:style>
  <w:style w:type="character" w:styleId="WW8Num43z0">
    <w:name w:val="WW8Num43z0"/>
    <w:qFormat/>
    <w:rPr>
      <w:rFonts w:ascii="Wingdings" w:hAnsi="Wingdings" w:eastAsia="Times New Roman" w:cs="Times New Roman"/>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3z3">
    <w:name w:val="WW8Num43z3"/>
    <w:qFormat/>
    <w:rPr>
      <w:rFonts w:ascii="Symbol" w:hAnsi="Symbol" w:cs="Symbol"/>
    </w:rPr>
  </w:style>
  <w:style w:type="character" w:styleId="WW8Num44z0">
    <w:name w:val="WW8Num44z0"/>
    <w:qFormat/>
    <w:rPr/>
  </w:style>
  <w:style w:type="character" w:styleId="WW8Num44z1">
    <w:name w:val="WW8Num44z1"/>
    <w:qFormat/>
    <w:rPr>
      <w:rFonts w:ascii="Wingdings" w:hAnsi="Wingdings" w:eastAsia="Times New Roman" w:cs="Times New Roman"/>
    </w:rPr>
  </w:style>
  <w:style w:type="character" w:styleId="WW8Num44z2">
    <w:name w:val="WW8Num44z2"/>
    <w:qFormat/>
    <w:rPr>
      <w:rFonts w:ascii="Times New Roman" w:hAnsi="Times New Roman" w:eastAsia="Times New Roman" w:cs="Times New Roman"/>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rFonts w:ascii="Wingdings" w:hAnsi="Wingdings" w:cs="Wingdings"/>
    </w:rPr>
  </w:style>
  <w:style w:type="character" w:styleId="WW8Num48z1">
    <w:name w:val="WW8Num48z1"/>
    <w:qFormat/>
    <w:rPr>
      <w:rFonts w:ascii="Courier New" w:hAnsi="Courier New" w:cs="Courier New"/>
    </w:rPr>
  </w:style>
  <w:style w:type="character" w:styleId="WW8Num48z3">
    <w:name w:val="WW8Num48z3"/>
    <w:qFormat/>
    <w:rPr>
      <w:rFonts w:ascii="Symbol" w:hAnsi="Symbol" w:cs="Symbol"/>
    </w:rPr>
  </w:style>
  <w:style w:type="character" w:styleId="WW8Num49z0">
    <w:name w:val="WW8Num49z0"/>
    <w:qFormat/>
    <w:rPr>
      <w:rFonts w:ascii="Wingdings" w:hAnsi="Wingdings" w:eastAsia="Times New Roman" w:cs="Times New Roman"/>
    </w:rPr>
  </w:style>
  <w:style w:type="character" w:styleId="WW8Num49z2">
    <w:name w:val="WW8Num49z2"/>
    <w:qFormat/>
    <w:rPr>
      <w:rFonts w:ascii="Wingdings" w:hAnsi="Wingdings" w:cs="Wingdings"/>
    </w:rPr>
  </w:style>
  <w:style w:type="character" w:styleId="WW8Num49z3">
    <w:name w:val="WW8Num49z3"/>
    <w:qFormat/>
    <w:rPr>
      <w:rFonts w:ascii="Symbol" w:hAnsi="Symbol" w:cs="Symbol"/>
    </w:rPr>
  </w:style>
  <w:style w:type="character" w:styleId="WW8Num49z4">
    <w:name w:val="WW8Num49z4"/>
    <w:qFormat/>
    <w:rPr>
      <w:rFonts w:ascii="Courier New" w:hAnsi="Courier New" w:cs="Courier New"/>
    </w:rPr>
  </w:style>
  <w:style w:type="character" w:styleId="WW8Num50z0">
    <w:name w:val="WW8Num50z0"/>
    <w:qFormat/>
    <w:rPr>
      <w:rFonts w:ascii="Wingdings" w:hAnsi="Wingdings" w:eastAsia="Times New Roman" w:cs="Times New Roman"/>
    </w:rPr>
  </w:style>
  <w:style w:type="character" w:styleId="WW8Num50z1">
    <w:name w:val="WW8Num50z1"/>
    <w:qFormat/>
    <w:rPr>
      <w:rFonts w:ascii="Courier New" w:hAnsi="Courier New" w:cs="Courier New"/>
    </w:rPr>
  </w:style>
  <w:style w:type="character" w:styleId="WW8Num50z2">
    <w:name w:val="WW8Num50z2"/>
    <w:qFormat/>
    <w:rPr>
      <w:rFonts w:ascii="Wingdings" w:hAnsi="Wingdings" w:cs="Wingdings"/>
    </w:rPr>
  </w:style>
  <w:style w:type="character" w:styleId="WW8Num50z3">
    <w:name w:val="WW8Num50z3"/>
    <w:qFormat/>
    <w:rPr>
      <w:rFonts w:ascii="Symbol" w:hAnsi="Symbol" w:cs="Symbol"/>
    </w:rPr>
  </w:style>
  <w:style w:type="character" w:styleId="WW8Num51z0">
    <w:name w:val="WW8Num51z0"/>
    <w:qFormat/>
    <w:rPr/>
  </w:style>
  <w:style w:type="character" w:styleId="WW8Num52z0">
    <w:name w:val="WW8Num52z0"/>
    <w:qFormat/>
    <w:rPr/>
  </w:style>
  <w:style w:type="character" w:styleId="WW8Num53z0">
    <w:name w:val="WW8Num53z0"/>
    <w:qFormat/>
    <w:rPr>
      <w:rFonts w:ascii="Wingdings" w:hAnsi="Wingdings" w:eastAsia="Times New Roman" w:cs="Times New Roman"/>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3z3">
    <w:name w:val="WW8Num53z3"/>
    <w:qFormat/>
    <w:rPr>
      <w:rFonts w:ascii="Symbol" w:hAnsi="Symbol" w:cs="Symbol"/>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rFonts w:ascii="Wingdings" w:hAnsi="Wingdings" w:eastAsia="Times New Roman" w:cs="Times New Roman"/>
    </w:rPr>
  </w:style>
  <w:style w:type="character" w:styleId="WW8Num60z1">
    <w:name w:val="WW8Num60z1"/>
    <w:qFormat/>
    <w:rPr>
      <w:rFonts w:ascii="Courier New" w:hAnsi="Courier New" w:cs="Courier New"/>
    </w:rPr>
  </w:style>
  <w:style w:type="character" w:styleId="WW8Num60z2">
    <w:name w:val="WW8Num60z2"/>
    <w:qFormat/>
    <w:rPr>
      <w:rFonts w:ascii="Wingdings" w:hAnsi="Wingdings" w:cs="Wingdings"/>
    </w:rPr>
  </w:style>
  <w:style w:type="character" w:styleId="WW8Num60z3">
    <w:name w:val="WW8Num60z3"/>
    <w:qFormat/>
    <w:rPr>
      <w:rFonts w:ascii="Symbol" w:hAnsi="Symbol" w:cs="Symbol"/>
    </w:rPr>
  </w:style>
  <w:style w:type="character" w:styleId="WW8Num61z0">
    <w:name w:val="WW8Num61z0"/>
    <w:qFormat/>
    <w:rPr>
      <w:rFonts w:ascii="Wingdings" w:hAnsi="Wingdings" w:cs="Wingdings"/>
      <w:sz w:val="24"/>
    </w:rPr>
  </w:style>
  <w:style w:type="character" w:styleId="WW8Num61z1">
    <w:name w:val="WW8Num61z1"/>
    <w:qFormat/>
    <w:rPr>
      <w:rFonts w:ascii="Courier New" w:hAnsi="Courier New" w:cs="Courier New"/>
    </w:rPr>
  </w:style>
  <w:style w:type="character" w:styleId="WW8Num61z2">
    <w:name w:val="WW8Num61z2"/>
    <w:qFormat/>
    <w:rPr>
      <w:rFonts w:ascii="Wingdings" w:hAnsi="Wingdings" w:cs="Wingdings"/>
    </w:rPr>
  </w:style>
  <w:style w:type="character" w:styleId="WW8Num61z3">
    <w:name w:val="WW8Num61z3"/>
    <w:qFormat/>
    <w:rPr>
      <w:rFonts w:ascii="Symbol" w:hAnsi="Symbol" w:cs="Symbol"/>
    </w:rPr>
  </w:style>
  <w:style w:type="character" w:styleId="WW8Num62z0">
    <w:name w:val="WW8Num62z0"/>
    <w:qFormat/>
    <w:rPr>
      <w:rFonts w:ascii="Wingdings" w:hAnsi="Wingdings" w:eastAsia="Times New Roman" w:cs="Times New Roman"/>
    </w:rPr>
  </w:style>
  <w:style w:type="character" w:styleId="WW8Num62z2">
    <w:name w:val="WW8Num62z2"/>
    <w:qFormat/>
    <w:rPr>
      <w:rFonts w:ascii="Wingdings" w:hAnsi="Wingdings" w:cs="Wingdings"/>
    </w:rPr>
  </w:style>
  <w:style w:type="character" w:styleId="WW8Num62z3">
    <w:name w:val="WW8Num62z3"/>
    <w:qFormat/>
    <w:rPr>
      <w:rFonts w:ascii="Symbol" w:hAnsi="Symbol" w:cs="Symbol"/>
    </w:rPr>
  </w:style>
  <w:style w:type="character" w:styleId="WW8Num62z4">
    <w:name w:val="WW8Num62z4"/>
    <w:qFormat/>
    <w:rPr>
      <w:rFonts w:ascii="Courier New" w:hAnsi="Courier New" w:cs="Courier New"/>
    </w:rPr>
  </w:style>
  <w:style w:type="character" w:styleId="WW8Num63z0">
    <w:name w:val="WW8Num63z0"/>
    <w:qFormat/>
    <w:rPr/>
  </w:style>
  <w:style w:type="character" w:styleId="WW8Num64z0">
    <w:name w:val="WW8Num64z0"/>
    <w:qFormat/>
    <w:rPr>
      <w:rFonts w:ascii="Symbol" w:hAnsi="Symbol" w:cs="Symbol"/>
    </w:rPr>
  </w:style>
  <w:style w:type="character" w:styleId="WW8Num64z1">
    <w:name w:val="WW8Num64z1"/>
    <w:qFormat/>
    <w:rPr>
      <w:rFonts w:ascii="Courier New" w:hAnsi="Courier New" w:cs="Courier New"/>
    </w:rPr>
  </w:style>
  <w:style w:type="character" w:styleId="WW8Num64z2">
    <w:name w:val="WW8Num64z2"/>
    <w:qFormat/>
    <w:rPr>
      <w:rFonts w:ascii="Wingdings" w:hAnsi="Wingdings" w:cs="Wingdings"/>
    </w:rPr>
  </w:style>
  <w:style w:type="character" w:styleId="WW8Num65z0">
    <w:name w:val="WW8Num65z0"/>
    <w:qFormat/>
    <w:rPr>
      <w:rFonts w:ascii="Wingdings" w:hAnsi="Wingdings" w:eastAsia="Times New Roman" w:cs="Times New Roman"/>
    </w:rPr>
  </w:style>
  <w:style w:type="character" w:styleId="WW8Num65z1">
    <w:name w:val="WW8Num65z1"/>
    <w:qFormat/>
    <w:rPr>
      <w:rFonts w:ascii="Courier New" w:hAnsi="Courier New" w:cs="Courier New"/>
    </w:rPr>
  </w:style>
  <w:style w:type="character" w:styleId="WW8Num65z2">
    <w:name w:val="WW8Num65z2"/>
    <w:qFormat/>
    <w:rPr>
      <w:rFonts w:ascii="Wingdings" w:hAnsi="Wingdings" w:cs="Wingdings"/>
    </w:rPr>
  </w:style>
  <w:style w:type="character" w:styleId="WW8Num65z3">
    <w:name w:val="WW8Num65z3"/>
    <w:qFormat/>
    <w:rPr>
      <w:rFonts w:ascii="Symbol" w:hAnsi="Symbol" w:cs="Symbol"/>
    </w:rPr>
  </w:style>
  <w:style w:type="character" w:styleId="WW8Num66z0">
    <w:name w:val="WW8Num66z0"/>
    <w:qFormat/>
    <w:rPr/>
  </w:style>
  <w:style w:type="character" w:styleId="WW8Num67z0">
    <w:name w:val="WW8Num67z0"/>
    <w:qFormat/>
    <w:rPr>
      <w:rFonts w:ascii="Symbol" w:hAnsi="Symbol" w:cs="Symbol"/>
      <w:color w:val="000000"/>
    </w:rPr>
  </w:style>
  <w:style w:type="character" w:styleId="WW8Num67z1">
    <w:name w:val="WW8Num67z1"/>
    <w:qFormat/>
    <w:rPr>
      <w:rFonts w:ascii="Courier New" w:hAnsi="Courier New" w:cs="Courier New"/>
    </w:rPr>
  </w:style>
  <w:style w:type="character" w:styleId="WW8Num67z2">
    <w:name w:val="WW8Num67z2"/>
    <w:qFormat/>
    <w:rPr>
      <w:rFonts w:ascii="Wingdings" w:hAnsi="Wingdings" w:cs="Wingdings"/>
    </w:rPr>
  </w:style>
  <w:style w:type="character" w:styleId="WW8Num67z3">
    <w:name w:val="WW8Num67z3"/>
    <w:qFormat/>
    <w:rPr>
      <w:rFonts w:ascii="Symbol" w:hAnsi="Symbol" w:cs="Symbol"/>
    </w:rPr>
  </w:style>
  <w:style w:type="character" w:styleId="WW8Num68z0">
    <w:name w:val="WW8Num68z0"/>
    <w:qFormat/>
    <w:rPr>
      <w:rFonts w:ascii="Wingdings" w:hAnsi="Wingdings" w:eastAsia="Times New Roman" w:cs="Times New Roman"/>
    </w:rPr>
  </w:style>
  <w:style w:type="character" w:styleId="WW8Num68z1">
    <w:name w:val="WW8Num68z1"/>
    <w:qFormat/>
    <w:rPr>
      <w:rFonts w:ascii="Courier New" w:hAnsi="Courier New" w:cs="Courier New"/>
    </w:rPr>
  </w:style>
  <w:style w:type="character" w:styleId="WW8Num68z2">
    <w:name w:val="WW8Num68z2"/>
    <w:qFormat/>
    <w:rPr>
      <w:rFonts w:ascii="Wingdings" w:hAnsi="Wingdings" w:cs="Wingdings"/>
    </w:rPr>
  </w:style>
  <w:style w:type="character" w:styleId="WW8Num68z3">
    <w:name w:val="WW8Num68z3"/>
    <w:qFormat/>
    <w:rPr>
      <w:rFonts w:ascii="Symbol" w:hAnsi="Symbol" w:cs="Symbol"/>
    </w:rPr>
  </w:style>
  <w:style w:type="character" w:styleId="WW8Num69z0">
    <w:name w:val="WW8Num69z0"/>
    <w:qFormat/>
    <w:rPr>
      <w:rFonts w:ascii="Symbol" w:hAnsi="Symbol" w:cs="Symbol"/>
    </w:rPr>
  </w:style>
  <w:style w:type="character" w:styleId="WW8Num69z1">
    <w:name w:val="WW8Num69z1"/>
    <w:qFormat/>
    <w:rPr>
      <w:rFonts w:ascii="Lucida Sans" w:hAnsi="Lucida Sans" w:eastAsia="Times New Roman" w:cs="Times New Roman"/>
    </w:rPr>
  </w:style>
  <w:style w:type="character" w:styleId="WW8Num69z2">
    <w:name w:val="WW8Num69z2"/>
    <w:qFormat/>
    <w:rPr>
      <w:rFonts w:ascii="Wingdings" w:hAnsi="Wingdings" w:eastAsia="Times New Roman" w:cs="Times New Roman"/>
    </w:rPr>
  </w:style>
  <w:style w:type="character" w:styleId="WW8Num69z7">
    <w:name w:val="WW8Num69z7"/>
    <w:qFormat/>
    <w:rPr>
      <w:rFonts w:ascii="Courier New" w:hAnsi="Courier New" w:cs="Courier New"/>
    </w:rPr>
  </w:style>
  <w:style w:type="character" w:styleId="WW8Num69z8">
    <w:name w:val="WW8Num69z8"/>
    <w:qFormat/>
    <w:rPr>
      <w:rFonts w:ascii="Wingdings" w:hAnsi="Wingdings" w:cs="Wingdings"/>
    </w:rPr>
  </w:style>
  <w:style w:type="character" w:styleId="WW8Num70z0">
    <w:name w:val="WW8Num70z0"/>
    <w:qFormat/>
    <w:rPr>
      <w:rFonts w:ascii="Symbol" w:hAnsi="Symbol" w:cs="Symbol"/>
    </w:rPr>
  </w:style>
  <w:style w:type="character" w:styleId="WW8Num70z1">
    <w:name w:val="WW8Num70z1"/>
    <w:qFormat/>
    <w:rPr>
      <w:rFonts w:ascii="Courier New" w:hAnsi="Courier New" w:cs="Courier New"/>
    </w:rPr>
  </w:style>
  <w:style w:type="character" w:styleId="WW8Num70z2">
    <w:name w:val="WW8Num70z2"/>
    <w:qFormat/>
    <w:rPr>
      <w:rFonts w:ascii="Wingdings" w:hAnsi="Wingdings" w:cs="Wingdings"/>
    </w:rPr>
  </w:style>
  <w:style w:type="character" w:styleId="WW8Num71z0">
    <w:name w:val="WW8Num71z0"/>
    <w:qFormat/>
    <w:rPr>
      <w:rFonts w:ascii="Wingdings" w:hAnsi="Wingdings" w:eastAsia="Times New Roman" w:cs="Times New Roman"/>
    </w:rPr>
  </w:style>
  <w:style w:type="character" w:styleId="WW8Num71z2">
    <w:name w:val="WW8Num71z2"/>
    <w:qFormat/>
    <w:rPr>
      <w:rFonts w:ascii="Wingdings" w:hAnsi="Wingdings" w:cs="Wingdings"/>
    </w:rPr>
  </w:style>
  <w:style w:type="character" w:styleId="WW8Num71z3">
    <w:name w:val="WW8Num71z3"/>
    <w:qFormat/>
    <w:rPr>
      <w:rFonts w:ascii="Symbol" w:hAnsi="Symbol" w:cs="Symbol"/>
    </w:rPr>
  </w:style>
  <w:style w:type="character" w:styleId="WW8Num71z4">
    <w:name w:val="WW8Num71z4"/>
    <w:qFormat/>
    <w:rPr>
      <w:rFonts w:ascii="Courier New" w:hAnsi="Courier New" w:cs="Courier New"/>
    </w:rPr>
  </w:style>
  <w:style w:type="character" w:styleId="WW8Num72z0">
    <w:name w:val="WW8Num72z0"/>
    <w:qFormat/>
    <w:rPr>
      <w:b/>
      <w:i/>
    </w:rPr>
  </w:style>
  <w:style w:type="character" w:styleId="WW8Num73z0">
    <w:name w:val="WW8Num73z0"/>
    <w:qFormat/>
    <w:rPr>
      <w:rFonts w:ascii="Lucida Sans" w:hAnsi="Lucida Sans" w:cs="Lucida Sans"/>
      <w:b/>
      <w:i/>
    </w:rPr>
  </w:style>
  <w:style w:type="character" w:styleId="WW8Num74z0">
    <w:name w:val="WW8Num74z0"/>
    <w:qFormat/>
    <w:rPr>
      <w:rFonts w:ascii="Wingdings" w:hAnsi="Wingdings" w:eastAsia="Times New Roman" w:cs="Times New Roman"/>
    </w:rPr>
  </w:style>
  <w:style w:type="character" w:styleId="WW8Num74z2">
    <w:name w:val="WW8Num74z2"/>
    <w:qFormat/>
    <w:rPr>
      <w:rFonts w:ascii="Times New Roman" w:hAnsi="Times New Roman" w:eastAsia="Times New Roman" w:cs="Times New Roman"/>
    </w:rPr>
  </w:style>
  <w:style w:type="character" w:styleId="WW8Num74z3">
    <w:name w:val="WW8Num74z3"/>
    <w:qFormat/>
    <w:rPr>
      <w:rFonts w:ascii="Symbol" w:hAnsi="Symbol" w:cs="Symbol"/>
    </w:rPr>
  </w:style>
  <w:style w:type="character" w:styleId="WW8Num74z4">
    <w:name w:val="WW8Num74z4"/>
    <w:qFormat/>
    <w:rPr>
      <w:rFonts w:ascii="Courier New" w:hAnsi="Courier New" w:cs="Courier New"/>
    </w:rPr>
  </w:style>
  <w:style w:type="character" w:styleId="WW8Num74z5">
    <w:name w:val="WW8Num74z5"/>
    <w:qFormat/>
    <w:rPr>
      <w:rFonts w:ascii="Wingdings" w:hAnsi="Wingdings" w:cs="Wingdings"/>
    </w:rPr>
  </w:style>
  <w:style w:type="character" w:styleId="WW8Num75z0">
    <w:name w:val="WW8Num75z0"/>
    <w:qFormat/>
    <w:rPr/>
  </w:style>
  <w:style w:type="character" w:styleId="WW8Num76z0">
    <w:name w:val="WW8Num76z0"/>
    <w:qFormat/>
    <w:rPr/>
  </w:style>
  <w:style w:type="character" w:styleId="WW8Num77z0">
    <w:name w:val="WW8Num77z0"/>
    <w:qFormat/>
    <w:rPr>
      <w:rFonts w:ascii="Times New Roman" w:hAnsi="Times New Roman" w:eastAsia="Times New Roman" w:cs="Times New Roman"/>
    </w:rPr>
  </w:style>
  <w:style w:type="character" w:styleId="WW8Num77z1">
    <w:name w:val="WW8Num77z1"/>
    <w:qFormat/>
    <w:rPr>
      <w:rFonts w:ascii="Courier New" w:hAnsi="Courier New" w:cs="Courier New"/>
    </w:rPr>
  </w:style>
  <w:style w:type="character" w:styleId="WW8Num77z2">
    <w:name w:val="WW8Num77z2"/>
    <w:qFormat/>
    <w:rPr>
      <w:rFonts w:ascii="Wingdings" w:hAnsi="Wingdings" w:cs="Wingdings"/>
    </w:rPr>
  </w:style>
  <w:style w:type="character" w:styleId="WW8Num77z3">
    <w:name w:val="WW8Num77z3"/>
    <w:qFormat/>
    <w:rPr>
      <w:rFonts w:ascii="Symbol" w:hAnsi="Symbol" w:cs="Symbol"/>
    </w:rPr>
  </w:style>
  <w:style w:type="character" w:styleId="WW8Num78z0">
    <w:name w:val="WW8Num78z0"/>
    <w:qFormat/>
    <w:rPr>
      <w:rFonts w:ascii="Symbol" w:hAnsi="Symbol" w:cs="Symbol"/>
    </w:rPr>
  </w:style>
  <w:style w:type="character" w:styleId="WW8Num78z1">
    <w:name w:val="WW8Num78z1"/>
    <w:qFormat/>
    <w:rPr>
      <w:rFonts w:ascii="Courier New" w:hAnsi="Courier New" w:cs="Courier New"/>
    </w:rPr>
  </w:style>
  <w:style w:type="character" w:styleId="WW8Num78z2">
    <w:name w:val="WW8Num78z2"/>
    <w:qFormat/>
    <w:rPr>
      <w:rFonts w:ascii="Wingdings" w:hAnsi="Wingdings" w:cs="Wingdings"/>
    </w:rPr>
  </w:style>
  <w:style w:type="character" w:styleId="WW8Num79z0">
    <w:name w:val="WW8Num79z0"/>
    <w:qFormat/>
    <w:rPr>
      <w:rFonts w:ascii="Wingdings" w:hAnsi="Wingdings" w:eastAsia="Times New Roman" w:cs="Times New Roman"/>
    </w:rPr>
  </w:style>
  <w:style w:type="character" w:styleId="WW8Num79z1">
    <w:name w:val="WW8Num79z1"/>
    <w:qFormat/>
    <w:rPr>
      <w:rFonts w:ascii="Symbol" w:hAnsi="Symbol" w:cs="Symbol"/>
    </w:rPr>
  </w:style>
  <w:style w:type="character" w:styleId="WW8Num79z4">
    <w:name w:val="WW8Num79z4"/>
    <w:qFormat/>
    <w:rPr>
      <w:rFonts w:ascii="Courier New" w:hAnsi="Courier New" w:cs="Courier New"/>
    </w:rPr>
  </w:style>
  <w:style w:type="character" w:styleId="WW8Num79z5">
    <w:name w:val="WW8Num79z5"/>
    <w:qFormat/>
    <w:rPr>
      <w:rFonts w:ascii="Wingdings" w:hAnsi="Wingdings" w:cs="Wingdings"/>
    </w:rPr>
  </w:style>
  <w:style w:type="character" w:styleId="WW8Num80z0">
    <w:name w:val="WW8Num80z0"/>
    <w:qFormat/>
    <w:rPr>
      <w:rFonts w:ascii="Times New Roman" w:hAnsi="Times New Roman" w:eastAsia="Times New Roman" w:cs="Times New Roman"/>
    </w:rPr>
  </w:style>
  <w:style w:type="character" w:styleId="WW8Num80z1">
    <w:name w:val="WW8Num80z1"/>
    <w:qFormat/>
    <w:rPr>
      <w:rFonts w:ascii="Courier New" w:hAnsi="Courier New" w:cs="Courier New"/>
    </w:rPr>
  </w:style>
  <w:style w:type="character" w:styleId="WW8Num80z2">
    <w:name w:val="WW8Num80z2"/>
    <w:qFormat/>
    <w:rPr>
      <w:rFonts w:ascii="Wingdings" w:hAnsi="Wingdings" w:cs="Wingdings"/>
    </w:rPr>
  </w:style>
  <w:style w:type="character" w:styleId="WW8Num80z3">
    <w:name w:val="WW8Num80z3"/>
    <w:qFormat/>
    <w:rPr>
      <w:rFonts w:ascii="Symbol" w:hAnsi="Symbol" w:cs="Symbol"/>
    </w:rPr>
  </w:style>
  <w:style w:type="character" w:styleId="WW8Num81z0">
    <w:name w:val="WW8Num81z0"/>
    <w:qFormat/>
    <w:rPr>
      <w:rFonts w:ascii="Wingdings" w:hAnsi="Wingdings" w:cs="Wingdings"/>
      <w:sz w:val="24"/>
    </w:rPr>
  </w:style>
  <w:style w:type="character" w:styleId="WW8Num81z1">
    <w:name w:val="WW8Num81z1"/>
    <w:qFormat/>
    <w:rPr>
      <w:rFonts w:ascii="Times New Roman" w:hAnsi="Times New Roman" w:eastAsia="Times New Roman" w:cs="Times New Roman"/>
    </w:rPr>
  </w:style>
  <w:style w:type="character" w:styleId="WW8Num81z2">
    <w:name w:val="WW8Num81z2"/>
    <w:qFormat/>
    <w:rPr>
      <w:rFonts w:ascii="Wingdings" w:hAnsi="Wingdings" w:eastAsia="Times New Roman" w:cs="Times New Roman"/>
    </w:rPr>
  </w:style>
  <w:style w:type="character" w:styleId="WW8Num81z3">
    <w:name w:val="WW8Num81z3"/>
    <w:qFormat/>
    <w:rPr>
      <w:rFonts w:ascii="Symbol" w:hAnsi="Symbol" w:cs="Symbol"/>
    </w:rPr>
  </w:style>
  <w:style w:type="character" w:styleId="WW8Num81z4">
    <w:name w:val="WW8Num81z4"/>
    <w:qFormat/>
    <w:rPr>
      <w:rFonts w:ascii="Courier New" w:hAnsi="Courier New" w:cs="Courier New"/>
    </w:rPr>
  </w:style>
  <w:style w:type="character" w:styleId="WW8Num81z5">
    <w:name w:val="WW8Num81z5"/>
    <w:qFormat/>
    <w:rPr>
      <w:rFonts w:ascii="Wingdings" w:hAnsi="Wingdings" w:cs="Wingdings"/>
    </w:rPr>
  </w:style>
  <w:style w:type="character" w:styleId="WW8Num83z0">
    <w:name w:val="WW8Num83z0"/>
    <w:qFormat/>
    <w:rPr>
      <w:rFonts w:ascii="Arial" w:hAnsi="Arial" w:cs="Arial"/>
      <w:b/>
    </w:rPr>
  </w:style>
  <w:style w:type="character" w:styleId="WW8Num84z0">
    <w:name w:val="WW8Num84z0"/>
    <w:qFormat/>
    <w:rPr/>
  </w:style>
  <w:style w:type="character" w:styleId="WW8Num85z0">
    <w:name w:val="WW8Num85z0"/>
    <w:qFormat/>
    <w:rPr>
      <w:rFonts w:ascii="Wingdings" w:hAnsi="Wingdings" w:eastAsia="Times New Roman" w:cs="Times New Roman"/>
      <w:b/>
      <w:i/>
    </w:rPr>
  </w:style>
  <w:style w:type="character" w:styleId="WW8Num85z1">
    <w:name w:val="WW8Num85z1"/>
    <w:qFormat/>
    <w:rPr>
      <w:rFonts w:ascii="Courier New" w:hAnsi="Courier New" w:cs="Courier New"/>
    </w:rPr>
  </w:style>
  <w:style w:type="character" w:styleId="WW8Num85z2">
    <w:name w:val="WW8Num85z2"/>
    <w:qFormat/>
    <w:rPr>
      <w:rFonts w:ascii="Wingdings" w:hAnsi="Wingdings" w:cs="Wingdings"/>
    </w:rPr>
  </w:style>
  <w:style w:type="character" w:styleId="WW8Num85z3">
    <w:name w:val="WW8Num85z3"/>
    <w:qFormat/>
    <w:rPr>
      <w:rFonts w:ascii="Symbol" w:hAnsi="Symbol" w:cs="Symbol"/>
    </w:rPr>
  </w:style>
  <w:style w:type="character" w:styleId="WW8Num86z0">
    <w:name w:val="WW8Num86z0"/>
    <w:qFormat/>
    <w:rPr>
      <w:rFonts w:ascii="Lucida Sans" w:hAnsi="Lucida Sans" w:cs="Lucida Sans"/>
      <w:b/>
      <w:i/>
    </w:rPr>
  </w:style>
  <w:style w:type="character" w:styleId="WW8Num87z0">
    <w:name w:val="WW8Num87z0"/>
    <w:qFormat/>
    <w:rPr>
      <w:rFonts w:ascii="Wingdings" w:hAnsi="Wingdings" w:eastAsia="Times New Roman" w:cs="Times New Roman"/>
    </w:rPr>
  </w:style>
  <w:style w:type="character" w:styleId="WW8Num87z2">
    <w:name w:val="WW8Num87z2"/>
    <w:qFormat/>
    <w:rPr>
      <w:rFonts w:ascii="Wingdings" w:hAnsi="Wingdings" w:cs="Wingdings"/>
    </w:rPr>
  </w:style>
  <w:style w:type="character" w:styleId="WW8Num87z3">
    <w:name w:val="WW8Num87z3"/>
    <w:qFormat/>
    <w:rPr>
      <w:rFonts w:ascii="Symbol" w:hAnsi="Symbol" w:cs="Symbol"/>
    </w:rPr>
  </w:style>
  <w:style w:type="character" w:styleId="WW8Num87z4">
    <w:name w:val="WW8Num87z4"/>
    <w:qFormat/>
    <w:rPr>
      <w:rFonts w:ascii="Courier New" w:hAnsi="Courier New" w:cs="Courier New"/>
    </w:rPr>
  </w:style>
  <w:style w:type="character" w:styleId="WW8Num88z0">
    <w:name w:val="WW8Num88z0"/>
    <w:qFormat/>
    <w:rPr/>
  </w:style>
  <w:style w:type="character" w:styleId="WW8Num89z0">
    <w:name w:val="WW8Num89z0"/>
    <w:qFormat/>
    <w:rPr/>
  </w:style>
  <w:style w:type="character" w:styleId="WW8Num90z0">
    <w:name w:val="WW8Num90z0"/>
    <w:qFormat/>
    <w:rPr>
      <w:rFonts w:ascii="Wingdings" w:hAnsi="Wingdings" w:eastAsia="Times New Roman" w:cs="Times New Roman"/>
    </w:rPr>
  </w:style>
  <w:style w:type="character" w:styleId="WW8Num90z1">
    <w:name w:val="WW8Num90z1"/>
    <w:qFormat/>
    <w:rPr>
      <w:rFonts w:ascii="Courier New" w:hAnsi="Courier New" w:cs="Courier New"/>
    </w:rPr>
  </w:style>
  <w:style w:type="character" w:styleId="WW8Num90z2">
    <w:name w:val="WW8Num90z2"/>
    <w:qFormat/>
    <w:rPr>
      <w:rFonts w:ascii="Wingdings" w:hAnsi="Wingdings" w:cs="Wingdings"/>
    </w:rPr>
  </w:style>
  <w:style w:type="character" w:styleId="WW8Num90z3">
    <w:name w:val="WW8Num90z3"/>
    <w:qFormat/>
    <w:rPr>
      <w:rFonts w:ascii="Symbol" w:hAnsi="Symbol" w:cs="Symbol"/>
    </w:rPr>
  </w:style>
  <w:style w:type="character" w:styleId="WW8Num91z0">
    <w:name w:val="WW8Num91z0"/>
    <w:qFormat/>
    <w:rPr/>
  </w:style>
  <w:style w:type="character" w:styleId="WW8Num92z0">
    <w:name w:val="WW8Num92z0"/>
    <w:qFormat/>
    <w:rPr>
      <w:rFonts w:ascii="Wingdings" w:hAnsi="Wingdings" w:eastAsia="Times New Roman" w:cs="Tahoma"/>
    </w:rPr>
  </w:style>
  <w:style w:type="character" w:styleId="WW8Num92z1">
    <w:name w:val="WW8Num92z1"/>
    <w:qFormat/>
    <w:rPr>
      <w:rFonts w:ascii="Courier New" w:hAnsi="Courier New" w:cs="Courier New"/>
    </w:rPr>
  </w:style>
  <w:style w:type="character" w:styleId="WW8Num92z2">
    <w:name w:val="WW8Num92z2"/>
    <w:qFormat/>
    <w:rPr>
      <w:rFonts w:ascii="Wingdings" w:hAnsi="Wingdings" w:cs="Wingdings"/>
    </w:rPr>
  </w:style>
  <w:style w:type="character" w:styleId="WW8Num92z3">
    <w:name w:val="WW8Num92z3"/>
    <w:qFormat/>
    <w:rPr>
      <w:rFonts w:ascii="Symbol" w:hAnsi="Symbol" w:cs="Symbol"/>
    </w:rPr>
  </w:style>
  <w:style w:type="character" w:styleId="WW8Num93z0">
    <w:name w:val="WW8Num93z0"/>
    <w:qFormat/>
    <w:rPr>
      <w:rFonts w:ascii="Wingdings" w:hAnsi="Wingdings" w:eastAsia="Times New Roman" w:cs="Times New Roman"/>
    </w:rPr>
  </w:style>
  <w:style w:type="character" w:styleId="WW8Num93z1">
    <w:name w:val="WW8Num93z1"/>
    <w:qFormat/>
    <w:rPr>
      <w:rFonts w:ascii="Courier New" w:hAnsi="Courier New" w:cs="Courier New"/>
    </w:rPr>
  </w:style>
  <w:style w:type="character" w:styleId="WW8Num93z2">
    <w:name w:val="WW8Num93z2"/>
    <w:qFormat/>
    <w:rPr>
      <w:rFonts w:ascii="Wingdings" w:hAnsi="Wingdings" w:cs="Wingdings"/>
    </w:rPr>
  </w:style>
  <w:style w:type="character" w:styleId="WW8Num93z3">
    <w:name w:val="WW8Num93z3"/>
    <w:qFormat/>
    <w:rPr>
      <w:rFonts w:ascii="Symbol" w:hAnsi="Symbol" w:cs="Symbol"/>
    </w:rPr>
  </w:style>
  <w:style w:type="character" w:styleId="WW8Num94z0">
    <w:name w:val="WW8Num94z0"/>
    <w:qFormat/>
    <w:rPr>
      <w:rFonts w:ascii="Wingdings" w:hAnsi="Wingdings" w:eastAsia="Times New Roman" w:cs="Times New Roman"/>
    </w:rPr>
  </w:style>
  <w:style w:type="character" w:styleId="WW8Num94z1">
    <w:name w:val="WW8Num94z1"/>
    <w:qFormat/>
    <w:rPr>
      <w:rFonts w:ascii="Courier New" w:hAnsi="Courier New" w:cs="Courier New"/>
    </w:rPr>
  </w:style>
  <w:style w:type="character" w:styleId="WW8Num94z2">
    <w:name w:val="WW8Num94z2"/>
    <w:qFormat/>
    <w:rPr>
      <w:rFonts w:ascii="Wingdings" w:hAnsi="Wingdings" w:cs="Wingdings"/>
    </w:rPr>
  </w:style>
  <w:style w:type="character" w:styleId="WW8Num94z3">
    <w:name w:val="WW8Num94z3"/>
    <w:qFormat/>
    <w:rPr>
      <w:rFonts w:ascii="Symbol" w:hAnsi="Symbol" w:cs="Symbol"/>
    </w:rPr>
  </w:style>
  <w:style w:type="character" w:styleId="WW8Num95z0">
    <w:name w:val="WW8Num95z0"/>
    <w:qFormat/>
    <w:rPr>
      <w:rFonts w:ascii="Lucida Sans" w:hAnsi="Lucida Sans" w:cs="Lucida Sans"/>
      <w:b/>
      <w:u w:val="single"/>
    </w:rPr>
  </w:style>
  <w:style w:type="character" w:styleId="WW8Num96z0">
    <w:name w:val="WW8Num96z0"/>
    <w:qFormat/>
    <w:rPr>
      <w:rFonts w:ascii="Symbol" w:hAnsi="Symbol" w:cs="Symbol"/>
    </w:rPr>
  </w:style>
  <w:style w:type="character" w:styleId="WW8Num97z0">
    <w:name w:val="WW8Num97z0"/>
    <w:qFormat/>
    <w:rPr/>
  </w:style>
  <w:style w:type="character" w:styleId="WW8Num97z1">
    <w:name w:val="WW8Num97z1"/>
    <w:qFormat/>
    <w:rPr>
      <w:rFonts w:ascii="Wingdings" w:hAnsi="Wingdings" w:eastAsia="Times New Roman" w:cs="Times New Roman"/>
    </w:rPr>
  </w:style>
  <w:style w:type="character" w:styleId="WW8Num98z0">
    <w:name w:val="WW8Num98z0"/>
    <w:qFormat/>
    <w:rPr>
      <w:rFonts w:ascii="Symbol" w:hAnsi="Symbol" w:cs="Symbol"/>
    </w:rPr>
  </w:style>
  <w:style w:type="character" w:styleId="WW8Num98z1">
    <w:name w:val="WW8Num98z1"/>
    <w:qFormat/>
    <w:rPr>
      <w:rFonts w:ascii="Courier New" w:hAnsi="Courier New" w:cs="Courier New"/>
    </w:rPr>
  </w:style>
  <w:style w:type="character" w:styleId="WW8Num98z2">
    <w:name w:val="WW8Num98z2"/>
    <w:qFormat/>
    <w:rPr>
      <w:rFonts w:ascii="Wingdings" w:hAnsi="Wingdings" w:cs="Wingdings"/>
    </w:rPr>
  </w:style>
  <w:style w:type="character" w:styleId="WW8Num99z0">
    <w:name w:val="WW8Num99z0"/>
    <w:qFormat/>
    <w:rPr>
      <w:rFonts w:ascii="Wingdings" w:hAnsi="Wingdings" w:eastAsia="Times New Roman" w:cs="Times New Roman"/>
    </w:rPr>
  </w:style>
  <w:style w:type="character" w:styleId="WW8Num99z1">
    <w:name w:val="WW8Num99z1"/>
    <w:qFormat/>
    <w:rPr>
      <w:rFonts w:ascii="Times New Roman" w:hAnsi="Times New Roman" w:eastAsia="Times New Roman" w:cs="Times New Roman"/>
    </w:rPr>
  </w:style>
  <w:style w:type="character" w:styleId="WW8Num99z2">
    <w:name w:val="WW8Num99z2"/>
    <w:qFormat/>
    <w:rPr>
      <w:rFonts w:ascii="Wingdings" w:hAnsi="Wingdings" w:cs="Wingdings"/>
    </w:rPr>
  </w:style>
  <w:style w:type="character" w:styleId="WW8Num99z3">
    <w:name w:val="WW8Num99z3"/>
    <w:qFormat/>
    <w:rPr>
      <w:rFonts w:ascii="Symbol" w:hAnsi="Symbol" w:cs="Symbol"/>
    </w:rPr>
  </w:style>
  <w:style w:type="character" w:styleId="WW8Num99z4">
    <w:name w:val="WW8Num99z4"/>
    <w:qFormat/>
    <w:rPr>
      <w:rFonts w:ascii="Courier New" w:hAnsi="Courier New" w:cs="Courier New"/>
    </w:rPr>
  </w:style>
  <w:style w:type="character" w:styleId="WW8Num100z0">
    <w:name w:val="WW8Num100z0"/>
    <w:qFormat/>
    <w:rPr>
      <w:rFonts w:ascii="Wingdings" w:hAnsi="Wingdings" w:cs="Wingdings"/>
    </w:rPr>
  </w:style>
  <w:style w:type="character" w:styleId="WW8Num100z1">
    <w:name w:val="WW8Num100z1"/>
    <w:qFormat/>
    <w:rPr>
      <w:rFonts w:ascii="Courier New" w:hAnsi="Courier New" w:cs="Courier New"/>
    </w:rPr>
  </w:style>
  <w:style w:type="character" w:styleId="WW8Num100z3">
    <w:name w:val="WW8Num100z3"/>
    <w:qFormat/>
    <w:rPr>
      <w:rFonts w:ascii="Symbol" w:hAnsi="Symbol" w:cs="Symbol"/>
    </w:rPr>
  </w:style>
  <w:style w:type="character" w:styleId="WW8Num101z0">
    <w:name w:val="WW8Num101z0"/>
    <w:qFormat/>
    <w:rPr>
      <w:rFonts w:ascii="Wingdings" w:hAnsi="Wingdings" w:cs="Wingdings"/>
      <w:sz w:val="24"/>
    </w:rPr>
  </w:style>
  <w:style w:type="character" w:styleId="WW8Num101z1">
    <w:name w:val="WW8Num101z1"/>
    <w:qFormat/>
    <w:rPr>
      <w:rFonts w:ascii="Courier New" w:hAnsi="Courier New" w:cs="Courier New"/>
    </w:rPr>
  </w:style>
  <w:style w:type="character" w:styleId="WW8Num101z2">
    <w:name w:val="WW8Num101z2"/>
    <w:qFormat/>
    <w:rPr>
      <w:rFonts w:ascii="Wingdings" w:hAnsi="Wingdings" w:cs="Wingdings"/>
    </w:rPr>
  </w:style>
  <w:style w:type="character" w:styleId="WW8Num101z3">
    <w:name w:val="WW8Num101z3"/>
    <w:qFormat/>
    <w:rPr>
      <w:rFonts w:ascii="Symbol" w:hAnsi="Symbol" w:cs="Symbol"/>
    </w:rPr>
  </w:style>
  <w:style w:type="character" w:styleId="WW8Num102z0">
    <w:name w:val="WW8Num102z0"/>
    <w:qFormat/>
    <w:rPr>
      <w:rFonts w:ascii="Symbol" w:hAnsi="Symbol" w:cs="Symbol"/>
    </w:rPr>
  </w:style>
  <w:style w:type="character" w:styleId="WW8Num102z1">
    <w:name w:val="WW8Num102z1"/>
    <w:qFormat/>
    <w:rPr>
      <w:rFonts w:ascii="Courier New" w:hAnsi="Courier New" w:cs="Courier New"/>
    </w:rPr>
  </w:style>
  <w:style w:type="character" w:styleId="WW8Num102z2">
    <w:name w:val="WW8Num102z2"/>
    <w:qFormat/>
    <w:rPr>
      <w:rFonts w:ascii="Wingdings" w:hAnsi="Wingdings" w:cs="Wingdings"/>
    </w:rPr>
  </w:style>
  <w:style w:type="character" w:styleId="WW8Num103z0">
    <w:name w:val="WW8Num103z0"/>
    <w:qFormat/>
    <w:rPr>
      <w:rFonts w:ascii="Symbol" w:hAnsi="Symbol" w:eastAsia="Times New Roman" w:cs="Times New Roman"/>
    </w:rPr>
  </w:style>
  <w:style w:type="character" w:styleId="WW8Num103z1">
    <w:name w:val="WW8Num103z1"/>
    <w:qFormat/>
    <w:rPr>
      <w:rFonts w:ascii="Wingdings" w:hAnsi="Wingdings" w:eastAsia="Times New Roman" w:cs="Times New Roman"/>
      <w:b/>
      <w:u w:val="single"/>
    </w:rPr>
  </w:style>
  <w:style w:type="character" w:styleId="WW8Num103z2">
    <w:name w:val="WW8Num103z2"/>
    <w:qFormat/>
    <w:rPr>
      <w:rFonts w:ascii="Wingdings" w:hAnsi="Wingdings" w:eastAsia="Times New Roman" w:cs="Times New Roman"/>
    </w:rPr>
  </w:style>
  <w:style w:type="character" w:styleId="WW8Num103z3">
    <w:name w:val="WW8Num103z3"/>
    <w:qFormat/>
    <w:rPr>
      <w:rFonts w:ascii="Symbol" w:hAnsi="Symbol" w:cs="Symbol"/>
    </w:rPr>
  </w:style>
  <w:style w:type="character" w:styleId="WW8Num103z4">
    <w:name w:val="WW8Num103z4"/>
    <w:qFormat/>
    <w:rPr>
      <w:rFonts w:ascii="Courier New" w:hAnsi="Courier New" w:cs="Courier New"/>
    </w:rPr>
  </w:style>
  <w:style w:type="character" w:styleId="WW8Num103z5">
    <w:name w:val="WW8Num103z5"/>
    <w:qFormat/>
    <w:rPr>
      <w:rFonts w:ascii="Wingdings" w:hAnsi="Wingdings" w:cs="Wingdings"/>
    </w:rPr>
  </w:style>
  <w:style w:type="character" w:styleId="WW8Num104z0">
    <w:name w:val="WW8Num104z0"/>
    <w:qFormat/>
    <w:rPr>
      <w:rFonts w:ascii="Wingdings" w:hAnsi="Wingdings" w:eastAsia="Times New Roman" w:cs="Times New Roman"/>
    </w:rPr>
  </w:style>
  <w:style w:type="character" w:styleId="WW8Num104z1">
    <w:name w:val="WW8Num104z1"/>
    <w:qFormat/>
    <w:rPr>
      <w:rFonts w:ascii="Courier New" w:hAnsi="Courier New" w:cs="Courier New"/>
    </w:rPr>
  </w:style>
  <w:style w:type="character" w:styleId="WW8Num104z2">
    <w:name w:val="WW8Num104z2"/>
    <w:qFormat/>
    <w:rPr>
      <w:rFonts w:ascii="Wingdings" w:hAnsi="Wingdings" w:cs="Wingdings"/>
    </w:rPr>
  </w:style>
  <w:style w:type="character" w:styleId="WW8Num104z3">
    <w:name w:val="WW8Num104z3"/>
    <w:qFormat/>
    <w:rPr>
      <w:rFonts w:ascii="Symbol" w:hAnsi="Symbol" w:cs="Symbol"/>
    </w:rPr>
  </w:style>
  <w:style w:type="character" w:styleId="WW8Num105z0">
    <w:name w:val="WW8Num105z0"/>
    <w:qFormat/>
    <w:rPr>
      <w:rFonts w:ascii="Wingdings" w:hAnsi="Wingdings" w:eastAsia="Times New Roman" w:cs="Times New Roman"/>
    </w:rPr>
  </w:style>
  <w:style w:type="character" w:styleId="WW8Num105z1">
    <w:name w:val="WW8Num105z1"/>
    <w:qFormat/>
    <w:rPr>
      <w:rFonts w:ascii="Courier New" w:hAnsi="Courier New" w:cs="Courier New"/>
    </w:rPr>
  </w:style>
  <w:style w:type="character" w:styleId="WW8Num105z2">
    <w:name w:val="WW8Num105z2"/>
    <w:qFormat/>
    <w:rPr>
      <w:rFonts w:ascii="Wingdings" w:hAnsi="Wingdings" w:cs="Wingdings"/>
    </w:rPr>
  </w:style>
  <w:style w:type="character" w:styleId="WW8Num105z3">
    <w:name w:val="WW8Num105z3"/>
    <w:qFormat/>
    <w:rPr>
      <w:rFonts w:ascii="Symbol" w:hAnsi="Symbol" w:cs="Symbol"/>
    </w:rPr>
  </w:style>
  <w:style w:type="character" w:styleId="WW8Num106z0">
    <w:name w:val="WW8Num106z0"/>
    <w:qFormat/>
    <w:rPr>
      <w:rFonts w:ascii="Symbol" w:hAnsi="Symbol" w:cs="Symbol"/>
    </w:rPr>
  </w:style>
  <w:style w:type="character" w:styleId="WW8Num106z1">
    <w:name w:val="WW8Num106z1"/>
    <w:qFormat/>
    <w:rPr>
      <w:rFonts w:ascii="Courier New" w:hAnsi="Courier New" w:cs="Courier New"/>
    </w:rPr>
  </w:style>
  <w:style w:type="character" w:styleId="WW8Num106z2">
    <w:name w:val="WW8Num106z2"/>
    <w:qFormat/>
    <w:rPr>
      <w:rFonts w:ascii="Wingdings" w:hAnsi="Wingdings" w:cs="Wingdings"/>
    </w:rPr>
  </w:style>
  <w:style w:type="character" w:styleId="WW8Num107z0">
    <w:name w:val="WW8Num107z0"/>
    <w:qFormat/>
    <w:rPr/>
  </w:style>
  <w:style w:type="character" w:styleId="WW8Num108z0">
    <w:name w:val="WW8Num108z0"/>
    <w:qFormat/>
    <w:rPr>
      <w:rFonts w:ascii="Symbol" w:hAnsi="Symbol" w:cs="Symbol"/>
    </w:rPr>
  </w:style>
  <w:style w:type="character" w:styleId="WW8Num108z1">
    <w:name w:val="WW8Num108z1"/>
    <w:qFormat/>
    <w:rPr>
      <w:rFonts w:ascii="Courier New" w:hAnsi="Courier New" w:cs="Courier New"/>
    </w:rPr>
  </w:style>
  <w:style w:type="character" w:styleId="WW8Num108z2">
    <w:name w:val="WW8Num108z2"/>
    <w:qFormat/>
    <w:rPr>
      <w:rFonts w:ascii="Wingdings" w:hAnsi="Wingdings" w:cs="Wingdings"/>
    </w:rPr>
  </w:style>
  <w:style w:type="character" w:styleId="WW8Num109z0">
    <w:name w:val="WW8Num109z0"/>
    <w:qFormat/>
    <w:rPr>
      <w:rFonts w:ascii="Wingdings" w:hAnsi="Wingdings" w:eastAsia="Times New Roman" w:cs="Times New Roman"/>
      <w:b w:val="false"/>
      <w:sz w:val="24"/>
    </w:rPr>
  </w:style>
  <w:style w:type="character" w:styleId="WW8Num109z1">
    <w:name w:val="WW8Num109z1"/>
    <w:qFormat/>
    <w:rPr>
      <w:rFonts w:ascii="Wingdings" w:hAnsi="Wingdings" w:eastAsia="Times New Roman" w:cs="Times New Roman"/>
    </w:rPr>
  </w:style>
  <w:style w:type="character" w:styleId="WW8Num109z2">
    <w:name w:val="WW8Num109z2"/>
    <w:qFormat/>
    <w:rPr>
      <w:rFonts w:ascii="Times New Roman" w:hAnsi="Times New Roman" w:eastAsia="Times New Roman" w:cs="Times New Roman"/>
    </w:rPr>
  </w:style>
  <w:style w:type="character" w:styleId="WW8Num109z3">
    <w:name w:val="WW8Num109z3"/>
    <w:qFormat/>
    <w:rPr>
      <w:rFonts w:ascii="Symbol" w:hAnsi="Symbol" w:cs="Symbol"/>
    </w:rPr>
  </w:style>
  <w:style w:type="character" w:styleId="WW8Num109z4">
    <w:name w:val="WW8Num109z4"/>
    <w:qFormat/>
    <w:rPr>
      <w:rFonts w:ascii="Courier New" w:hAnsi="Courier New" w:cs="Courier New"/>
    </w:rPr>
  </w:style>
  <w:style w:type="character" w:styleId="WW8Num109z5">
    <w:name w:val="WW8Num109z5"/>
    <w:qFormat/>
    <w:rPr>
      <w:rFonts w:ascii="Wingdings" w:hAnsi="Wingdings" w:cs="Wingdings"/>
    </w:rPr>
  </w:style>
  <w:style w:type="character" w:styleId="WW8Num110z0">
    <w:name w:val="WW8Num110z0"/>
    <w:qFormat/>
    <w:rPr/>
  </w:style>
  <w:style w:type="character" w:styleId="WW8Num111z0">
    <w:name w:val="WW8Num111z0"/>
    <w:qFormat/>
    <w:rPr>
      <w:rFonts w:ascii="Wingdings" w:hAnsi="Wingdings" w:eastAsia="Times New Roman" w:cs="Times New Roman"/>
    </w:rPr>
  </w:style>
  <w:style w:type="character" w:styleId="WW8Num111z1">
    <w:name w:val="WW8Num111z1"/>
    <w:qFormat/>
    <w:rPr>
      <w:rFonts w:ascii="Courier New" w:hAnsi="Courier New" w:cs="Courier New"/>
    </w:rPr>
  </w:style>
  <w:style w:type="character" w:styleId="WW8Num111z2">
    <w:name w:val="WW8Num111z2"/>
    <w:qFormat/>
    <w:rPr>
      <w:rFonts w:ascii="Wingdings" w:hAnsi="Wingdings" w:cs="Wingdings"/>
    </w:rPr>
  </w:style>
  <w:style w:type="character" w:styleId="WW8Num111z3">
    <w:name w:val="WW8Num111z3"/>
    <w:qFormat/>
    <w:rPr>
      <w:rFonts w:ascii="Symbol" w:hAnsi="Symbol" w:cs="Symbol"/>
    </w:rPr>
  </w:style>
  <w:style w:type="character" w:styleId="WW8Num112z0">
    <w:name w:val="WW8Num112z0"/>
    <w:qFormat/>
    <w:rPr/>
  </w:style>
  <w:style w:type="character" w:styleId="WW8Num113z0">
    <w:name w:val="WW8Num113z0"/>
    <w:qFormat/>
    <w:rPr/>
  </w:style>
  <w:style w:type="character" w:styleId="WW8Num114z0">
    <w:name w:val="WW8Num114z0"/>
    <w:qFormat/>
    <w:rPr/>
  </w:style>
  <w:style w:type="character" w:styleId="WW8Num114z1">
    <w:name w:val="WW8Num114z1"/>
    <w:qFormat/>
    <w:rPr>
      <w:rFonts w:ascii="Times New Roman" w:hAnsi="Times New Roman" w:eastAsia="Times New Roman" w:cs="Times New Roman"/>
    </w:rPr>
  </w:style>
  <w:style w:type="character" w:styleId="WW8Num115z0">
    <w:name w:val="WW8Num115z0"/>
    <w:qFormat/>
    <w:rPr>
      <w:rFonts w:ascii="Symbol" w:hAnsi="Symbol" w:cs="Symbol"/>
      <w:color w:val="000000"/>
    </w:rPr>
  </w:style>
  <w:style w:type="character" w:styleId="WW8Num115z1">
    <w:name w:val="WW8Num115z1"/>
    <w:qFormat/>
    <w:rPr>
      <w:rFonts w:ascii="Courier New" w:hAnsi="Courier New" w:cs="Courier New"/>
    </w:rPr>
  </w:style>
  <w:style w:type="character" w:styleId="WW8Num115z2">
    <w:name w:val="WW8Num115z2"/>
    <w:qFormat/>
    <w:rPr>
      <w:rFonts w:ascii="Wingdings" w:hAnsi="Wingdings" w:cs="Wingdings"/>
    </w:rPr>
  </w:style>
  <w:style w:type="character" w:styleId="WW8Num115z3">
    <w:name w:val="WW8Num115z3"/>
    <w:qFormat/>
    <w:rPr>
      <w:rFonts w:ascii="Symbol" w:hAnsi="Symbol" w:cs="Symbol"/>
    </w:rPr>
  </w:style>
  <w:style w:type="character" w:styleId="WW8Num116z0">
    <w:name w:val="WW8Num116z0"/>
    <w:qFormat/>
    <w:rPr>
      <w:rFonts w:ascii="Times New Roman" w:hAnsi="Times New Roman" w:eastAsia="Times New Roman" w:cs="Times New Roman"/>
    </w:rPr>
  </w:style>
  <w:style w:type="character" w:styleId="WW8Num116z1">
    <w:name w:val="WW8Num116z1"/>
    <w:qFormat/>
    <w:rPr>
      <w:rFonts w:ascii="Courier New" w:hAnsi="Courier New" w:cs="Courier New"/>
    </w:rPr>
  </w:style>
  <w:style w:type="character" w:styleId="WW8Num116z2">
    <w:name w:val="WW8Num116z2"/>
    <w:qFormat/>
    <w:rPr>
      <w:rFonts w:ascii="Wingdings" w:hAnsi="Wingdings" w:cs="Wingdings"/>
    </w:rPr>
  </w:style>
  <w:style w:type="character" w:styleId="WW8Num116z3">
    <w:name w:val="WW8Num116z3"/>
    <w:qFormat/>
    <w:rPr>
      <w:rFonts w:ascii="Symbol" w:hAnsi="Symbol" w:cs="Symbol"/>
    </w:rPr>
  </w:style>
  <w:style w:type="character" w:styleId="WW8Num117z0">
    <w:name w:val="WW8Num117z0"/>
    <w:qFormat/>
    <w:rPr>
      <w:rFonts w:ascii="Wingdings" w:hAnsi="Wingdings" w:eastAsia="Times New Roman" w:cs="Times New Roman"/>
    </w:rPr>
  </w:style>
  <w:style w:type="character" w:styleId="WW8Num117z1">
    <w:name w:val="WW8Num117z1"/>
    <w:qFormat/>
    <w:rPr>
      <w:rFonts w:ascii="Courier New" w:hAnsi="Courier New" w:cs="Courier New"/>
    </w:rPr>
  </w:style>
  <w:style w:type="character" w:styleId="WW8Num117z2">
    <w:name w:val="WW8Num117z2"/>
    <w:qFormat/>
    <w:rPr>
      <w:rFonts w:ascii="Wingdings" w:hAnsi="Wingdings" w:cs="Wingdings"/>
    </w:rPr>
  </w:style>
  <w:style w:type="character" w:styleId="WW8Num117z3">
    <w:name w:val="WW8Num117z3"/>
    <w:qFormat/>
    <w:rPr>
      <w:rFonts w:ascii="Symbol" w:hAnsi="Symbol" w:cs="Symbol"/>
    </w:rPr>
  </w:style>
  <w:style w:type="character" w:styleId="WW8Num118z0">
    <w:name w:val="WW8Num118z0"/>
    <w:qFormat/>
    <w:rPr>
      <w:rFonts w:ascii="Times New Roman" w:hAnsi="Times New Roman" w:eastAsia="Times New Roman" w:cs="Times New Roman"/>
    </w:rPr>
  </w:style>
  <w:style w:type="character" w:styleId="WW8Num118z1">
    <w:name w:val="WW8Num118z1"/>
    <w:qFormat/>
    <w:rPr>
      <w:rFonts w:ascii="Courier New" w:hAnsi="Courier New" w:cs="Courier New"/>
    </w:rPr>
  </w:style>
  <w:style w:type="character" w:styleId="WW8Num118z2">
    <w:name w:val="WW8Num118z2"/>
    <w:qFormat/>
    <w:rPr>
      <w:rFonts w:ascii="Wingdings" w:hAnsi="Wingdings" w:cs="Wingdings"/>
    </w:rPr>
  </w:style>
  <w:style w:type="character" w:styleId="WW8Num118z3">
    <w:name w:val="WW8Num118z3"/>
    <w:qFormat/>
    <w:rPr>
      <w:rFonts w:ascii="Symbol" w:hAnsi="Symbol" w:cs="Symbol"/>
    </w:rPr>
  </w:style>
  <w:style w:type="character" w:styleId="WW8Num119z0">
    <w:name w:val="WW8Num119z0"/>
    <w:qFormat/>
    <w:rPr>
      <w:rFonts w:ascii="Symbol" w:hAnsi="Symbol" w:cs="Symbol"/>
    </w:rPr>
  </w:style>
  <w:style w:type="character" w:styleId="WW8Num119z1">
    <w:name w:val="WW8Num119z1"/>
    <w:qFormat/>
    <w:rPr>
      <w:rFonts w:ascii="Times New Roman" w:hAnsi="Times New Roman" w:eastAsia="Times New Roman" w:cs="Times New Roman"/>
    </w:rPr>
  </w:style>
  <w:style w:type="character" w:styleId="WW8Num119z2">
    <w:name w:val="WW8Num119z2"/>
    <w:qFormat/>
    <w:rPr>
      <w:rFonts w:ascii="Wingdings" w:hAnsi="Wingdings" w:cs="Wingdings"/>
    </w:rPr>
  </w:style>
  <w:style w:type="character" w:styleId="WW8Num119z4">
    <w:name w:val="WW8Num119z4"/>
    <w:qFormat/>
    <w:rPr>
      <w:rFonts w:ascii="Courier New" w:hAnsi="Courier New" w:cs="Courier New"/>
    </w:rPr>
  </w:style>
  <w:style w:type="character" w:styleId="WW8Num120z0">
    <w:name w:val="WW8Num120z0"/>
    <w:qFormat/>
    <w:rPr/>
  </w:style>
  <w:style w:type="character" w:styleId="WW8Num121z0">
    <w:name w:val="WW8Num121z0"/>
    <w:qFormat/>
    <w:rPr>
      <w:rFonts w:ascii="Wingdings" w:hAnsi="Wingdings" w:eastAsia="Times New Roman" w:cs="Times New Roman"/>
    </w:rPr>
  </w:style>
  <w:style w:type="character" w:styleId="WW8Num121z1">
    <w:name w:val="WW8Num121z1"/>
    <w:qFormat/>
    <w:rPr>
      <w:rFonts w:ascii="Courier New" w:hAnsi="Courier New" w:cs="Courier New"/>
    </w:rPr>
  </w:style>
  <w:style w:type="character" w:styleId="WW8Num121z2">
    <w:name w:val="WW8Num121z2"/>
    <w:qFormat/>
    <w:rPr>
      <w:rFonts w:ascii="Wingdings" w:hAnsi="Wingdings" w:cs="Wingdings"/>
    </w:rPr>
  </w:style>
  <w:style w:type="character" w:styleId="WW8Num121z3">
    <w:name w:val="WW8Num121z3"/>
    <w:qFormat/>
    <w:rPr>
      <w:rFonts w:ascii="Symbol" w:hAnsi="Symbol" w:cs="Symbol"/>
    </w:rPr>
  </w:style>
  <w:style w:type="character" w:styleId="WW8Num122z0">
    <w:name w:val="WW8Num122z0"/>
    <w:qFormat/>
    <w:rPr>
      <w:rFonts w:ascii="Symbol" w:hAnsi="Symbol" w:cs="Symbol"/>
    </w:rPr>
  </w:style>
  <w:style w:type="character" w:styleId="WW8Num122z1">
    <w:name w:val="WW8Num122z1"/>
    <w:qFormat/>
    <w:rPr>
      <w:rFonts w:ascii="Courier New" w:hAnsi="Courier New" w:cs="Courier New"/>
    </w:rPr>
  </w:style>
  <w:style w:type="character" w:styleId="WW8Num122z2">
    <w:name w:val="WW8Num122z2"/>
    <w:qFormat/>
    <w:rPr>
      <w:rFonts w:ascii="Wingdings" w:hAnsi="Wingdings" w:cs="Wingdings"/>
    </w:rPr>
  </w:style>
  <w:style w:type="character" w:styleId="WW8Num123z0">
    <w:name w:val="WW8Num123z0"/>
    <w:qFormat/>
    <w:rPr>
      <w:rFonts w:ascii="Wingdings" w:hAnsi="Wingdings" w:eastAsia="Times New Roman" w:cs="Times New Roman"/>
    </w:rPr>
  </w:style>
  <w:style w:type="character" w:styleId="WW8Num123z2">
    <w:name w:val="WW8Num123z2"/>
    <w:qFormat/>
    <w:rPr>
      <w:rFonts w:ascii="Wingdings" w:hAnsi="Wingdings" w:cs="Wingdings"/>
    </w:rPr>
  </w:style>
  <w:style w:type="character" w:styleId="WW8Num123z3">
    <w:name w:val="WW8Num123z3"/>
    <w:qFormat/>
    <w:rPr>
      <w:rFonts w:ascii="Symbol" w:hAnsi="Symbol" w:cs="Symbol"/>
    </w:rPr>
  </w:style>
  <w:style w:type="character" w:styleId="WW8Num123z4">
    <w:name w:val="WW8Num123z4"/>
    <w:qFormat/>
    <w:rPr>
      <w:rFonts w:ascii="Courier New" w:hAnsi="Courier New" w:cs="Courier New"/>
    </w:rPr>
  </w:style>
  <w:style w:type="character" w:styleId="WW8Num124z0">
    <w:name w:val="WW8Num124z0"/>
    <w:qFormat/>
    <w:rPr/>
  </w:style>
  <w:style w:type="character" w:styleId="WW8Num125z0">
    <w:name w:val="WW8Num125z0"/>
    <w:qFormat/>
    <w:rPr>
      <w:rFonts w:ascii="Symbol" w:hAnsi="Symbol" w:cs="Symbol"/>
    </w:rPr>
  </w:style>
  <w:style w:type="character" w:styleId="WW8Num125z1">
    <w:name w:val="WW8Num125z1"/>
    <w:qFormat/>
    <w:rPr>
      <w:rFonts w:ascii="Wingdings" w:hAnsi="Wingdings" w:eastAsia="Times New Roman" w:cs="Times New Roman"/>
    </w:rPr>
  </w:style>
  <w:style w:type="character" w:styleId="WW8Num125z3">
    <w:name w:val="WW8Num125z3"/>
    <w:qFormat/>
    <w:rPr>
      <w:rFonts w:ascii="Times New Roman" w:hAnsi="Times New Roman" w:eastAsia="Times New Roman" w:cs="Times New Roman"/>
    </w:rPr>
  </w:style>
  <w:style w:type="character" w:styleId="WW8Num125z5">
    <w:name w:val="WW8Num125z5"/>
    <w:qFormat/>
    <w:rPr>
      <w:rFonts w:ascii="Wingdings" w:hAnsi="Wingdings" w:cs="Wingdings"/>
    </w:rPr>
  </w:style>
  <w:style w:type="character" w:styleId="WW8Num125z7">
    <w:name w:val="WW8Num125z7"/>
    <w:qFormat/>
    <w:rPr>
      <w:rFonts w:ascii="Courier New" w:hAnsi="Courier New" w:cs="Courier New"/>
    </w:rPr>
  </w:style>
  <w:style w:type="character" w:styleId="WW8Num126z0">
    <w:name w:val="WW8Num126z0"/>
    <w:qFormat/>
    <w:rPr/>
  </w:style>
  <w:style w:type="character" w:styleId="WW8Num127z0">
    <w:name w:val="WW8Num127z0"/>
    <w:qFormat/>
    <w:rPr>
      <w:rFonts w:ascii="Times New Roman" w:hAnsi="Times New Roman" w:eastAsia="Times New Roman" w:cs="Times New Roman"/>
    </w:rPr>
  </w:style>
  <w:style w:type="character" w:styleId="WW8Num127z1">
    <w:name w:val="WW8Num127z1"/>
    <w:qFormat/>
    <w:rPr>
      <w:rFonts w:ascii="Courier New" w:hAnsi="Courier New" w:cs="Courier New"/>
    </w:rPr>
  </w:style>
  <w:style w:type="character" w:styleId="WW8Num127z2">
    <w:name w:val="WW8Num127z2"/>
    <w:qFormat/>
    <w:rPr>
      <w:rFonts w:ascii="Wingdings" w:hAnsi="Wingdings" w:cs="Wingdings"/>
    </w:rPr>
  </w:style>
  <w:style w:type="character" w:styleId="WW8Num127z3">
    <w:name w:val="WW8Num127z3"/>
    <w:qFormat/>
    <w:rPr>
      <w:rFonts w:ascii="Symbol" w:hAnsi="Symbol" w:cs="Symbol"/>
    </w:rPr>
  </w:style>
  <w:style w:type="character" w:styleId="WW8Num128z0">
    <w:name w:val="WW8Num128z0"/>
    <w:qFormat/>
    <w:rPr>
      <w:rFonts w:ascii="Wingdings" w:hAnsi="Wingdings" w:eastAsia="Times New Roman" w:cs="Times New Roman"/>
    </w:rPr>
  </w:style>
  <w:style w:type="character" w:styleId="WW8Num128z1">
    <w:name w:val="WW8Num128z1"/>
    <w:qFormat/>
    <w:rPr>
      <w:rFonts w:ascii="Times New Roman" w:hAnsi="Times New Roman" w:eastAsia="Times New Roman" w:cs="Times New Roman"/>
    </w:rPr>
  </w:style>
  <w:style w:type="character" w:styleId="WW8Num128z2">
    <w:name w:val="WW8Num128z2"/>
    <w:qFormat/>
    <w:rPr>
      <w:rFonts w:ascii="Wingdings" w:hAnsi="Wingdings" w:cs="Wingdings"/>
    </w:rPr>
  </w:style>
  <w:style w:type="character" w:styleId="WW8Num128z3">
    <w:name w:val="WW8Num128z3"/>
    <w:qFormat/>
    <w:rPr>
      <w:rFonts w:ascii="Symbol" w:hAnsi="Symbol" w:cs="Symbol"/>
    </w:rPr>
  </w:style>
  <w:style w:type="character" w:styleId="WW8Num128z4">
    <w:name w:val="WW8Num128z4"/>
    <w:qFormat/>
    <w:rPr>
      <w:rFonts w:ascii="Courier New" w:hAnsi="Courier New" w:cs="Courier New"/>
    </w:rPr>
  </w:style>
  <w:style w:type="character" w:styleId="WW8Num129z0">
    <w:name w:val="WW8Num129z0"/>
    <w:qFormat/>
    <w:rPr>
      <w:rFonts w:ascii="Times New Roman" w:hAnsi="Times New Roman" w:eastAsia="Times New Roman" w:cs="Times New Roman"/>
    </w:rPr>
  </w:style>
  <w:style w:type="character" w:styleId="WW8Num129z1">
    <w:name w:val="WW8Num129z1"/>
    <w:qFormat/>
    <w:rPr>
      <w:rFonts w:ascii="Courier New" w:hAnsi="Courier New" w:cs="Courier New"/>
    </w:rPr>
  </w:style>
  <w:style w:type="character" w:styleId="WW8Num129z2">
    <w:name w:val="WW8Num129z2"/>
    <w:qFormat/>
    <w:rPr>
      <w:rFonts w:ascii="Wingdings" w:hAnsi="Wingdings" w:cs="Wingdings"/>
    </w:rPr>
  </w:style>
  <w:style w:type="character" w:styleId="WW8Num129z3">
    <w:name w:val="WW8Num129z3"/>
    <w:qFormat/>
    <w:rPr>
      <w:rFonts w:ascii="Symbol" w:hAnsi="Symbol" w:cs="Symbol"/>
    </w:rPr>
  </w:style>
  <w:style w:type="character" w:styleId="WW8Num130z1">
    <w:name w:val="WW8Num130z1"/>
    <w:qFormat/>
    <w:rPr>
      <w:rFonts w:ascii="Symbol" w:hAnsi="Symbol" w:cs="Symbol"/>
    </w:rPr>
  </w:style>
  <w:style w:type="character" w:styleId="WW8Num130z2">
    <w:name w:val="WW8Num130z2"/>
    <w:qFormat/>
    <w:rPr/>
  </w:style>
  <w:style w:type="character" w:styleId="WW8Num132z0">
    <w:name w:val="WW8Num132z0"/>
    <w:qFormat/>
    <w:rPr>
      <w:rFonts w:ascii="Times New Roman" w:hAnsi="Times New Roman" w:eastAsia="Times New Roman" w:cs="Times New Roman"/>
    </w:rPr>
  </w:style>
  <w:style w:type="character" w:styleId="WW8Num132z1">
    <w:name w:val="WW8Num132z1"/>
    <w:qFormat/>
    <w:rPr>
      <w:rFonts w:ascii="Courier New" w:hAnsi="Courier New" w:cs="Courier New"/>
    </w:rPr>
  </w:style>
  <w:style w:type="character" w:styleId="WW8Num132z2">
    <w:name w:val="WW8Num132z2"/>
    <w:qFormat/>
    <w:rPr>
      <w:rFonts w:ascii="Wingdings" w:hAnsi="Wingdings" w:cs="Wingdings"/>
    </w:rPr>
  </w:style>
  <w:style w:type="character" w:styleId="WW8Num132z3">
    <w:name w:val="WW8Num132z3"/>
    <w:qFormat/>
    <w:rPr>
      <w:rFonts w:ascii="Symbol" w:hAnsi="Symbol" w:cs="Symbol"/>
    </w:rPr>
  </w:style>
  <w:style w:type="character" w:styleId="WW8Num133z0">
    <w:name w:val="WW8Num133z0"/>
    <w:qFormat/>
    <w:rPr/>
  </w:style>
  <w:style w:type="character" w:styleId="WW8Num134z0">
    <w:name w:val="WW8Num134z0"/>
    <w:qFormat/>
    <w:rPr>
      <w:rFonts w:ascii="Wingdings" w:hAnsi="Wingdings" w:eastAsia="Times New Roman" w:cs="Times New Roman"/>
    </w:rPr>
  </w:style>
  <w:style w:type="character" w:styleId="WW8Num134z1">
    <w:name w:val="WW8Num134z1"/>
    <w:qFormat/>
    <w:rPr>
      <w:rFonts w:ascii="Times New Roman" w:hAnsi="Times New Roman" w:eastAsia="Times New Roman" w:cs="Times New Roman"/>
    </w:rPr>
  </w:style>
  <w:style w:type="character" w:styleId="WW8Num134z3">
    <w:name w:val="WW8Num134z3"/>
    <w:qFormat/>
    <w:rPr>
      <w:rFonts w:ascii="Symbol" w:hAnsi="Symbol" w:cs="Symbol"/>
    </w:rPr>
  </w:style>
  <w:style w:type="character" w:styleId="WW8Num134z4">
    <w:name w:val="WW8Num134z4"/>
    <w:qFormat/>
    <w:rPr>
      <w:rFonts w:ascii="Courier New" w:hAnsi="Courier New" w:cs="Courier New"/>
    </w:rPr>
  </w:style>
  <w:style w:type="character" w:styleId="WW8Num134z5">
    <w:name w:val="WW8Num134z5"/>
    <w:qFormat/>
    <w:rPr>
      <w:rFonts w:ascii="Wingdings" w:hAnsi="Wingdings" w:cs="Wingdings"/>
    </w:rPr>
  </w:style>
  <w:style w:type="character" w:styleId="WW8Num135z0">
    <w:name w:val="WW8Num135z0"/>
    <w:qFormat/>
    <w:rPr>
      <w:rFonts w:ascii="Symbol" w:hAnsi="Symbol" w:eastAsia="Times New Roman" w:cs="Times New Roman"/>
    </w:rPr>
  </w:style>
  <w:style w:type="character" w:styleId="WW8Num135z1">
    <w:name w:val="WW8Num135z1"/>
    <w:qFormat/>
    <w:rPr>
      <w:rFonts w:ascii="Wingdings" w:hAnsi="Wingdings" w:eastAsia="Times New Roman" w:cs="Times New Roman"/>
    </w:rPr>
  </w:style>
  <w:style w:type="character" w:styleId="WW8Num135z3">
    <w:name w:val="WW8Num135z3"/>
    <w:qFormat/>
    <w:rPr>
      <w:rFonts w:ascii="Symbol" w:hAnsi="Symbol" w:cs="Symbol"/>
    </w:rPr>
  </w:style>
  <w:style w:type="character" w:styleId="WW8Num135z4">
    <w:name w:val="WW8Num135z4"/>
    <w:qFormat/>
    <w:rPr>
      <w:rFonts w:ascii="Courier New" w:hAnsi="Courier New" w:cs="Courier New"/>
    </w:rPr>
  </w:style>
  <w:style w:type="character" w:styleId="WW8Num135z5">
    <w:name w:val="WW8Num135z5"/>
    <w:qFormat/>
    <w:rPr>
      <w:rFonts w:ascii="Wingdings" w:hAnsi="Wingdings" w:cs="Wingdings"/>
    </w:rPr>
  </w:style>
  <w:style w:type="character" w:styleId="WW8Num136z0">
    <w:name w:val="WW8Num136z0"/>
    <w:qFormat/>
    <w:rPr/>
  </w:style>
  <w:style w:type="character" w:styleId="WW8Num137z0">
    <w:name w:val="WW8Num137z0"/>
    <w:qFormat/>
    <w:rPr>
      <w:rFonts w:ascii="Wingdings" w:hAnsi="Wingdings" w:cs="Wingdings"/>
    </w:rPr>
  </w:style>
  <w:style w:type="character" w:styleId="WW8Num137z1">
    <w:name w:val="WW8Num137z1"/>
    <w:qFormat/>
    <w:rPr>
      <w:rFonts w:ascii="Times New Roman" w:hAnsi="Times New Roman" w:eastAsia="Times New Roman" w:cs="Times New Roman"/>
    </w:rPr>
  </w:style>
  <w:style w:type="character" w:styleId="WW8Num137z2">
    <w:name w:val="WW8Num137z2"/>
    <w:qFormat/>
    <w:rPr>
      <w:rFonts w:ascii="Wingdings" w:hAnsi="Wingdings" w:cs="Wingdings"/>
      <w:sz w:val="24"/>
    </w:rPr>
  </w:style>
  <w:style w:type="character" w:styleId="WW8Num137z3">
    <w:name w:val="WW8Num137z3"/>
    <w:qFormat/>
    <w:rPr>
      <w:rFonts w:ascii="Symbol" w:hAnsi="Symbol" w:cs="Symbol"/>
    </w:rPr>
  </w:style>
  <w:style w:type="character" w:styleId="WW8Num137z4">
    <w:name w:val="WW8Num137z4"/>
    <w:qFormat/>
    <w:rPr>
      <w:rFonts w:ascii="Courier New" w:hAnsi="Courier New" w:cs="Courier New"/>
    </w:rPr>
  </w:style>
  <w:style w:type="character" w:styleId="WW8Num138z0">
    <w:name w:val="WW8Num138z0"/>
    <w:qFormat/>
    <w:rPr>
      <w:rFonts w:ascii="Symbol" w:hAnsi="Symbol" w:cs="Symbol"/>
    </w:rPr>
  </w:style>
  <w:style w:type="character" w:styleId="WW8Num138z1">
    <w:name w:val="WW8Num138z1"/>
    <w:qFormat/>
    <w:rPr>
      <w:rFonts w:ascii="Times New Roman" w:hAnsi="Times New Roman" w:eastAsia="Times New Roman" w:cs="Times New Roman"/>
    </w:rPr>
  </w:style>
  <w:style w:type="character" w:styleId="WW8Num138z2">
    <w:name w:val="WW8Num138z2"/>
    <w:qFormat/>
    <w:rPr>
      <w:rFonts w:ascii="Wingdings" w:hAnsi="Wingdings" w:cs="Wingdings"/>
    </w:rPr>
  </w:style>
  <w:style w:type="character" w:styleId="WW8Num138z4">
    <w:name w:val="WW8Num138z4"/>
    <w:qFormat/>
    <w:rPr>
      <w:rFonts w:ascii="Courier New" w:hAnsi="Courier New" w:cs="Courier New"/>
    </w:rPr>
  </w:style>
  <w:style w:type="character" w:styleId="WW8Num139z0">
    <w:name w:val="WW8Num139z0"/>
    <w:qFormat/>
    <w:rPr>
      <w:rFonts w:ascii="Times New Roman" w:hAnsi="Times New Roman" w:eastAsia="Times New Roman" w:cs="Times New Roman"/>
    </w:rPr>
  </w:style>
  <w:style w:type="character" w:styleId="WW8Num139z1">
    <w:name w:val="WW8Num139z1"/>
    <w:qFormat/>
    <w:rPr>
      <w:rFonts w:ascii="Courier New" w:hAnsi="Courier New" w:cs="Courier New"/>
    </w:rPr>
  </w:style>
  <w:style w:type="character" w:styleId="WW8Num139z2">
    <w:name w:val="WW8Num139z2"/>
    <w:qFormat/>
    <w:rPr>
      <w:rFonts w:ascii="Wingdings" w:hAnsi="Wingdings" w:cs="Wingdings"/>
    </w:rPr>
  </w:style>
  <w:style w:type="character" w:styleId="WW8Num139z3">
    <w:name w:val="WW8Num139z3"/>
    <w:qFormat/>
    <w:rPr>
      <w:rFonts w:ascii="Symbol" w:hAnsi="Symbol" w:cs="Symbol"/>
    </w:rPr>
  </w:style>
  <w:style w:type="character" w:styleId="WW8Num140z0">
    <w:name w:val="WW8Num140z0"/>
    <w:qFormat/>
    <w:rPr>
      <w:rFonts w:ascii="Wingdings" w:hAnsi="Wingdings" w:cs="Wingdings"/>
    </w:rPr>
  </w:style>
  <w:style w:type="character" w:styleId="WW8Num140z1">
    <w:name w:val="WW8Num140z1"/>
    <w:qFormat/>
    <w:rPr>
      <w:rFonts w:ascii="Wingdings" w:hAnsi="Wingdings" w:eastAsia="Times New Roman" w:cs="Times New Roman"/>
    </w:rPr>
  </w:style>
  <w:style w:type="character" w:styleId="WW8Num140z2">
    <w:name w:val="WW8Num140z2"/>
    <w:qFormat/>
    <w:rPr>
      <w:rFonts w:ascii="Times New Roman" w:hAnsi="Times New Roman" w:eastAsia="Times New Roman" w:cs="Times New Roman"/>
    </w:rPr>
  </w:style>
  <w:style w:type="character" w:styleId="WW8Num140z4">
    <w:name w:val="WW8Num140z4"/>
    <w:qFormat/>
    <w:rPr>
      <w:rFonts w:ascii="Symbol" w:hAnsi="Symbol" w:eastAsia="Times New Roman" w:cs="Times New Roman"/>
    </w:rPr>
  </w:style>
  <w:style w:type="character" w:styleId="WW8Num140z6">
    <w:name w:val="WW8Num140z6"/>
    <w:qFormat/>
    <w:rPr>
      <w:rFonts w:ascii="Symbol" w:hAnsi="Symbol" w:cs="Symbol"/>
    </w:rPr>
  </w:style>
  <w:style w:type="character" w:styleId="WW8Num140z7">
    <w:name w:val="WW8Num140z7"/>
    <w:qFormat/>
    <w:rPr>
      <w:rFonts w:ascii="Courier New" w:hAnsi="Courier New" w:cs="Courier New"/>
    </w:rPr>
  </w:style>
  <w:style w:type="character" w:styleId="WW8Num141z0">
    <w:name w:val="WW8Num141z0"/>
    <w:qFormat/>
    <w:rPr>
      <w:rFonts w:ascii="Symbol" w:hAnsi="Symbol" w:cs="Symbol"/>
    </w:rPr>
  </w:style>
  <w:style w:type="character" w:styleId="WW8Num141z1">
    <w:name w:val="WW8Num141z1"/>
    <w:qFormat/>
    <w:rPr>
      <w:rFonts w:ascii="Courier New" w:hAnsi="Courier New" w:cs="Courier New"/>
    </w:rPr>
  </w:style>
  <w:style w:type="character" w:styleId="WW8Num141z2">
    <w:name w:val="WW8Num141z2"/>
    <w:qFormat/>
    <w:rPr>
      <w:rFonts w:ascii="Wingdings" w:hAnsi="Wingdings" w:cs="Wingdings"/>
    </w:rPr>
  </w:style>
  <w:style w:type="character" w:styleId="WW8Num142z0">
    <w:name w:val="WW8Num142z0"/>
    <w:qFormat/>
    <w:rPr/>
  </w:style>
  <w:style w:type="character" w:styleId="WW8Num143z0">
    <w:name w:val="WW8Num143z0"/>
    <w:qFormat/>
    <w:rPr>
      <w:rFonts w:ascii="Wingdings" w:hAnsi="Wingdings" w:eastAsia="Times New Roman" w:cs="Times New Roman"/>
    </w:rPr>
  </w:style>
  <w:style w:type="character" w:styleId="WW8Num143z1">
    <w:name w:val="WW8Num143z1"/>
    <w:qFormat/>
    <w:rPr>
      <w:rFonts w:ascii="Courier New" w:hAnsi="Courier New" w:cs="Courier New"/>
    </w:rPr>
  </w:style>
  <w:style w:type="character" w:styleId="WW8Num143z2">
    <w:name w:val="WW8Num143z2"/>
    <w:qFormat/>
    <w:rPr>
      <w:rFonts w:ascii="Wingdings" w:hAnsi="Wingdings" w:cs="Wingdings"/>
    </w:rPr>
  </w:style>
  <w:style w:type="character" w:styleId="WW8Num143z3">
    <w:name w:val="WW8Num143z3"/>
    <w:qFormat/>
    <w:rPr>
      <w:rFonts w:ascii="Symbol" w:hAnsi="Symbol" w:cs="Symbol"/>
    </w:rPr>
  </w:style>
  <w:style w:type="character" w:styleId="WW8Num144z0">
    <w:name w:val="WW8Num144z0"/>
    <w:qFormat/>
    <w:rPr>
      <w:rFonts w:ascii="Symbol" w:hAnsi="Symbol" w:cs="Symbol"/>
      <w:color w:val="000000"/>
    </w:rPr>
  </w:style>
  <w:style w:type="character" w:styleId="WW8Num144z1">
    <w:name w:val="WW8Num144z1"/>
    <w:qFormat/>
    <w:rPr>
      <w:rFonts w:ascii="Courier New" w:hAnsi="Courier New" w:cs="Courier New"/>
    </w:rPr>
  </w:style>
  <w:style w:type="character" w:styleId="WW8Num144z2">
    <w:name w:val="WW8Num144z2"/>
    <w:qFormat/>
    <w:rPr>
      <w:rFonts w:ascii="Wingdings" w:hAnsi="Wingdings" w:cs="Wingdings"/>
    </w:rPr>
  </w:style>
  <w:style w:type="character" w:styleId="WW8Num144z3">
    <w:name w:val="WW8Num144z3"/>
    <w:qFormat/>
    <w:rPr>
      <w:rFonts w:ascii="Symbol" w:hAnsi="Symbol" w:cs="Symbol"/>
    </w:rPr>
  </w:style>
  <w:style w:type="character" w:styleId="WW8Num145z0">
    <w:name w:val="WW8Num145z0"/>
    <w:qFormat/>
    <w:rPr>
      <w:rFonts w:ascii="Wingdings" w:hAnsi="Wingdings" w:eastAsia="Times New Roman" w:cs="Times New Roman"/>
    </w:rPr>
  </w:style>
  <w:style w:type="character" w:styleId="WW8Num145z2">
    <w:name w:val="WW8Num145z2"/>
    <w:qFormat/>
    <w:rPr>
      <w:rFonts w:ascii="Wingdings" w:hAnsi="Wingdings" w:cs="Wingdings"/>
    </w:rPr>
  </w:style>
  <w:style w:type="character" w:styleId="WW8Num145z3">
    <w:name w:val="WW8Num145z3"/>
    <w:qFormat/>
    <w:rPr>
      <w:rFonts w:ascii="Symbol" w:hAnsi="Symbol" w:cs="Symbol"/>
    </w:rPr>
  </w:style>
  <w:style w:type="character" w:styleId="WW8Num145z4">
    <w:name w:val="WW8Num145z4"/>
    <w:qFormat/>
    <w:rPr>
      <w:rFonts w:ascii="Courier New" w:hAnsi="Courier New" w:cs="Courier New"/>
    </w:rPr>
  </w:style>
  <w:style w:type="character" w:styleId="WW8Num146z0">
    <w:name w:val="WW8Num146z0"/>
    <w:qFormat/>
    <w:rPr>
      <w:rFonts w:ascii="Times New Roman" w:hAnsi="Times New Roman" w:eastAsia="Times New Roman" w:cs="Times New Roman"/>
    </w:rPr>
  </w:style>
  <w:style w:type="character" w:styleId="WW8Num146z1">
    <w:name w:val="WW8Num146z1"/>
    <w:qFormat/>
    <w:rPr>
      <w:rFonts w:ascii="Wingdings" w:hAnsi="Wingdings" w:cs="Wingdings"/>
    </w:rPr>
  </w:style>
  <w:style w:type="character" w:styleId="WW8Num146z3">
    <w:name w:val="WW8Num146z3"/>
    <w:qFormat/>
    <w:rPr>
      <w:rFonts w:ascii="Symbol" w:hAnsi="Symbol" w:cs="Symbol"/>
    </w:rPr>
  </w:style>
  <w:style w:type="character" w:styleId="WW8Num146z4">
    <w:name w:val="WW8Num146z4"/>
    <w:qFormat/>
    <w:rPr>
      <w:rFonts w:ascii="Courier New" w:hAnsi="Courier New" w:cs="Courier New"/>
    </w:rPr>
  </w:style>
  <w:style w:type="character" w:styleId="WW8Num147z0">
    <w:name w:val="WW8Num147z0"/>
    <w:qFormat/>
    <w:rPr>
      <w:rFonts w:ascii="Symbol" w:hAnsi="Symbol" w:cs="Symbol"/>
      <w:color w:val="000000"/>
    </w:rPr>
  </w:style>
  <w:style w:type="character" w:styleId="WW8Num147z1">
    <w:name w:val="WW8Num147z1"/>
    <w:qFormat/>
    <w:rPr>
      <w:rFonts w:ascii="Courier New" w:hAnsi="Courier New" w:cs="Courier New"/>
    </w:rPr>
  </w:style>
  <w:style w:type="character" w:styleId="WW8Num147z2">
    <w:name w:val="WW8Num147z2"/>
    <w:qFormat/>
    <w:rPr>
      <w:rFonts w:ascii="Wingdings" w:hAnsi="Wingdings" w:cs="Wingdings"/>
    </w:rPr>
  </w:style>
  <w:style w:type="character" w:styleId="WW8Num147z3">
    <w:name w:val="WW8Num147z3"/>
    <w:qFormat/>
    <w:rPr>
      <w:rFonts w:ascii="Symbol" w:hAnsi="Symbol" w:cs="Symbol"/>
    </w:rPr>
  </w:style>
  <w:style w:type="character" w:styleId="WW8Num148z0">
    <w:name w:val="WW8Num148z0"/>
    <w:qFormat/>
    <w:rPr/>
  </w:style>
  <w:style w:type="character" w:styleId="WW8Num149z0">
    <w:name w:val="WW8Num149z0"/>
    <w:qFormat/>
    <w:rPr/>
  </w:style>
  <w:style w:type="character" w:styleId="WW8Num150z0">
    <w:name w:val="WW8Num150z0"/>
    <w:qFormat/>
    <w:rPr/>
  </w:style>
  <w:style w:type="character" w:styleId="WW8Num151z0">
    <w:name w:val="WW8Num151z0"/>
    <w:qFormat/>
    <w:rPr>
      <w:rFonts w:ascii="Symbol" w:hAnsi="Symbol" w:cs="Symbol"/>
    </w:rPr>
  </w:style>
  <w:style w:type="character" w:styleId="WW8Num151z1">
    <w:name w:val="WW8Num151z1"/>
    <w:qFormat/>
    <w:rPr>
      <w:rFonts w:ascii="Times New Roman" w:hAnsi="Times New Roman" w:eastAsia="Times New Roman" w:cs="Times New Roman"/>
    </w:rPr>
  </w:style>
  <w:style w:type="character" w:styleId="WW8Num151z2">
    <w:name w:val="WW8Num151z2"/>
    <w:qFormat/>
    <w:rPr>
      <w:rFonts w:ascii="Wingdings" w:hAnsi="Wingdings" w:cs="Wingdings"/>
    </w:rPr>
  </w:style>
  <w:style w:type="character" w:styleId="WW8Num151z4">
    <w:name w:val="WW8Num151z4"/>
    <w:qFormat/>
    <w:rPr>
      <w:rFonts w:ascii="Courier New" w:hAnsi="Courier New" w:cs="Courier New"/>
    </w:rPr>
  </w:style>
  <w:style w:type="character" w:styleId="WW8Num152z0">
    <w:name w:val="WW8Num152z0"/>
    <w:qFormat/>
    <w:rPr>
      <w:rFonts w:ascii="Symbol" w:hAnsi="Symbol" w:cs="Symbol"/>
    </w:rPr>
  </w:style>
  <w:style w:type="character" w:styleId="WW8Num152z1">
    <w:name w:val="WW8Num152z1"/>
    <w:qFormat/>
    <w:rPr>
      <w:rFonts w:ascii="Courier New" w:hAnsi="Courier New" w:cs="Courier New"/>
    </w:rPr>
  </w:style>
  <w:style w:type="character" w:styleId="WW8Num152z2">
    <w:name w:val="WW8Num152z2"/>
    <w:qFormat/>
    <w:rPr>
      <w:rFonts w:ascii="Wingdings" w:hAnsi="Wingdings" w:cs="Wingdings"/>
    </w:rPr>
  </w:style>
  <w:style w:type="character" w:styleId="WW8Num153z0">
    <w:name w:val="WW8Num153z0"/>
    <w:qFormat/>
    <w:rPr/>
  </w:style>
  <w:style w:type="character" w:styleId="WW8Num154z0">
    <w:name w:val="WW8Num154z0"/>
    <w:qFormat/>
    <w:rPr>
      <w:rFonts w:ascii="Symbol" w:hAnsi="Symbol" w:eastAsia="Times New Roman" w:cs="Times New Roman"/>
    </w:rPr>
  </w:style>
  <w:style w:type="character" w:styleId="WW8Num154z1">
    <w:name w:val="WW8Num154z1"/>
    <w:qFormat/>
    <w:rPr>
      <w:rFonts w:ascii="Wingdings" w:hAnsi="Wingdings" w:eastAsia="Times New Roman" w:cs="Times New Roman"/>
    </w:rPr>
  </w:style>
  <w:style w:type="character" w:styleId="WW8Num154z3">
    <w:name w:val="WW8Num154z3"/>
    <w:qFormat/>
    <w:rPr>
      <w:rFonts w:ascii="Arial Narrow" w:hAnsi="Arial Narrow" w:eastAsia="Times New Roman" w:cs="Times New Roman"/>
      <w:b/>
      <w:i/>
    </w:rPr>
  </w:style>
  <w:style w:type="character" w:styleId="WW8Num154z4">
    <w:name w:val="WW8Num154z4"/>
    <w:qFormat/>
    <w:rPr>
      <w:rFonts w:ascii="Courier New" w:hAnsi="Courier New" w:cs="Courier New"/>
    </w:rPr>
  </w:style>
  <w:style w:type="character" w:styleId="WW8Num154z5">
    <w:name w:val="WW8Num154z5"/>
    <w:qFormat/>
    <w:rPr>
      <w:rFonts w:ascii="Wingdings" w:hAnsi="Wingdings" w:cs="Wingdings"/>
    </w:rPr>
  </w:style>
  <w:style w:type="character" w:styleId="WW8Num154z6">
    <w:name w:val="WW8Num154z6"/>
    <w:qFormat/>
    <w:rPr>
      <w:rFonts w:ascii="Symbol" w:hAnsi="Symbol" w:cs="Symbol"/>
    </w:rPr>
  </w:style>
  <w:style w:type="character" w:styleId="WW8Num155z1">
    <w:name w:val="WW8Num155z1"/>
    <w:qFormat/>
    <w:rPr>
      <w:rFonts w:ascii="Wingdings" w:hAnsi="Wingdings" w:eastAsia="Times New Roman" w:cs="Times New Roman"/>
    </w:rPr>
  </w:style>
  <w:style w:type="character" w:styleId="WW8Num155z3">
    <w:name w:val="WW8Num155z3"/>
    <w:qFormat/>
    <w:rPr/>
  </w:style>
  <w:style w:type="character" w:styleId="WW8Num156z0">
    <w:name w:val="WW8Num156z0"/>
    <w:qFormat/>
    <w:rPr/>
  </w:style>
  <w:style w:type="character" w:styleId="WW8Num157z0">
    <w:name w:val="WW8Num157z0"/>
    <w:qFormat/>
    <w:rPr>
      <w:rFonts w:ascii="Wingdings" w:hAnsi="Wingdings" w:eastAsia="Times New Roman" w:cs="Times New Roman"/>
    </w:rPr>
  </w:style>
  <w:style w:type="character" w:styleId="WW8Num157z2">
    <w:name w:val="WW8Num157z2"/>
    <w:qFormat/>
    <w:rPr>
      <w:rFonts w:ascii="Wingdings" w:hAnsi="Wingdings" w:cs="Wingdings"/>
    </w:rPr>
  </w:style>
  <w:style w:type="character" w:styleId="WW8Num157z3">
    <w:name w:val="WW8Num157z3"/>
    <w:qFormat/>
    <w:rPr>
      <w:rFonts w:ascii="Symbol" w:hAnsi="Symbol" w:cs="Symbol"/>
    </w:rPr>
  </w:style>
  <w:style w:type="character" w:styleId="WW8Num157z4">
    <w:name w:val="WW8Num157z4"/>
    <w:qFormat/>
    <w:rPr>
      <w:rFonts w:ascii="Courier New" w:hAnsi="Courier New" w:cs="Courier New"/>
    </w:rPr>
  </w:style>
  <w:style w:type="character" w:styleId="WW8Num158z0">
    <w:name w:val="WW8Num158z0"/>
    <w:qFormat/>
    <w:rPr>
      <w:rFonts w:ascii="Times New Roman" w:hAnsi="Times New Roman" w:eastAsia="Times New Roman" w:cs="Times New Roman"/>
    </w:rPr>
  </w:style>
  <w:style w:type="character" w:styleId="WW8Num158z1">
    <w:name w:val="WW8Num158z1"/>
    <w:qFormat/>
    <w:rPr>
      <w:rFonts w:ascii="Wingdings" w:hAnsi="Wingdings" w:eastAsia="Times New Roman" w:cs="Times New Roman"/>
    </w:rPr>
  </w:style>
  <w:style w:type="character" w:styleId="WW8Num158z2">
    <w:name w:val="WW8Num158z2"/>
    <w:qFormat/>
    <w:rPr>
      <w:rFonts w:ascii="Wingdings" w:hAnsi="Wingdings" w:cs="Wingdings"/>
    </w:rPr>
  </w:style>
  <w:style w:type="character" w:styleId="WW8Num158z3">
    <w:name w:val="WW8Num158z3"/>
    <w:qFormat/>
    <w:rPr>
      <w:rFonts w:ascii="Symbol" w:hAnsi="Symbol" w:cs="Symbol"/>
    </w:rPr>
  </w:style>
  <w:style w:type="character" w:styleId="WW8Num158z4">
    <w:name w:val="WW8Num158z4"/>
    <w:qFormat/>
    <w:rPr>
      <w:rFonts w:ascii="Courier New" w:hAnsi="Courier New" w:cs="Courier New"/>
    </w:rPr>
  </w:style>
  <w:style w:type="character" w:styleId="WW8Num159z0">
    <w:name w:val="WW8Num159z0"/>
    <w:qFormat/>
    <w:rPr>
      <w:rFonts w:ascii="Wingdings" w:hAnsi="Wingdings" w:eastAsia="Times New Roman" w:cs="Times New Roman"/>
    </w:rPr>
  </w:style>
  <w:style w:type="character" w:styleId="WW8Num159z1">
    <w:name w:val="WW8Num159z1"/>
    <w:qFormat/>
    <w:rPr>
      <w:rFonts w:ascii="Courier New" w:hAnsi="Courier New" w:cs="Courier New"/>
    </w:rPr>
  </w:style>
  <w:style w:type="character" w:styleId="WW8Num159z2">
    <w:name w:val="WW8Num159z2"/>
    <w:qFormat/>
    <w:rPr>
      <w:rFonts w:ascii="Wingdings" w:hAnsi="Wingdings" w:cs="Wingdings"/>
    </w:rPr>
  </w:style>
  <w:style w:type="character" w:styleId="WW8Num159z3">
    <w:name w:val="WW8Num159z3"/>
    <w:qFormat/>
    <w:rPr>
      <w:rFonts w:ascii="Symbol" w:hAnsi="Symbol" w:cs="Symbol"/>
    </w:rPr>
  </w:style>
  <w:style w:type="character" w:styleId="WW8Num160z0">
    <w:name w:val="WW8Num160z0"/>
    <w:qFormat/>
    <w:rPr>
      <w:rFonts w:ascii="Wingdings" w:hAnsi="Wingdings" w:eastAsia="Times New Roman" w:cs="Times New Roman"/>
    </w:rPr>
  </w:style>
  <w:style w:type="character" w:styleId="WW8Num160z1">
    <w:name w:val="WW8Num160z1"/>
    <w:qFormat/>
    <w:rPr>
      <w:rFonts w:ascii="Courier New" w:hAnsi="Courier New" w:cs="Courier New"/>
    </w:rPr>
  </w:style>
  <w:style w:type="character" w:styleId="WW8Num160z2">
    <w:name w:val="WW8Num160z2"/>
    <w:qFormat/>
    <w:rPr>
      <w:rFonts w:ascii="Wingdings" w:hAnsi="Wingdings" w:cs="Wingdings"/>
    </w:rPr>
  </w:style>
  <w:style w:type="character" w:styleId="WW8Num160z3">
    <w:name w:val="WW8Num160z3"/>
    <w:qFormat/>
    <w:rPr>
      <w:rFonts w:ascii="Symbol" w:hAnsi="Symbol" w:cs="Symbol"/>
    </w:rPr>
  </w:style>
  <w:style w:type="character" w:styleId="WW8Num161z0">
    <w:name w:val="WW8Num161z0"/>
    <w:qFormat/>
    <w:rPr>
      <w:rFonts w:ascii="Wingdings" w:hAnsi="Wingdings" w:eastAsia="Times New Roman" w:cs="Times New Roman"/>
    </w:rPr>
  </w:style>
  <w:style w:type="character" w:styleId="WW8Num161z1">
    <w:name w:val="WW8Num161z1"/>
    <w:qFormat/>
    <w:rPr>
      <w:rFonts w:ascii="Courier New" w:hAnsi="Courier New" w:cs="Courier New"/>
    </w:rPr>
  </w:style>
  <w:style w:type="character" w:styleId="WW8Num161z2">
    <w:name w:val="WW8Num161z2"/>
    <w:qFormat/>
    <w:rPr>
      <w:rFonts w:ascii="Wingdings" w:hAnsi="Wingdings" w:cs="Wingdings"/>
    </w:rPr>
  </w:style>
  <w:style w:type="character" w:styleId="WW8Num161z3">
    <w:name w:val="WW8Num161z3"/>
    <w:qFormat/>
    <w:rPr>
      <w:rFonts w:ascii="Symbol" w:hAnsi="Symbol" w:cs="Symbol"/>
    </w:rPr>
  </w:style>
  <w:style w:type="character" w:styleId="WW8Num162z0">
    <w:name w:val="WW8Num162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i/>
      <w:iCs/>
    </w:rPr>
  </w:style>
  <w:style w:type="paragraph" w:styleId="List">
    <w:name w:val="List"/>
    <w:basedOn w:val="BodyText"/>
    <w:pPr/>
    <w:rPr>
      <w:rFonts w:cs="NotoSans NF"/>
    </w:rPr>
  </w:style>
  <w:style w:type="paragraph" w:styleId="Caption">
    <w:name w:val="caption"/>
    <w:basedOn w:val="Normal"/>
    <w:next w:val="Normal"/>
    <w:qFormat/>
    <w:pPr>
      <w:tabs>
        <w:tab w:val="clear" w:pos="720"/>
        <w:tab w:val="left" w:pos="0" w:leader="none"/>
      </w:tabs>
      <w:jc w:val="end"/>
    </w:pPr>
    <w:rPr>
      <w:b/>
      <w:i/>
      <w:sz w:val="16"/>
    </w:rPr>
  </w:style>
  <w:style w:type="paragraph" w:styleId="Index">
    <w:name w:val="Index"/>
    <w:basedOn w:val="Normal"/>
    <w:qFormat/>
    <w:pPr>
      <w:suppressLineNumbers/>
    </w:pPr>
    <w:rPr>
      <w:rFonts w:cs="NotoSans NF"/>
    </w:rPr>
  </w:style>
  <w:style w:type="paragraph" w:styleId="BodyText2">
    <w:name w:val="Body Text 2"/>
    <w:basedOn w:val="Normal"/>
    <w:qFormat/>
    <w:pPr>
      <w:shd w:fill="E0E0E0" w:val="clear"/>
    </w:pPr>
    <w:rPr>
      <w:b/>
      <w:bCs/>
      <w:sz w:val="28"/>
    </w:rPr>
  </w:style>
  <w:style w:type="paragraph" w:styleId="BodyTextIndent">
    <w:name w:val="Body Text Indent"/>
    <w:basedOn w:val="Normal"/>
    <w:pPr>
      <w:ind w:hanging="0" w:start="18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rPr>
      <w:i/>
      <w:iCs/>
      <w:color w:val="0000FF"/>
    </w:rPr>
  </w:style>
  <w:style w:type="paragraph" w:styleId="BodyTextIndent2">
    <w:name w:val="Body Text Indent 2"/>
    <w:basedOn w:val="Normal"/>
    <w:qFormat/>
    <w:pPr>
      <w:ind w:hanging="0" w:start="360" w:end="0"/>
    </w:pPr>
    <w:rPr/>
  </w:style>
  <w:style w:type="paragraph" w:styleId="BodyTextIndent3">
    <w:name w:val="Body Text Indent 3"/>
    <w:basedOn w:val="Normal"/>
    <w:qFormat/>
    <w:pPr>
      <w:ind w:firstLine="18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Schneider@rsvl.net" TargetMode="External"/><Relationship Id="rId4" Type="http://schemas.openxmlformats.org/officeDocument/2006/relationships/image" Target="media/image2.png"/><Relationship Id="rId5" Type="http://schemas.openxmlformats.org/officeDocument/2006/relationships/image" Target="media/image2.png"/><Relationship Id="rId6" Type="http://schemas.openxmlformats.org/officeDocument/2006/relationships/hyperlink" Target="http://www.caiso.com/pubinfo/BOG/documents/market/msc/" TargetMode="External"/><Relationship Id="rId7" Type="http://schemas.openxmlformats.org/officeDocument/2006/relationships/hyperlink" Target="http://www.governor.ca.gov/state/govsite/gov_htmldisplay.jsp?BV_SessionID=@@@@1324527106.0981417796@@@@&amp;BV_EngineID=dalkddfjmgdbemfcfkmchcng.0&amp;sCatTitle=Press+Release&amp;sFilePath=/govsite/press_release/2001_02/20010201_L01004_AB1X.html&amp;sTitle=GOVERNOR+DAVIS+SIGNS+BILL+TO+ALLOW+LONG-TERM+ENERGY+CONTRACTS+AND+ENCOURAGE+CONSERVATION+&amp;iOID=13230" TargetMode="External"/><Relationship Id="rId8" Type="http://schemas.openxmlformats.org/officeDocument/2006/relationships/hyperlink" Target="http://www.leginfo.ca.gov/pub/bill/asm/ab_0001-0050/abx1_1_bill_20010201_chaptered.pdf" TargetMode="External"/><Relationship Id="rId9" Type="http://schemas.openxmlformats.org/officeDocument/2006/relationships/hyperlink" Target="http://www.caiso.com/docs/2001/01/19/2001011917092328168.pdf" TargetMode="External"/><Relationship Id="rId10" Type="http://schemas.openxmlformats.org/officeDocument/2006/relationships/hyperlink" Target="http://www.caiso.com/docs/09003a6080/0b/1e/09003a60800b1e85.pdf" TargetMode="External"/><Relationship Id="rId11" Type="http://schemas.openxmlformats.org/officeDocument/2006/relationships/footer" Target="footer1.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2001-02-06T17:49:00Z</dcterms:created>
  <dc:creator>Susan R. Schneider</dc:creator>
  <dc:description/>
  <dc:language>en-CA</dc:language>
  <cp:lastModifiedBy>Susan R. Schneider</cp:lastModifiedBy>
  <cp:lastPrinted>2000-01-16T20:40:00Z</cp:lastPrinted>
  <dcterms:modified xsi:type="dcterms:W3CDTF">2001-02-24T16:07:00Z</dcterms:modified>
  <cp:revision>6</cp:revision>
  <dc:subject/>
  <dc:title>KNOW THE ISO EVENT REPORT</dc:title>
</cp:coreProperties>
</file>