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OGE Energy Resources, Inc., an Oklahoma corporation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the Collateral Annex or elsewhere in the ENA/Counterparty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of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are hereby adopted and approved, with the following amendments:</w:t>
      </w:r>
    </w:p>
    <w:p>
      <w:pPr>
        <w:pStyle w:val="Normal"/>
        <w:jc w:val="both"/>
        <w:rPr/>
      </w:pPr>
      <w:r>
        <w:rPr/>
      </w:r>
    </w:p>
    <w:p>
      <w:pPr>
        <w:pStyle w:val="Normal"/>
        <w:ind w:firstLine="720" w:end="0"/>
        <w:jc w:val="both"/>
        <w:rPr/>
      </w:pPr>
      <w:r>
        <w:rPr/>
        <w:t>1.</w:t>
        <w:tab/>
        <w:t>All references to ECT are hereby deleted, and ERMT shall replace those references.</w:t>
      </w:r>
    </w:p>
    <w:p>
      <w:pPr>
        <w:pStyle w:val="Normal"/>
        <w:ind w:firstLine="720" w:end="0"/>
        <w:jc w:val="both"/>
        <w:rPr/>
      </w:pPr>
      <w:r>
        <w:rPr/>
      </w:r>
    </w:p>
    <w:p>
      <w:pPr>
        <w:pStyle w:val="Normal"/>
        <w:ind w:firstLine="720" w:end="0"/>
        <w:jc w:val="both"/>
        <w:rPr/>
      </w:pPr>
      <w:r>
        <w:rPr/>
        <w:t>2.</w:t>
        <w:tab/>
        <w:t xml:space="preserve">References to “affiliate” set forth in the ENA/Counterparty Master Agreement are hereby amended in relation to ERMT to include only the wholly owned subsidiaries of ERMT, and in relation to Counterparty, includes any other person, directly or indirectly, through one or more intermediaries, that controls, is controlled by or is under common control with Counterparty. </w:t>
      </w:r>
    </w:p>
    <w:p>
      <w:pPr>
        <w:pStyle w:val="BodyTextIndent2"/>
        <w:ind w:start="0" w:end="0"/>
        <w:rPr/>
      </w:pPr>
      <w:r>
        <w:rPr/>
      </w:r>
    </w:p>
    <w:p>
      <w:pPr>
        <w:pStyle w:val="Normal"/>
        <w:jc w:val="both"/>
        <w:rPr/>
      </w:pPr>
      <w:r>
        <w:rPr/>
        <w:tab/>
        <w:t>3.</w:t>
        <w:tab/>
        <w:t>All references to the Guaranty of Enron Corp., if any, are hereby deleted.</w:t>
      </w:r>
    </w:p>
    <w:p>
      <w:pPr>
        <w:pStyle w:val="Normal"/>
        <w:jc w:val="both"/>
        <w:rPr/>
      </w:pPr>
      <w:r>
        <w:rPr/>
      </w:r>
    </w:p>
    <w:p>
      <w:pPr>
        <w:pStyle w:val="Normal"/>
        <w:jc w:val="both"/>
        <w:rPr/>
      </w:pPr>
      <w:r>
        <w:rPr/>
        <w:tab/>
        <w:t>4.</w:t>
        <w:tab/>
        <w:t>Section 10.1 shall be deleted and replaced with the following:</w:t>
      </w:r>
    </w:p>
    <w:p>
      <w:pPr>
        <w:pStyle w:val="Normal"/>
        <w:jc w:val="both"/>
        <w:rPr/>
      </w:pPr>
      <w:r>
        <w:rPr/>
      </w:r>
    </w:p>
    <w:p>
      <w:pPr>
        <w:pStyle w:val="Normal"/>
        <w:tabs>
          <w:tab w:val="clear" w:pos="720"/>
          <w:tab w:val="left" w:pos="360" w:leader="none"/>
        </w:tabs>
        <w:spacing w:before="0" w:after="120"/>
        <w:ind w:start="720" w:end="720"/>
        <w:jc w:val="both"/>
        <w:rPr>
          <w:sz w:val="20"/>
        </w:rPr>
      </w:pPr>
      <w:r>
        <w:rPr>
          <w:sz w:val="20"/>
        </w:rPr>
        <w:t xml:space="preserve"> “</w:t>
      </w:r>
      <w:r>
        <w:rPr>
          <w:sz w:val="20"/>
        </w:rPr>
        <w:t>In the event either party shall (i) make an assignment or any general arrangement for the benefit of creditors; (ii) file a petition or otherwise commence, authorize, or acquiesce in the commencement of a proceeding or cause any bankruptcy or similar law for the protection of creditors or have such petition filed or proceeding commenced against it; (iii) otherwise become bankrupt or insolvent (however evidenced); or (iv) be unable to pay its debts as they fall due, then the other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the defaulting party and (iii) suspend performance.  The non-defaulting party shall calculate its damages in respect of each Terminated Transaction and net name against each other; the resulting net amount (the “Terminating Payment”) being due and payable to the appropriate party.”</w:t>
      </w:r>
    </w:p>
    <w:p>
      <w:pPr>
        <w:pStyle w:val="Normal"/>
        <w:jc w:val="both"/>
        <w:rPr/>
      </w:pPr>
      <w:r>
        <w:rPr/>
        <w:tab/>
        <w:t>5.</w:t>
        <w:tab/>
        <w:t>Section 10.2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 xml:space="preserve">10.2  </w:t>
      </w:r>
      <w:r>
        <w:rPr>
          <w:bCs/>
          <w:sz w:val="20"/>
          <w:u w:val="single"/>
        </w:rPr>
        <w:t>Closeout Setoffs</w:t>
      </w:r>
      <w:r>
        <w:rPr>
          <w:bCs/>
          <w:sz w:val="20"/>
        </w:rPr>
        <w:t>:</w:t>
      </w:r>
    </w:p>
    <w:p>
      <w:pPr>
        <w:pStyle w:val="Normal"/>
        <w:tabs>
          <w:tab w:val="clear" w:pos="720"/>
          <w:tab w:val="left" w:pos="360" w:leader="none"/>
        </w:tabs>
        <w:spacing w:before="0" w:after="120"/>
        <w:ind w:start="720" w:end="720"/>
        <w:jc w:val="both"/>
        <w:rPr>
          <w:sz w:val="20"/>
        </w:rPr>
      </w:pPr>
      <w:r>
        <w:rPr>
          <w:sz w:val="20"/>
        </w:rPr>
        <w:t>“</w:t>
      </w:r>
      <w:r>
        <w:rPr>
          <w:sz w:val="20"/>
        </w:rPr>
        <w:t xml:space="preserve">After calculation of a Termination Payment, the non-defaulting Party (“NDP”) may (at its option and in its discretion) set off, against any amounts owed to the defaulting party (“DP”) by NDP under this Agreement or by NDP or any of its Affiliates under any other agreement(s), instrument(s) or undertaking(s), any amounts (i) owed by DP to NDP under this Agreement or (ii) any amounts owed by DP to NDP or any of its Affiliates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w:t>
      </w:r>
    </w:p>
    <w:p>
      <w:pPr>
        <w:pStyle w:val="Normal"/>
        <w:tabs>
          <w:tab w:val="clear" w:pos="720"/>
          <w:tab w:val="left" w:pos="360" w:leader="none"/>
        </w:tabs>
        <w:spacing w:before="0" w:after="120"/>
        <w:ind w:start="720" w:end="720"/>
        <w:jc w:val="both"/>
        <w:rPr/>
      </w:pPr>
      <w:r>
        <w:rPr>
          <w:sz w:val="20"/>
        </w:rPr>
        <w:t xml:space="preserve">Amounts subject to the setoff permitted in this Section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10.1,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10.1.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10.2 are an integral part of the agreement between the Parties and that without such rights the Parties would not be willing to enter into transactions.”</w:t>
      </w:r>
    </w:p>
    <w:p>
      <w:pPr>
        <w:pStyle w:val="Normal"/>
        <w:jc w:val="both"/>
        <w:rPr/>
      </w:pPr>
      <w:r>
        <w:rPr/>
      </w:r>
    </w:p>
    <w:p>
      <w:pPr>
        <w:pStyle w:val="Normal"/>
        <w:jc w:val="both"/>
        <w:rPr/>
      </w:pPr>
      <w:r>
        <w:rPr/>
        <w:tab/>
        <w:t>6.</w:t>
        <w:tab/>
        <w:t>The following shall be added as Section 13.10 of the ENA/Counterparty Master Agreement:</w:t>
      </w:r>
    </w:p>
    <w:p>
      <w:pPr>
        <w:pStyle w:val="Normal"/>
        <w:jc w:val="both"/>
        <w:rPr/>
      </w:pPr>
      <w:r>
        <w:rPr/>
      </w:r>
    </w:p>
    <w:p>
      <w:pPr>
        <w:pStyle w:val="Normal"/>
        <w:spacing w:before="0" w:after="120"/>
        <w:ind w:start="720" w:end="720"/>
        <w:jc w:val="both"/>
        <w:rPr>
          <w:sz w:val="20"/>
        </w:rPr>
      </w:pPr>
      <w:r>
        <w:rPr>
          <w:bCs/>
          <w:sz w:val="20"/>
        </w:rPr>
        <w:t>Each party warrants that:</w:t>
      </w:r>
    </w:p>
    <w:p>
      <w:pPr>
        <w:pStyle w:val="Normal"/>
        <w:tabs>
          <w:tab w:val="clear" w:pos="720"/>
          <w:tab w:val="left" w:pos="360" w:leader="none"/>
        </w:tabs>
        <w:spacing w:before="0" w:after="120"/>
        <w:ind w:start="720" w:end="720"/>
        <w:jc w:val="both"/>
        <w:rPr>
          <w:sz w:val="20"/>
        </w:rPr>
      </w:pPr>
      <w:r>
        <w:rPr>
          <w:sz w:val="20"/>
        </w:rPr>
        <w:t xml:space="preserve">"(i) there is not pending or, to its knowledge, threatened against it any legal proceedings that could materially adversely affect its ability to perform its obligations under this Master Agreement and each Transaction (including any Confirmation accepted in accordance with Section 2.4); and </w:t>
      </w:r>
    </w:p>
    <w:p>
      <w:pPr>
        <w:pStyle w:val="Normal"/>
        <w:tabs>
          <w:tab w:val="clear" w:pos="720"/>
          <w:tab w:val="left" w:pos="360" w:leader="none"/>
        </w:tabs>
        <w:spacing w:before="0" w:after="120"/>
        <w:ind w:start="720" w:end="720"/>
        <w:jc w:val="both"/>
        <w:rPr>
          <w:sz w:val="20"/>
        </w:rPr>
      </w:pPr>
      <w:r>
        <w:rPr>
          <w:sz w:val="20"/>
        </w:rPr>
        <w:t>(ii)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/mnt/main-storage/datasets/enron-docs/doc/ERMT___OGE_Energy.doc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color w:val="auto"/>
      <w:sz w:val="24"/>
      <w:u w:val="none"/>
    </w:rPr>
  </w:style>
  <w:style w:type="character" w:styleId="WW8Num6z2">
    <w:name w:val="WW8Num6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2001-11-05T14:18:00Z</dcterms:created>
  <dc:creator>tjones</dc:creator>
  <dc:description/>
  <cp:keywords>NYC 362726.8 24571 00313 12/28/2000  4:27 PM</cp:keywords>
  <dc:language>en-CA</dc:language>
  <cp:lastModifiedBy>jrozycki</cp:lastModifiedBy>
  <cp:lastPrinted>2001-11-05T13:00:00Z</cp:lastPrinted>
  <dcterms:modified xsi:type="dcterms:W3CDTF">2001-11-05T16:31:00Z</dcterms:modified>
  <cp:revision>4</cp:revision>
  <dc:subject/>
  <dc:title>ASSIGNMENT AGREEMENT</dc:title>
</cp:coreProperties>
</file>