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rPr>
      </w:pPr>
      <w:r>
        <w:rPr>
          <w:b/>
        </w:rPr>
      </w:r>
    </w:p>
    <w:p>
      <w:pPr>
        <w:pStyle w:val="Heading2"/>
        <w:ind w:hanging="0" w:start="0"/>
        <w:rPr>
          <w:b/>
          <w:sz w:val="28"/>
        </w:rPr>
      </w:pPr>
      <w:r>
        <w:rPr>
          <w:b/>
          <w:sz w:val="28"/>
        </w:rPr>
      </w:r>
    </w:p>
    <w:p>
      <w:pPr>
        <w:pStyle w:val="Heading4"/>
        <w:ind w:hanging="0" w:start="0"/>
        <w:rPr>
          <w:sz w:val="40"/>
          <w:ins w:id="0" w:author="Preferred Customer" w:date="1999-06-04T16:39:00Z"/>
        </w:rPr>
      </w:pPr>
      <w:r>
        <w:rPr>
          <w:sz w:val="40"/>
        </w:rPr>
        <w:t xml:space="preserve">ERCOT </w:t>
      </w:r>
    </w:p>
    <w:p>
      <w:pPr>
        <w:pStyle w:val="Heading4"/>
        <w:ind w:hanging="0" w:start="0"/>
        <w:rPr>
          <w:sz w:val="40"/>
          <w:ins w:id="1" w:author="Preferred Customer" w:date="1999-06-04T16:39:00Z"/>
        </w:rPr>
      </w:pPr>
      <w:r>
        <w:rPr>
          <w:sz w:val="40"/>
        </w:rPr>
        <w:t>WHOLESALE ELECTRICITY</w:t>
      </w:r>
    </w:p>
    <w:p>
      <w:pPr>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pStyle w:val="Heading4"/>
        <w:ind w:hanging="0" w:start="0"/>
        <w:rPr>
          <w:sz w:val="40"/>
        </w:rPr>
      </w:pPr>
      <w:r>
        <w:rPr>
          <w:sz w:val="40"/>
        </w:rPr>
        <w:t xml:space="preserve"> </w:t>
      </w:r>
      <w:r>
        <w:rPr>
          <w:sz w:val="40"/>
        </w:rPr>
        <w:t>ENABLING AGREEMENT</w:t>
      </w:r>
    </w:p>
    <w:p>
      <w:pPr>
        <w:pStyle w:val="Heading1"/>
        <w:ind w:hanging="0" w:start="0"/>
        <w:jc w:val="center"/>
        <w:rPr/>
      </w:pPr>
      <w:bookmarkStart w:id="0" w:name="__RefHeading___Toc453144101"/>
      <w:bookmarkEnd w:id="0"/>
      <w:r>
        <w:rPr/>
        <w:t>TABLE OF CONTENTS</w:t>
      </w:r>
    </w:p>
    <w:p>
      <w:pPr>
        <w:pStyle w:val="Normal"/>
        <w:rPr/>
      </w:pPr>
      <w:r>
        <w:rPr/>
      </w:r>
    </w:p>
    <w:sdt>
      <w:sdtPr>
        <w:docPartObj>
          <w:docPartGallery w:val="Table of Contents"/>
          <w:docPartUnique w:val="true"/>
        </w:docPartObj>
      </w:sdtPr>
      <w:sdtContent>
        <w:p>
          <w:pPr>
            <w:pStyle w:val="TOC1"/>
            <w:rPr>
              <w:ins w:id="5" w:author="Preferred Customer" w:date="1999-06-04T15:24:00Z"/>
            </w:rPr>
          </w:pPr>
          <w:ins w:id="2" w:author="Preferred Customer" w:date="1999-06-04T15:24:00Z">
            <w:r>
              <w:fldChar w:fldCharType="begin"/>
            </w:r>
            <w:r>
              <w:rPr/>
              <w:instrText xml:space="preserve"> TOC \o "1-3" \t "Major Heading,1,Subheading 1,2,Subheading 2,3" </w:instrText>
            </w:r>
          </w:ins>
          <w:r>
            <w:rPr/>
            <w:fldChar w:fldCharType="separate"/>
          </w:r>
          <w:ins w:id="3" w:author="Preferred Customer" w:date="1999-06-04T15:24:00Z">
            <w:r>
              <w:rPr/>
              <w:t>TABLE OF CONTENTS………………………………………………………………..…………….……….</w:t>
            </w:r>
          </w:ins>
          <w:hyperlink w:anchor="__RefHeading___Toc453144101">
            <w:ins w:id="4" w:author="Preferred Customer" w:date="1999-06-04T16:45:00Z">
              <w:r>
                <w:rPr>
                  <w:rStyle w:val="IndexLink"/>
                  <w:lang w:val="en-CA" w:eastAsia="en-CA"/>
                </w:rPr>
                <w:t>i</w:t>
              </w:r>
            </w:ins>
          </w:hyperlink>
        </w:p>
        <w:p>
          <w:pPr>
            <w:pStyle w:val="TOC1"/>
            <w:rPr>
              <w:ins w:id="8" w:author="Preferred Customer" w:date="1999-06-04T15:24:00Z"/>
            </w:rPr>
          </w:pPr>
          <w:ins w:id="6" w:author="Preferred Customer" w:date="1999-06-04T15:24:00Z">
            <w:r>
              <w:rPr/>
              <w:t>ERCOT WHOLESALE ELECTRICITY ENABLING AGREEMENT</w:t>
              <w:tab/>
              <w:t>…………………………………...</w:t>
            </w:r>
          </w:ins>
          <w:hyperlink w:anchor="__RefHeading___Toc453144102">
            <w:ins w:id="7" w:author="Preferred Customer" w:date="1999-06-04T16:45:00Z">
              <w:r>
                <w:rPr>
                  <w:rStyle w:val="IndexLink"/>
                  <w:lang w:val="en-CA" w:eastAsia="en-CA"/>
                </w:rPr>
                <w:t>1</w:t>
              </w:r>
            </w:ins>
          </w:hyperlink>
        </w:p>
        <w:p>
          <w:pPr>
            <w:pStyle w:val="TOC1"/>
            <w:rPr>
              <w:ins w:id="10" w:author="Preferred Customer" w:date="1999-06-04T15:24:00Z"/>
            </w:rPr>
          </w:pPr>
          <w:ins w:id="9" w:author="Preferred Customer" w:date="1999-06-04T15:24:00Z">
            <w:r>
              <w:rPr/>
              <w:t>EXHIBIT A - TERMS AND CONDITIONS OF THE</w:t>
            </w:r>
          </w:ins>
        </w:p>
        <w:p>
          <w:pPr>
            <w:pStyle w:val="TOC1"/>
            <w:rPr>
              <w:ins w:id="14" w:author="Preferred Customer" w:date="1999-06-04T15:24:00Z"/>
            </w:rPr>
          </w:pPr>
          <w:ins w:id="11" w:author="Preferred Customer" w:date="1999-06-04T15:24:00Z">
            <w:r>
              <w:rPr/>
              <w:t>ERCOT WHOLESALE ELECTRICITY ENABLING AGREEMENT</w:t>
              <w:tab/>
              <w:t>………………</w:t>
            </w:r>
          </w:ins>
          <w:ins w:id="12" w:author="Preferred Customer" w:date="1999-06-04T15:26:00Z">
            <w:r>
              <w:rPr/>
              <w:t>…………………...</w:t>
            </w:r>
          </w:ins>
          <w:hyperlink w:anchor="__RefHeading___Toc453144103">
            <w:ins w:id="13" w:author="Preferred Customer" w:date="1999-06-04T16:45:00Z">
              <w:r>
                <w:rPr>
                  <w:rStyle w:val="IndexLink"/>
                  <w:lang w:val="en-CA" w:eastAsia="en-CA"/>
                </w:rPr>
                <w:t>3</w:t>
              </w:r>
            </w:ins>
          </w:hyperlink>
        </w:p>
        <w:p>
          <w:pPr>
            <w:pStyle w:val="TOC2"/>
            <w:rPr>
              <w:ins w:id="17" w:author="Preferred Customer" w:date="1999-06-04T15:24:00Z"/>
            </w:rPr>
          </w:pPr>
          <w:ins w:id="15" w:author="Preferred Customer" w:date="1999-06-04T15:24:00Z">
            <w:r>
              <w:rPr/>
              <w:t>ARTICLE 1 – Recitals</w:t>
              <w:tab/>
            </w:r>
          </w:ins>
          <w:hyperlink w:anchor="__RefHeading___Toc453144104">
            <w:ins w:id="16" w:author="Preferred Customer" w:date="1999-06-04T16:45:00Z">
              <w:r>
                <w:rPr>
                  <w:rStyle w:val="IndexLink"/>
                  <w:lang w:val="en-CA" w:eastAsia="en-CA"/>
                </w:rPr>
                <w:t>3</w:t>
              </w:r>
            </w:ins>
          </w:hyperlink>
        </w:p>
        <w:p>
          <w:pPr>
            <w:pStyle w:val="TOC2"/>
            <w:rPr>
              <w:ins w:id="20" w:author="Preferred Customer" w:date="1999-06-04T15:24:00Z"/>
            </w:rPr>
          </w:pPr>
          <w:ins w:id="18" w:author="Preferred Customer" w:date="1999-06-04T15:24:00Z">
            <w:r>
              <w:rPr/>
              <w:t>ARTICLE 2 – Definitions</w:t>
              <w:tab/>
            </w:r>
          </w:ins>
          <w:hyperlink w:anchor="__RefHeading___Toc453144105">
            <w:ins w:id="19" w:author="Preferred Customer" w:date="1999-06-04T16:45:00Z">
              <w:r>
                <w:rPr>
                  <w:rStyle w:val="IndexLink"/>
                  <w:lang w:val="en-CA" w:eastAsia="en-CA"/>
                </w:rPr>
                <w:t>3</w:t>
              </w:r>
            </w:ins>
          </w:hyperlink>
        </w:p>
        <w:p>
          <w:pPr>
            <w:pStyle w:val="TOC2"/>
            <w:rPr>
              <w:ins w:id="23" w:author="Preferred Customer" w:date="1999-06-04T15:24:00Z"/>
            </w:rPr>
          </w:pPr>
          <w:ins w:id="21" w:author="Preferred Customer" w:date="1999-06-04T15:24:00Z">
            <w:r>
              <w:rPr/>
              <w:t>ARTICLE 3 - Scope of Agreement</w:t>
              <w:tab/>
            </w:r>
          </w:ins>
          <w:hyperlink w:anchor="__RefHeading___Toc453144106">
            <w:ins w:id="22" w:author="Preferred Customer" w:date="1999-06-04T16:45:00Z">
              <w:r>
                <w:rPr>
                  <w:rStyle w:val="IndexLink"/>
                  <w:lang w:val="en-CA" w:eastAsia="en-CA"/>
                </w:rPr>
                <w:t>6</w:t>
              </w:r>
            </w:ins>
          </w:hyperlink>
        </w:p>
        <w:p>
          <w:pPr>
            <w:pStyle w:val="TOC2"/>
            <w:rPr>
              <w:ins w:id="26" w:author="Preferred Customer" w:date="1999-06-04T15:24:00Z"/>
            </w:rPr>
          </w:pPr>
          <w:ins w:id="24" w:author="Preferred Customer" w:date="1999-06-04T15:24:00Z">
            <w:r>
              <w:rPr/>
              <w:t>ARTICLE 4 - Oral Agreement and Confirmation</w:t>
              <w:tab/>
            </w:r>
          </w:ins>
          <w:hyperlink w:anchor="__RefHeading___Toc453144107">
            <w:ins w:id="25" w:author="Preferred Customer" w:date="1999-06-04T16:45:00Z">
              <w:r>
                <w:rPr>
                  <w:rStyle w:val="IndexLink"/>
                  <w:lang w:val="en-CA" w:eastAsia="en-CA"/>
                </w:rPr>
                <w:t>6</w:t>
              </w:r>
            </w:ins>
          </w:hyperlink>
        </w:p>
        <w:p>
          <w:pPr>
            <w:pStyle w:val="TOC2"/>
            <w:rPr>
              <w:ins w:id="29" w:author="Preferred Customer" w:date="1999-06-04T15:24:00Z"/>
            </w:rPr>
          </w:pPr>
          <w:ins w:id="27" w:author="Preferred Customer" w:date="1999-06-04T15:24:00Z">
            <w:r>
              <w:rPr/>
              <w:t>ARTICLE 5 - Remedies for Failure to Deliver or Receive</w:t>
              <w:tab/>
            </w:r>
          </w:ins>
          <w:hyperlink w:anchor="__RefHeading___Toc453144108">
            <w:ins w:id="28" w:author="Preferred Customer" w:date="1999-06-04T16:45:00Z">
              <w:r>
                <w:rPr>
                  <w:rStyle w:val="IndexLink"/>
                  <w:lang w:val="en-CA" w:eastAsia="en-CA"/>
                </w:rPr>
                <w:t>7</w:t>
              </w:r>
            </w:ins>
          </w:hyperlink>
        </w:p>
        <w:p>
          <w:pPr>
            <w:pStyle w:val="TOC2"/>
            <w:rPr>
              <w:ins w:id="32" w:author="Preferred Customer" w:date="1999-06-04T15:24:00Z"/>
            </w:rPr>
          </w:pPr>
          <w:ins w:id="30" w:author="Preferred Customer" w:date="1999-06-04T15:24:00Z">
            <w:r>
              <w:rPr/>
              <w:t>ARTICLE 6 – Taxes</w:t>
              <w:tab/>
            </w:r>
          </w:ins>
          <w:hyperlink w:anchor="__RefHeading___Toc453144109">
            <w:ins w:id="31" w:author="Preferred Customer" w:date="1999-06-04T16:45:00Z">
              <w:r>
                <w:rPr>
                  <w:rStyle w:val="IndexLink"/>
                  <w:lang w:val="en-CA" w:eastAsia="en-CA"/>
                </w:rPr>
                <w:t>9</w:t>
              </w:r>
            </w:ins>
          </w:hyperlink>
        </w:p>
        <w:p>
          <w:pPr>
            <w:pStyle w:val="TOC2"/>
            <w:rPr>
              <w:ins w:id="35" w:author="Preferred Customer" w:date="1999-06-04T15:24:00Z"/>
            </w:rPr>
          </w:pPr>
          <w:ins w:id="33" w:author="Preferred Customer" w:date="1999-06-04T15:24:00Z">
            <w:r>
              <w:rPr/>
              <w:t>ARTICLE 7 - Billing and Payment</w:t>
              <w:tab/>
            </w:r>
          </w:ins>
          <w:hyperlink w:anchor="__RefHeading___Toc453144110">
            <w:ins w:id="34" w:author="Preferred Customer" w:date="1999-06-04T16:45:00Z">
              <w:r>
                <w:rPr>
                  <w:rStyle w:val="IndexLink"/>
                  <w:lang w:val="en-CA" w:eastAsia="en-CA"/>
                </w:rPr>
                <w:t>9</w:t>
              </w:r>
            </w:ins>
          </w:hyperlink>
        </w:p>
        <w:p>
          <w:pPr>
            <w:pStyle w:val="TOC2"/>
            <w:rPr>
              <w:ins w:id="38" w:author="Preferred Customer" w:date="1999-06-04T15:24:00Z"/>
            </w:rPr>
          </w:pPr>
          <w:ins w:id="36" w:author="Preferred Customer" w:date="1999-06-04T15:24:00Z">
            <w:r>
              <w:rPr/>
              <w:t>ARTICLE 8 - Audit Inspection</w:t>
              <w:tab/>
            </w:r>
          </w:ins>
          <w:hyperlink w:anchor="__RefHeading___Toc453144111">
            <w:ins w:id="37" w:author="Preferred Customer" w:date="1999-06-04T16:45:00Z">
              <w:r>
                <w:rPr>
                  <w:rStyle w:val="IndexLink"/>
                  <w:lang w:val="en-CA" w:eastAsia="en-CA"/>
                </w:rPr>
                <w:t>11</w:t>
              </w:r>
            </w:ins>
          </w:hyperlink>
        </w:p>
        <w:p>
          <w:pPr>
            <w:pStyle w:val="TOC2"/>
            <w:rPr>
              <w:ins w:id="41" w:author="Preferred Customer" w:date="1999-06-04T15:24:00Z"/>
            </w:rPr>
          </w:pPr>
          <w:ins w:id="39" w:author="Preferred Customer" w:date="1999-06-04T15:24:00Z">
            <w:r>
              <w:rPr/>
              <w:t>ARTICLE 9 - Financial Responsibility</w:t>
              <w:tab/>
            </w:r>
          </w:ins>
          <w:hyperlink w:anchor="__RefHeading___Toc453144112">
            <w:ins w:id="40" w:author="Preferred Customer" w:date="1999-06-04T16:45:00Z">
              <w:r>
                <w:rPr>
                  <w:rStyle w:val="IndexLink"/>
                  <w:lang w:val="en-CA" w:eastAsia="en-CA"/>
                </w:rPr>
                <w:t>11</w:t>
              </w:r>
            </w:ins>
          </w:hyperlink>
        </w:p>
        <w:p>
          <w:pPr>
            <w:pStyle w:val="TOC2"/>
            <w:rPr>
              <w:ins w:id="44" w:author="Preferred Customer" w:date="1999-06-04T15:24:00Z"/>
            </w:rPr>
          </w:pPr>
          <w:ins w:id="42" w:author="Preferred Customer" w:date="1999-06-04T15:24:00Z">
            <w:r>
              <w:rPr/>
              <w:t>ARTICLE 10- Force Majeure</w:t>
              <w:tab/>
            </w:r>
          </w:ins>
          <w:hyperlink w:anchor="__RefHeading___Toc453144113">
            <w:ins w:id="43" w:author="Preferred Customer" w:date="1999-06-04T16:45:00Z">
              <w:r>
                <w:rPr>
                  <w:rStyle w:val="IndexLink"/>
                  <w:lang w:val="en-CA" w:eastAsia="en-CA"/>
                </w:rPr>
                <w:t>12</w:t>
              </w:r>
            </w:ins>
          </w:hyperlink>
        </w:p>
        <w:p>
          <w:pPr>
            <w:pStyle w:val="TOC2"/>
            <w:rPr>
              <w:ins w:id="47" w:author="Preferred Customer" w:date="1999-06-04T15:24:00Z"/>
            </w:rPr>
          </w:pPr>
          <w:ins w:id="45" w:author="Preferred Customer" w:date="1999-06-04T15:24:00Z">
            <w:r>
              <w:rPr/>
              <w:t>ARTICLE 11 – Term</w:t>
              <w:tab/>
            </w:r>
          </w:ins>
          <w:hyperlink w:anchor="__RefHeading___Toc453144114">
            <w:ins w:id="46" w:author="Preferred Customer" w:date="1999-06-04T16:45:00Z">
              <w:r>
                <w:rPr>
                  <w:rStyle w:val="IndexLink"/>
                  <w:lang w:val="en-CA" w:eastAsia="en-CA"/>
                </w:rPr>
                <w:t>12</w:t>
              </w:r>
            </w:ins>
          </w:hyperlink>
        </w:p>
        <w:p>
          <w:pPr>
            <w:pStyle w:val="TOC2"/>
            <w:rPr>
              <w:ins w:id="50" w:author="Preferred Customer" w:date="1999-06-04T15:24:00Z"/>
            </w:rPr>
          </w:pPr>
          <w:ins w:id="48" w:author="Preferred Customer" w:date="1999-06-04T15:24:00Z">
            <w:r>
              <w:rPr/>
              <w:t>ARTICLE 12 - Title</w:t>
              <w:tab/>
            </w:r>
          </w:ins>
          <w:hyperlink w:anchor="__RefHeading___Toc453144115">
            <w:ins w:id="49" w:author="Preferred Customer" w:date="1999-06-04T16:45:00Z">
              <w:r>
                <w:rPr>
                  <w:rStyle w:val="IndexLink"/>
                  <w:lang w:val="en-CA" w:eastAsia="en-CA"/>
                </w:rPr>
                <w:t>13</w:t>
              </w:r>
            </w:ins>
          </w:hyperlink>
        </w:p>
        <w:p>
          <w:pPr>
            <w:pStyle w:val="TOC2"/>
            <w:rPr>
              <w:ins w:id="53" w:author="Preferred Customer" w:date="1999-06-04T15:24:00Z"/>
            </w:rPr>
          </w:pPr>
          <w:ins w:id="51" w:author="Preferred Customer" w:date="1999-06-04T15:24:00Z">
            <w:r>
              <w:rPr/>
              <w:t>ARTICLE 13 - Representations and Warranties</w:t>
              <w:tab/>
            </w:r>
          </w:ins>
          <w:hyperlink w:anchor="__RefHeading___Toc453144116">
            <w:ins w:id="52" w:author="Preferred Customer" w:date="1999-06-04T16:45:00Z">
              <w:r>
                <w:rPr>
                  <w:rStyle w:val="IndexLink"/>
                  <w:lang w:val="en-CA" w:eastAsia="en-CA"/>
                </w:rPr>
                <w:t>13</w:t>
              </w:r>
            </w:ins>
          </w:hyperlink>
        </w:p>
        <w:p>
          <w:pPr>
            <w:pStyle w:val="TOC2"/>
            <w:rPr>
              <w:ins w:id="56" w:author="Preferred Customer" w:date="1999-06-04T15:24:00Z"/>
            </w:rPr>
          </w:pPr>
          <w:ins w:id="54" w:author="Preferred Customer" w:date="1999-06-04T15:24:00Z">
            <w:r>
              <w:rPr/>
              <w:t>ARTICLE 14 - Events of Default</w:t>
              <w:tab/>
            </w:r>
          </w:ins>
          <w:hyperlink w:anchor="__RefHeading___Toc453144117">
            <w:ins w:id="55" w:author="Preferred Customer" w:date="1999-06-04T16:45:00Z">
              <w:r>
                <w:rPr>
                  <w:rStyle w:val="IndexLink"/>
                  <w:lang w:val="en-CA" w:eastAsia="en-CA"/>
                </w:rPr>
                <w:t>14</w:t>
              </w:r>
            </w:ins>
          </w:hyperlink>
        </w:p>
        <w:p>
          <w:pPr>
            <w:pStyle w:val="TOC2"/>
            <w:rPr>
              <w:ins w:id="59" w:author="Preferred Customer" w:date="1999-06-04T15:24:00Z"/>
            </w:rPr>
          </w:pPr>
          <w:ins w:id="57" w:author="Preferred Customer" w:date="1999-06-04T15:24:00Z">
            <w:r>
              <w:rPr/>
              <w:t>ARTICLE 15 - Remedies Upon a Default</w:t>
              <w:tab/>
            </w:r>
          </w:ins>
          <w:hyperlink w:anchor="__RefHeading___Toc453144118">
            <w:ins w:id="58" w:author="Preferred Customer" w:date="1999-06-04T16:45:00Z">
              <w:r>
                <w:rPr>
                  <w:rStyle w:val="IndexLink"/>
                  <w:lang w:val="en-CA" w:eastAsia="en-CA"/>
                </w:rPr>
                <w:t>15</w:t>
              </w:r>
            </w:ins>
          </w:hyperlink>
        </w:p>
        <w:p>
          <w:pPr>
            <w:pStyle w:val="TOC2"/>
            <w:rPr>
              <w:ins w:id="62" w:author="Preferred Customer" w:date="1999-06-04T15:24:00Z"/>
            </w:rPr>
          </w:pPr>
          <w:ins w:id="60" w:author="Preferred Customer" w:date="1999-06-04T15:24:00Z">
            <w:r>
              <w:rPr/>
              <w:t>ARTICLE 16 - Limitation of Liability</w:t>
              <w:tab/>
            </w:r>
          </w:ins>
          <w:hyperlink w:anchor="__RefHeading___Toc453144119">
            <w:ins w:id="61" w:author="Preferred Customer" w:date="1999-06-04T16:45:00Z">
              <w:r>
                <w:rPr>
                  <w:rStyle w:val="IndexLink"/>
                  <w:lang w:val="en-CA" w:eastAsia="en-CA"/>
                </w:rPr>
                <w:t>18</w:t>
              </w:r>
            </w:ins>
          </w:hyperlink>
        </w:p>
        <w:p>
          <w:pPr>
            <w:pStyle w:val="TOC2"/>
            <w:rPr>
              <w:ins w:id="65" w:author="Preferred Customer" w:date="1999-06-04T15:24:00Z"/>
            </w:rPr>
          </w:pPr>
          <w:ins w:id="63" w:author="Preferred Customer" w:date="1999-06-04T15:24:00Z">
            <w:r>
              <w:rPr/>
              <w:t>ARTICLE 17 – Notice</w:t>
              <w:tab/>
            </w:r>
          </w:ins>
          <w:hyperlink w:anchor="__RefHeading___Toc453144120">
            <w:ins w:id="64" w:author="Preferred Customer" w:date="1999-06-04T16:45:00Z">
              <w:r>
                <w:rPr>
                  <w:rStyle w:val="IndexLink"/>
                  <w:lang w:val="en-CA" w:eastAsia="en-CA"/>
                </w:rPr>
                <w:t>18</w:t>
              </w:r>
            </w:ins>
          </w:hyperlink>
        </w:p>
        <w:p>
          <w:pPr>
            <w:pStyle w:val="TOC2"/>
            <w:rPr>
              <w:ins w:id="68" w:author="Preferred Customer" w:date="1999-06-04T15:24:00Z"/>
            </w:rPr>
          </w:pPr>
          <w:ins w:id="66" w:author="Preferred Customer" w:date="1999-06-04T15:24:00Z">
            <w:r>
              <w:rPr/>
              <w:t>ARTICLE 18 – Confidentiality</w:t>
              <w:tab/>
            </w:r>
          </w:ins>
          <w:hyperlink w:anchor="__RefHeading___Toc453144121">
            <w:ins w:id="67" w:author="Preferred Customer" w:date="1999-06-04T16:45:00Z">
              <w:r>
                <w:rPr>
                  <w:rStyle w:val="IndexLink"/>
                  <w:lang w:val="en-CA" w:eastAsia="en-CA"/>
                </w:rPr>
                <w:t>19</w:t>
              </w:r>
            </w:ins>
          </w:hyperlink>
        </w:p>
        <w:p>
          <w:pPr>
            <w:pStyle w:val="TOC2"/>
            <w:rPr>
              <w:ins w:id="71" w:author="Preferred Customer" w:date="1999-06-04T15:24:00Z"/>
            </w:rPr>
          </w:pPr>
          <w:ins w:id="69" w:author="Preferred Customer" w:date="1999-06-04T15:24:00Z">
            <w:r>
              <w:rPr/>
              <w:t>ARTICLE 19 - Alternative Dispute Resolution</w:t>
              <w:tab/>
            </w:r>
          </w:ins>
          <w:hyperlink w:anchor="__RefHeading___Toc453144122">
            <w:ins w:id="70" w:author="Preferred Customer" w:date="1999-06-04T16:45:00Z">
              <w:r>
                <w:rPr>
                  <w:rStyle w:val="IndexLink"/>
                  <w:lang w:val="en-CA" w:eastAsia="en-CA"/>
                </w:rPr>
                <w:t>20</w:t>
              </w:r>
            </w:ins>
          </w:hyperlink>
        </w:p>
        <w:p>
          <w:pPr>
            <w:pStyle w:val="TOC2"/>
            <w:rPr>
              <w:ins w:id="74" w:author="Preferred Customer" w:date="1999-06-04T15:24:00Z"/>
            </w:rPr>
          </w:pPr>
          <w:ins w:id="72" w:author="Preferred Customer" w:date="1999-06-04T15:24:00Z">
            <w:r>
              <w:rPr/>
              <w:t>ARTICLE 20 – Miscellaneous</w:t>
              <w:tab/>
            </w:r>
          </w:ins>
          <w:hyperlink w:anchor="__RefHeading___Toc453144123">
            <w:ins w:id="73" w:author="Preferred Customer" w:date="1999-06-04T16:45:00Z">
              <w:r>
                <w:rPr>
                  <w:rStyle w:val="IndexLink"/>
                  <w:lang w:val="en-CA" w:eastAsia="en-CA"/>
                </w:rPr>
                <w:t>20</w:t>
              </w:r>
            </w:ins>
          </w:hyperlink>
        </w:p>
        <w:p>
          <w:pPr>
            <w:pStyle w:val="TOC3"/>
            <w:tabs>
              <w:tab w:val="clear" w:pos="990"/>
              <w:tab w:val="left" w:pos="1000" w:leader="none"/>
              <w:tab w:val="right" w:pos="10260" w:leader="dot"/>
            </w:tabs>
            <w:rPr>
              <w:u w:val="none"/>
              <w:ins w:id="77" w:author="Preferred Customer" w:date="1999-06-04T15:24:00Z"/>
            </w:rPr>
          </w:pPr>
          <w:ins w:id="75" w:author="Preferred Customer" w:date="1999-06-04T15:24:00Z">
            <w:r>
              <w:rPr>
                <w:u w:val="none"/>
              </w:rPr>
              <w:t>20.1</w:t>
              <w:tab/>
              <w:t>No Dedication of Facilities</w:t>
              <w:tab/>
            </w:r>
          </w:ins>
          <w:hyperlink w:anchor="__RefHeading___Toc453144124">
            <w:ins w:id="76" w:author="Preferred Customer" w:date="1999-06-04T16:45:00Z">
              <w:r>
                <w:rPr>
                  <w:rStyle w:val="IndexLink"/>
                  <w:u w:val="none"/>
                  <w:lang w:val="en-CA" w:eastAsia="en-CA"/>
                </w:rPr>
                <w:t>20</w:t>
              </w:r>
            </w:ins>
          </w:hyperlink>
        </w:p>
        <w:p>
          <w:pPr>
            <w:pStyle w:val="TOC3"/>
            <w:tabs>
              <w:tab w:val="clear" w:pos="990"/>
              <w:tab w:val="left" w:pos="1000" w:leader="none"/>
              <w:tab w:val="right" w:pos="10260" w:leader="dot"/>
            </w:tabs>
            <w:rPr>
              <w:u w:val="none"/>
              <w:ins w:id="80" w:author="Preferred Customer" w:date="1999-06-04T15:24:00Z"/>
            </w:rPr>
          </w:pPr>
          <w:ins w:id="78" w:author="Preferred Customer" w:date="1999-06-04T15:24:00Z">
            <w:r>
              <w:rPr>
                <w:u w:val="none"/>
              </w:rPr>
              <w:t>20.2</w:t>
              <w:tab/>
              <w:t>No Retail Services</w:t>
              <w:tab/>
            </w:r>
          </w:ins>
          <w:hyperlink w:anchor="__RefHeading___Toc453144125">
            <w:ins w:id="79" w:author="Preferred Customer" w:date="1999-06-04T16:45:00Z">
              <w:r>
                <w:rPr>
                  <w:rStyle w:val="IndexLink"/>
                  <w:u w:val="none"/>
                  <w:lang w:val="en-CA" w:eastAsia="en-CA"/>
                </w:rPr>
                <w:t>20</w:t>
              </w:r>
            </w:ins>
          </w:hyperlink>
        </w:p>
        <w:p>
          <w:pPr>
            <w:pStyle w:val="TOC3"/>
            <w:tabs>
              <w:tab w:val="clear" w:pos="990"/>
              <w:tab w:val="left" w:pos="1000" w:leader="none"/>
              <w:tab w:val="right" w:pos="10260" w:leader="dot"/>
            </w:tabs>
            <w:rPr>
              <w:u w:val="none"/>
              <w:ins w:id="83" w:author="Preferred Customer" w:date="1999-06-04T15:24:00Z"/>
            </w:rPr>
          </w:pPr>
          <w:ins w:id="81" w:author="Preferred Customer" w:date="1999-06-04T15:24:00Z">
            <w:r>
              <w:rPr>
                <w:u w:val="none"/>
              </w:rPr>
              <w:t>20.3</w:t>
              <w:tab/>
              <w:t>Severability.</w:t>
              <w:tab/>
            </w:r>
          </w:ins>
          <w:hyperlink w:anchor="__RefHeading___Toc453144126">
            <w:ins w:id="82" w:author="Preferred Customer" w:date="1999-06-04T16:45:00Z">
              <w:r>
                <w:rPr>
                  <w:rStyle w:val="IndexLink"/>
                  <w:u w:val="none"/>
                  <w:lang w:val="en-CA" w:eastAsia="en-CA"/>
                </w:rPr>
                <w:t>20</w:t>
              </w:r>
            </w:ins>
          </w:hyperlink>
        </w:p>
        <w:p>
          <w:pPr>
            <w:pStyle w:val="TOC3"/>
            <w:tabs>
              <w:tab w:val="clear" w:pos="990"/>
              <w:tab w:val="left" w:pos="1000" w:leader="none"/>
              <w:tab w:val="right" w:pos="10260" w:leader="dot"/>
            </w:tabs>
            <w:rPr>
              <w:u w:val="none"/>
              <w:ins w:id="86" w:author="Preferred Customer" w:date="1999-06-04T15:24:00Z"/>
            </w:rPr>
          </w:pPr>
          <w:ins w:id="84" w:author="Preferred Customer" w:date="1999-06-04T15:24:00Z">
            <w:r>
              <w:rPr>
                <w:u w:val="none"/>
              </w:rPr>
              <w:t>20.4</w:t>
              <w:tab/>
              <w:t>Time is of the Essence.</w:t>
              <w:tab/>
            </w:r>
          </w:ins>
          <w:hyperlink w:anchor="__RefHeading___Toc453144127">
            <w:ins w:id="85" w:author="Preferred Customer" w:date="1999-06-04T16:45:00Z">
              <w:r>
                <w:rPr>
                  <w:rStyle w:val="IndexLink"/>
                  <w:u w:val="none"/>
                  <w:lang w:val="en-CA" w:eastAsia="en-CA"/>
                </w:rPr>
                <w:t>20</w:t>
              </w:r>
            </w:ins>
          </w:hyperlink>
        </w:p>
        <w:p>
          <w:pPr>
            <w:pStyle w:val="TOC3"/>
            <w:tabs>
              <w:tab w:val="clear" w:pos="990"/>
              <w:tab w:val="left" w:pos="1000" w:leader="none"/>
              <w:tab w:val="right" w:pos="10260" w:leader="dot"/>
            </w:tabs>
            <w:rPr>
              <w:u w:val="none"/>
              <w:ins w:id="89" w:author="Preferred Customer" w:date="1999-06-04T15:24:00Z"/>
            </w:rPr>
          </w:pPr>
          <w:ins w:id="87" w:author="Preferred Customer" w:date="1999-06-04T15:24:00Z">
            <w:r>
              <w:rPr>
                <w:u w:val="none"/>
              </w:rPr>
              <w:t>20.5</w:t>
              <w:tab/>
              <w:t>Modification of Agreement.</w:t>
              <w:tab/>
            </w:r>
          </w:ins>
          <w:hyperlink w:anchor="__RefHeading___Toc453144128">
            <w:ins w:id="88" w:author="Preferred Customer" w:date="1999-06-04T16:45:00Z">
              <w:r>
                <w:rPr>
                  <w:rStyle w:val="IndexLink"/>
                  <w:u w:val="none"/>
                  <w:lang w:val="en-CA" w:eastAsia="en-CA"/>
                </w:rPr>
                <w:t>20</w:t>
              </w:r>
            </w:ins>
          </w:hyperlink>
        </w:p>
        <w:p>
          <w:pPr>
            <w:pStyle w:val="TOC3"/>
            <w:tabs>
              <w:tab w:val="clear" w:pos="990"/>
              <w:tab w:val="left" w:pos="1000" w:leader="none"/>
              <w:tab w:val="right" w:pos="10260" w:leader="dot"/>
            </w:tabs>
            <w:rPr>
              <w:u w:val="none"/>
              <w:ins w:id="92" w:author="Preferred Customer" w:date="1999-06-04T15:24:00Z"/>
            </w:rPr>
          </w:pPr>
          <w:ins w:id="90" w:author="Preferred Customer" w:date="1999-06-04T15:24:00Z">
            <w:r>
              <w:rPr>
                <w:u w:val="none"/>
              </w:rPr>
              <w:t>20.6</w:t>
              <w:tab/>
              <w:t>Waiver.</w:t>
              <w:tab/>
            </w:r>
          </w:ins>
          <w:hyperlink w:anchor="__RefHeading___Toc453144129">
            <w:ins w:id="91" w:author="Preferred Customer" w:date="1999-06-04T16:45:00Z">
              <w:r>
                <w:rPr>
                  <w:rStyle w:val="IndexLink"/>
                  <w:u w:val="none"/>
                  <w:lang w:val="en-CA" w:eastAsia="en-CA"/>
                </w:rPr>
                <w:t>21</w:t>
              </w:r>
            </w:ins>
          </w:hyperlink>
        </w:p>
        <w:p>
          <w:pPr>
            <w:pStyle w:val="TOC3"/>
            <w:tabs>
              <w:tab w:val="clear" w:pos="990"/>
              <w:tab w:val="left" w:pos="1000" w:leader="none"/>
              <w:tab w:val="right" w:pos="10260" w:leader="dot"/>
            </w:tabs>
            <w:rPr>
              <w:u w:val="none"/>
              <w:ins w:id="95" w:author="Preferred Customer" w:date="1999-06-04T15:24:00Z"/>
            </w:rPr>
          </w:pPr>
          <w:ins w:id="93" w:author="Preferred Customer" w:date="1999-06-04T15:24:00Z">
            <w:r>
              <w:rPr>
                <w:u w:val="none"/>
              </w:rPr>
              <w:t>20.7</w:t>
              <w:tab/>
              <w:t>Third Party Beneficiaries.</w:t>
              <w:tab/>
            </w:r>
          </w:ins>
          <w:hyperlink w:anchor="__RefHeading___Toc453144130">
            <w:ins w:id="94" w:author="Preferred Customer" w:date="1999-06-04T16:45:00Z">
              <w:r>
                <w:rPr>
                  <w:rStyle w:val="IndexLink"/>
                  <w:u w:val="none"/>
                  <w:lang w:val="en-CA" w:eastAsia="en-CA"/>
                </w:rPr>
                <w:t>21</w:t>
              </w:r>
            </w:ins>
          </w:hyperlink>
        </w:p>
        <w:p>
          <w:pPr>
            <w:pStyle w:val="TOC3"/>
            <w:tabs>
              <w:tab w:val="clear" w:pos="990"/>
              <w:tab w:val="left" w:pos="1000" w:leader="none"/>
              <w:tab w:val="right" w:pos="10260" w:leader="dot"/>
            </w:tabs>
            <w:rPr>
              <w:u w:val="none"/>
              <w:ins w:id="98" w:author="Preferred Customer" w:date="1999-06-04T15:24:00Z"/>
            </w:rPr>
          </w:pPr>
          <w:ins w:id="96" w:author="Preferred Customer" w:date="1999-06-04T15:24:00Z">
            <w:r>
              <w:rPr>
                <w:u w:val="none"/>
              </w:rPr>
              <w:t>20.8</w:t>
              <w:tab/>
              <w:t>Merger.</w:t>
              <w:tab/>
            </w:r>
          </w:ins>
          <w:hyperlink w:anchor="__RefHeading___Toc453144131">
            <w:ins w:id="97" w:author="Preferred Customer" w:date="1999-06-04T16:45:00Z">
              <w:r>
                <w:rPr>
                  <w:rStyle w:val="IndexLink"/>
                  <w:u w:val="none"/>
                  <w:lang w:val="en-CA" w:eastAsia="en-CA"/>
                </w:rPr>
                <w:t>21</w:t>
              </w:r>
            </w:ins>
          </w:hyperlink>
        </w:p>
        <w:p>
          <w:pPr>
            <w:pStyle w:val="TOC3"/>
            <w:tabs>
              <w:tab w:val="clear" w:pos="990"/>
              <w:tab w:val="left" w:pos="1000" w:leader="none"/>
              <w:tab w:val="right" w:pos="10260" w:leader="dot"/>
            </w:tabs>
            <w:rPr>
              <w:u w:val="none"/>
              <w:ins w:id="101" w:author="Preferred Customer" w:date="1999-06-04T15:24:00Z"/>
            </w:rPr>
          </w:pPr>
          <w:ins w:id="99" w:author="Preferred Customer" w:date="1999-06-04T15:24:00Z">
            <w:r>
              <w:rPr>
                <w:u w:val="none"/>
              </w:rPr>
              <w:t>20.9</w:t>
              <w:tab/>
              <w:t>Applicable Laws.</w:t>
              <w:tab/>
            </w:r>
          </w:ins>
          <w:hyperlink w:anchor="__RefHeading___Toc453144132">
            <w:ins w:id="100" w:author="Preferred Customer" w:date="1999-06-04T16:45:00Z">
              <w:r>
                <w:rPr>
                  <w:rStyle w:val="IndexLink"/>
                  <w:u w:val="none"/>
                  <w:lang w:val="en-CA" w:eastAsia="en-CA"/>
                </w:rPr>
                <w:t>21</w:t>
              </w:r>
            </w:ins>
          </w:hyperlink>
        </w:p>
        <w:p>
          <w:pPr>
            <w:pStyle w:val="TOC3"/>
            <w:tabs>
              <w:tab w:val="left" w:pos="990" w:leader="none"/>
              <w:tab w:val="left" w:pos="1200" w:leader="none"/>
              <w:tab w:val="right" w:pos="10260" w:leader="dot"/>
            </w:tabs>
            <w:rPr>
              <w:u w:val="none"/>
              <w:ins w:id="104" w:author="Preferred Customer" w:date="1999-06-04T15:24:00Z"/>
            </w:rPr>
          </w:pPr>
          <w:ins w:id="102" w:author="Preferred Customer" w:date="1999-06-04T15:24:00Z">
            <w:r>
              <w:rPr>
                <w:u w:val="none"/>
              </w:rPr>
              <w:t>20.10</w:t>
              <w:tab/>
              <w:t>Jurisdiction and Governing Law.</w:t>
              <w:tab/>
            </w:r>
          </w:ins>
          <w:hyperlink w:anchor="__RefHeading___Toc453144133">
            <w:ins w:id="103" w:author="Preferred Customer" w:date="1999-06-04T16:45:00Z">
              <w:r>
                <w:rPr>
                  <w:rStyle w:val="IndexLink"/>
                  <w:u w:val="none"/>
                  <w:lang w:val="en-CA" w:eastAsia="en-CA"/>
                </w:rPr>
                <w:t>21</w:t>
              </w:r>
            </w:ins>
          </w:hyperlink>
        </w:p>
        <w:p>
          <w:pPr>
            <w:pStyle w:val="TOC3"/>
            <w:tabs>
              <w:tab w:val="left" w:pos="990" w:leader="none"/>
              <w:tab w:val="left" w:pos="1200" w:leader="none"/>
              <w:tab w:val="right" w:pos="10260" w:leader="dot"/>
            </w:tabs>
            <w:rPr>
              <w:u w:val="none"/>
              <w:ins w:id="107" w:author="Preferred Customer" w:date="1999-06-04T15:24:00Z"/>
            </w:rPr>
          </w:pPr>
          <w:ins w:id="105" w:author="Preferred Customer" w:date="1999-06-04T15:24:00Z">
            <w:r>
              <w:rPr>
                <w:u w:val="none"/>
              </w:rPr>
              <w:t>20.11</w:t>
              <w:tab/>
              <w:t>Successors and Assigns.</w:t>
              <w:tab/>
            </w:r>
          </w:ins>
          <w:hyperlink w:anchor="__RefHeading___Toc453144134">
            <w:ins w:id="106" w:author="Preferred Customer" w:date="1999-06-04T16:45:00Z">
              <w:r>
                <w:rPr>
                  <w:rStyle w:val="IndexLink"/>
                  <w:u w:val="none"/>
                  <w:lang w:val="en-CA" w:eastAsia="en-CA"/>
                </w:rPr>
                <w:t>21</w:t>
              </w:r>
            </w:ins>
          </w:hyperlink>
        </w:p>
        <w:p>
          <w:pPr>
            <w:pStyle w:val="TOC3"/>
            <w:tabs>
              <w:tab w:val="left" w:pos="990" w:leader="none"/>
              <w:tab w:val="left" w:pos="1200" w:leader="none"/>
              <w:tab w:val="right" w:pos="10260" w:leader="dot"/>
            </w:tabs>
            <w:rPr>
              <w:u w:val="none"/>
              <w:ins w:id="110" w:author="Preferred Customer" w:date="1999-06-04T15:24:00Z"/>
            </w:rPr>
          </w:pPr>
          <w:ins w:id="108" w:author="Preferred Customer" w:date="1999-06-04T15:24:00Z">
            <w:r>
              <w:rPr>
                <w:u w:val="none"/>
              </w:rPr>
              <w:t>20.12</w:t>
              <w:tab/>
              <w:t>General.</w:t>
              <w:tab/>
            </w:r>
          </w:ins>
          <w:hyperlink w:anchor="__RefHeading___Toc453144135">
            <w:ins w:id="109" w:author="Preferred Customer" w:date="1999-06-04T16:45:00Z">
              <w:r>
                <w:rPr>
                  <w:rStyle w:val="IndexLink"/>
                  <w:u w:val="none"/>
                  <w:lang w:val="en-CA" w:eastAsia="en-CA"/>
                </w:rPr>
                <w:t>22</w:t>
              </w:r>
            </w:ins>
          </w:hyperlink>
        </w:p>
        <w:p>
          <w:pPr>
            <w:pStyle w:val="TOC3"/>
            <w:tabs>
              <w:tab w:val="left" w:pos="990" w:leader="none"/>
              <w:tab w:val="left" w:pos="1200" w:leader="none"/>
              <w:tab w:val="right" w:pos="10260" w:leader="dot"/>
            </w:tabs>
            <w:rPr>
              <w:u w:val="none"/>
              <w:ins w:id="113" w:author="Preferred Customer" w:date="1999-06-04T15:24:00Z"/>
            </w:rPr>
          </w:pPr>
          <w:ins w:id="111" w:author="Preferred Customer" w:date="1999-06-04T15:24:00Z">
            <w:r>
              <w:rPr>
                <w:u w:val="none"/>
              </w:rPr>
              <w:t>20.13</w:t>
              <w:tab/>
              <w:t>Forward Contract.</w:t>
              <w:tab/>
            </w:r>
          </w:ins>
          <w:hyperlink w:anchor="__RefHeading___Toc453144136">
            <w:ins w:id="112" w:author="Preferred Customer" w:date="1999-06-04T16:45:00Z">
              <w:r>
                <w:rPr>
                  <w:rStyle w:val="IndexLink"/>
                  <w:u w:val="none"/>
                  <w:lang w:val="en-CA" w:eastAsia="en-CA"/>
                </w:rPr>
                <w:t>22</w:t>
              </w:r>
            </w:ins>
          </w:hyperlink>
        </w:p>
        <w:p>
          <w:pPr>
            <w:pStyle w:val="TOC3"/>
            <w:tabs>
              <w:tab w:val="left" w:pos="990" w:leader="none"/>
              <w:tab w:val="left" w:pos="1200" w:leader="none"/>
              <w:tab w:val="right" w:pos="10260" w:leader="dot"/>
            </w:tabs>
            <w:rPr>
              <w:u w:val="none"/>
              <w:ins w:id="116" w:author="Preferred Customer" w:date="1999-06-04T15:24:00Z"/>
            </w:rPr>
          </w:pPr>
          <w:ins w:id="114" w:author="Preferred Customer" w:date="1999-06-04T15:24:00Z">
            <w:r>
              <w:rPr>
                <w:u w:val="none"/>
              </w:rPr>
              <w:t>20.14</w:t>
              <w:tab/>
              <w:t>Waiver of Sovereign Immunity.</w:t>
              <w:tab/>
            </w:r>
          </w:ins>
          <w:hyperlink w:anchor="__RefHeading___Toc453144137">
            <w:ins w:id="115" w:author="Preferred Customer" w:date="1999-06-04T16:45:00Z">
              <w:r>
                <w:rPr>
                  <w:rStyle w:val="IndexLink"/>
                  <w:u w:val="none"/>
                  <w:lang w:val="en-CA" w:eastAsia="en-CA"/>
                </w:rPr>
                <w:t>22</w:t>
              </w:r>
            </w:ins>
          </w:hyperlink>
        </w:p>
        <w:p>
          <w:pPr>
            <w:pStyle w:val="TOC2"/>
            <w:rPr>
              <w:ins w:id="120" w:author="Preferred Customer" w:date="1999-06-04T15:24:00Z"/>
            </w:rPr>
          </w:pPr>
          <w:ins w:id="117" w:author="Preferred Customer" w:date="1999-06-04T15:24:00Z">
            <w:r>
              <w:rPr/>
              <w:t>EXHIBIT B</w:t>
            </w:r>
          </w:ins>
          <w:ins w:id="118" w:author="Preferred Customer" w:date="1999-06-04T15:27:00Z">
            <w:r>
              <w:rPr/>
              <w:t xml:space="preserve"> - </w:t>
            </w:r>
          </w:ins>
          <w:ins w:id="119" w:author="Preferred Customer" w:date="1999-06-04T15:24:00Z">
            <w:r>
              <w:rPr/>
              <w:t>NOTICE AND EFT INFORMATION OF THE</w:t>
            </w:r>
          </w:ins>
        </w:p>
        <w:p>
          <w:pPr>
            <w:pStyle w:val="TOC2"/>
            <w:rPr>
              <w:ins w:id="125" w:author="Preferred Customer" w:date="1999-06-04T15:24:00Z"/>
            </w:rPr>
          </w:pPr>
          <w:ins w:id="121" w:author="Preferred Customer" w:date="1999-06-04T15:24:00Z">
            <w:r>
              <w:rPr/>
              <w:t>ERCOT WHOLESALE ELECTRICITY</w:t>
            </w:r>
          </w:ins>
          <w:ins w:id="122" w:author="Preferred Customer" w:date="1999-06-04T15:27:00Z">
            <w:r>
              <w:rPr/>
              <w:t xml:space="preserve"> </w:t>
            </w:r>
          </w:ins>
          <w:ins w:id="123" w:author="Preferred Customer" w:date="1999-06-04T15:24:00Z">
            <w:r>
              <w:rPr/>
              <w:t>ENABLING AGREEMENT</w:t>
              <w:tab/>
            </w:r>
          </w:ins>
          <w:hyperlink w:anchor="__RefHeading___Toc453144141">
            <w:ins w:id="124" w:author="Preferred Customer" w:date="1999-06-04T16:45:00Z">
              <w:r>
                <w:rPr>
                  <w:rStyle w:val="IndexLink"/>
                  <w:lang w:val="en-CA" w:eastAsia="en-CA"/>
                </w:rPr>
                <w:t>23</w:t>
              </w:r>
            </w:ins>
          </w:hyperlink>
        </w:p>
        <w:p>
          <w:pPr>
            <w:pStyle w:val="TOC2"/>
            <w:rPr>
              <w:ins w:id="128" w:author="Preferred Customer" w:date="1999-06-04T15:24:00Z"/>
            </w:rPr>
          </w:pPr>
          <w:ins w:id="126" w:author="Preferred Customer" w:date="1999-06-04T15:24:00Z">
            <w:r>
              <w:rPr/>
              <w:t>EXHIBIT C - CREDIT SUPPORT ANNEX</w:t>
              <w:tab/>
            </w:r>
          </w:ins>
          <w:hyperlink w:anchor="__RefHeading___Toc453144142">
            <w:ins w:id="127" w:author="Preferred Customer" w:date="1999-06-04T16:45:00Z">
              <w:r>
                <w:rPr>
                  <w:rStyle w:val="IndexLink"/>
                  <w:lang w:val="en-CA" w:eastAsia="en-CA"/>
                </w:rPr>
                <w:t>24</w:t>
              </w:r>
            </w:ins>
          </w:hyperlink>
        </w:p>
        <w:p>
          <w:pPr>
            <w:pStyle w:val="TOC2"/>
            <w:rPr>
              <w:ins w:id="131" w:author="Preferred Customer" w:date="1999-06-04T15:24:00Z"/>
            </w:rPr>
          </w:pPr>
          <w:ins w:id="129" w:author="Preferred Customer" w:date="1999-06-04T15:24:00Z">
            <w:r>
              <w:rPr/>
              <w:t>EXHIBIT D - ERCOT ENERGY TRANSACTION CONFIRMATION</w:t>
              <w:tab/>
            </w:r>
          </w:ins>
          <w:hyperlink w:anchor="__RefHeading___Toc453144143">
            <w:ins w:id="130" w:author="Preferred Customer" w:date="1999-06-04T16:45:00Z">
              <w:r>
                <w:rPr>
                  <w:rStyle w:val="IndexLink"/>
                  <w:lang w:val="en-CA" w:eastAsia="en-CA"/>
                </w:rPr>
                <w:t>28</w:t>
              </w:r>
            </w:ins>
          </w:hyperlink>
        </w:p>
        <w:p>
          <w:pPr>
            <w:pStyle w:val="TOC1"/>
            <w:rPr>
              <w:del w:id="133" w:author="Preferred Customer" w:date="1999-06-04T15:23:00Z"/>
            </w:rPr>
          </w:pPr>
          <w:del w:id="132" w:author="Preferred Customer" w:date="1999-06-04T15:23:00Z">
            <w:r>
              <w:rPr/>
              <w:delText>TABLE OF CONTENTS</w:delText>
              <w:tab/>
              <w:delText>………………………………………………………………………………………i</w:delText>
            </w:r>
          </w:del>
        </w:p>
        <w:p>
          <w:pPr>
            <w:pStyle w:val="TOC1"/>
            <w:rPr>
              <w:del w:id="135" w:author="Preferred Customer" w:date="1999-06-04T15:23:00Z"/>
            </w:rPr>
          </w:pPr>
          <w:del w:id="134" w:author="Preferred Customer" w:date="1999-06-04T15:23:00Z">
            <w:r>
              <w:rPr/>
              <w:delText>ERCOT WHOLESALE ELECTRICITY ENABLING AGREEMENT…………………………………...1</w:delText>
            </w:r>
          </w:del>
        </w:p>
        <w:p>
          <w:pPr>
            <w:pStyle w:val="TOC1"/>
            <w:rPr>
              <w:del w:id="137" w:author="Preferred Customer" w:date="1999-06-04T15:23:00Z"/>
            </w:rPr>
          </w:pPr>
          <w:del w:id="136" w:author="Preferred Customer" w:date="1999-06-04T15:23:00Z">
            <w:r>
              <w:rPr/>
              <w:delText xml:space="preserve">EXHIBIT A - TERMS AND CONDITIONS OF THE </w:delText>
            </w:r>
          </w:del>
        </w:p>
        <w:p>
          <w:pPr>
            <w:pStyle w:val="TOC1"/>
            <w:rPr>
              <w:del w:id="139" w:author="Preferred Customer" w:date="1999-06-04T15:23:00Z"/>
            </w:rPr>
          </w:pPr>
          <w:del w:id="138" w:author="Preferred Customer" w:date="1999-06-04T15:23:00Z">
            <w:r>
              <w:rPr/>
              <w:delText>ERCOT WHOLESALE ELECTRICITY ENABLING AGREEMENT…………………………………...3</w:delText>
            </w:r>
          </w:del>
        </w:p>
        <w:p>
          <w:pPr>
            <w:pStyle w:val="TOC2"/>
            <w:rPr>
              <w:del w:id="141" w:author="Preferred Customer" w:date="1999-06-04T15:23:00Z"/>
            </w:rPr>
          </w:pPr>
          <w:del w:id="140" w:author="Preferred Customer" w:date="1999-06-04T15:23:00Z">
            <w:r>
              <w:rPr/>
              <w:delText>ARTICLE I – Recitals</w:delText>
              <w:tab/>
              <w:delText>3</w:delText>
            </w:r>
          </w:del>
        </w:p>
        <w:p>
          <w:pPr>
            <w:pStyle w:val="TOC2"/>
            <w:rPr>
              <w:del w:id="143" w:author="Preferred Customer" w:date="1999-06-04T15:23:00Z"/>
            </w:rPr>
          </w:pPr>
          <w:del w:id="142" w:author="Preferred Customer" w:date="1999-06-04T15:23:00Z">
            <w:r>
              <w:rPr/>
              <w:delText>ARTICLE II – Definitions</w:delText>
              <w:tab/>
              <w:delText>3</w:delText>
            </w:r>
          </w:del>
        </w:p>
        <w:p>
          <w:pPr>
            <w:pStyle w:val="TOC2"/>
            <w:rPr>
              <w:del w:id="145" w:author="Preferred Customer" w:date="1999-06-04T15:23:00Z"/>
            </w:rPr>
          </w:pPr>
          <w:del w:id="144" w:author="Preferred Customer" w:date="1999-06-04T15:23:00Z">
            <w:r>
              <w:rPr/>
              <w:delText>ARTICLE III - Scope of Agreement</w:delText>
              <w:tab/>
              <w:delText>6</w:delText>
            </w:r>
          </w:del>
        </w:p>
        <w:p>
          <w:pPr>
            <w:pStyle w:val="TOC2"/>
            <w:rPr>
              <w:del w:id="147" w:author="Preferred Customer" w:date="1999-06-04T15:23:00Z"/>
            </w:rPr>
          </w:pPr>
          <w:del w:id="146" w:author="Preferred Customer" w:date="1999-06-04T15:23:00Z">
            <w:r>
              <w:rPr/>
              <w:delText>ARTICLE IV - Oral Agreement and Confirmation</w:delText>
              <w:tab/>
              <w:delText>6</w:delText>
            </w:r>
          </w:del>
        </w:p>
        <w:p>
          <w:pPr>
            <w:pStyle w:val="TOC2"/>
            <w:rPr>
              <w:del w:id="149" w:author="Preferred Customer" w:date="1999-06-04T15:23:00Z"/>
            </w:rPr>
          </w:pPr>
          <w:del w:id="148" w:author="Preferred Customer" w:date="1999-06-04T15:23:00Z">
            <w:r>
              <w:rPr/>
              <w:delText>ARTICLE V - Remedies for Failure to Deliver or Receive</w:delText>
              <w:tab/>
              <w:delText>7</w:delText>
            </w:r>
          </w:del>
        </w:p>
        <w:p>
          <w:pPr>
            <w:pStyle w:val="TOC2"/>
            <w:rPr>
              <w:del w:id="151" w:author="Preferred Customer" w:date="1999-06-04T15:23:00Z"/>
            </w:rPr>
          </w:pPr>
          <w:del w:id="150" w:author="Preferred Customer" w:date="1999-06-04T15:23:00Z">
            <w:r>
              <w:rPr/>
              <w:delText>ARTICLE VI – Taxes</w:delText>
              <w:tab/>
              <w:delText>9</w:delText>
            </w:r>
          </w:del>
        </w:p>
        <w:p>
          <w:pPr>
            <w:pStyle w:val="TOC2"/>
            <w:rPr>
              <w:del w:id="153" w:author="Preferred Customer" w:date="1999-06-04T15:23:00Z"/>
            </w:rPr>
          </w:pPr>
          <w:del w:id="152" w:author="Preferred Customer" w:date="1999-06-04T15:23:00Z">
            <w:r>
              <w:rPr/>
              <w:delText>ARTICLE VII - Billing and Payment</w:delText>
              <w:tab/>
              <w:delText>10</w:delText>
            </w:r>
          </w:del>
        </w:p>
        <w:p>
          <w:pPr>
            <w:pStyle w:val="TOC3"/>
            <w:tabs>
              <w:tab w:val="clear" w:pos="990"/>
              <w:tab w:val="left" w:pos="1000" w:leader="none"/>
              <w:tab w:val="right" w:pos="10260" w:leader="dot"/>
            </w:tabs>
            <w:rPr>
              <w:del w:id="155" w:author="Preferred Customer" w:date="1999-06-04T15:23:00Z"/>
            </w:rPr>
          </w:pPr>
          <w:del w:id="154" w:author="Preferred Customer" w:date="1999-06-04T15:23:00Z">
            <w:r>
              <w:rPr/>
              <w:delText>7.1</w:delText>
              <w:tab/>
              <w:delText>Billing Frequency.</w:delText>
              <w:tab/>
              <w:delText>10</w:delText>
            </w:r>
          </w:del>
        </w:p>
        <w:p>
          <w:pPr>
            <w:pStyle w:val="TOC3"/>
            <w:tabs>
              <w:tab w:val="clear" w:pos="990"/>
              <w:tab w:val="left" w:pos="1000" w:leader="none"/>
              <w:tab w:val="right" w:pos="10260" w:leader="dot"/>
            </w:tabs>
            <w:rPr>
              <w:del w:id="157" w:author="Preferred Customer" w:date="1999-06-04T15:23:00Z"/>
            </w:rPr>
          </w:pPr>
          <w:del w:id="156" w:author="Preferred Customer" w:date="1999-06-04T15:23:00Z">
            <w:r>
              <w:rPr/>
              <w:delText>7.2</w:delText>
              <w:tab/>
              <w:delText>Payment Due Date</w:delText>
              <w:tab/>
              <w:delText>10</w:delText>
            </w:r>
          </w:del>
        </w:p>
        <w:p>
          <w:pPr>
            <w:pStyle w:val="TOC3"/>
            <w:tabs>
              <w:tab w:val="clear" w:pos="990"/>
              <w:tab w:val="left" w:pos="1000" w:leader="none"/>
              <w:tab w:val="right" w:pos="10260" w:leader="dot"/>
            </w:tabs>
            <w:rPr>
              <w:del w:id="159" w:author="Preferred Customer" w:date="1999-06-04T15:23:00Z"/>
            </w:rPr>
          </w:pPr>
          <w:del w:id="158" w:author="Preferred Customer" w:date="1999-06-04T15:23:00Z">
            <w:r>
              <w:rPr/>
              <w:delText>7.3</w:delText>
              <w:tab/>
              <w:delText>Disputed Amounts.</w:delText>
              <w:tab/>
              <w:delText>10</w:delText>
            </w:r>
          </w:del>
        </w:p>
        <w:p>
          <w:pPr>
            <w:pStyle w:val="TOC3"/>
            <w:tabs>
              <w:tab w:val="clear" w:pos="990"/>
              <w:tab w:val="left" w:pos="1000" w:leader="none"/>
              <w:tab w:val="right" w:pos="10260" w:leader="dot"/>
            </w:tabs>
            <w:rPr>
              <w:del w:id="161" w:author="Preferred Customer" w:date="1999-06-04T15:23:00Z"/>
            </w:rPr>
          </w:pPr>
          <w:del w:id="160" w:author="Preferred Customer" w:date="1999-06-04T15:23:00Z">
            <w:r>
              <w:rPr/>
              <w:delText>7.4</w:delText>
              <w:tab/>
              <w:delText>Netting.</w:delText>
              <w:tab/>
              <w:delText>10</w:delText>
            </w:r>
          </w:del>
        </w:p>
        <w:p>
          <w:pPr>
            <w:pStyle w:val="TOC3"/>
            <w:tabs>
              <w:tab w:val="clear" w:pos="990"/>
              <w:tab w:val="left" w:pos="1000" w:leader="none"/>
              <w:tab w:val="right" w:pos="10260" w:leader="dot"/>
            </w:tabs>
            <w:rPr>
              <w:del w:id="164" w:author="Preferred Customer" w:date="1999-06-04T15:23:00Z"/>
            </w:rPr>
          </w:pPr>
          <w:del w:id="162" w:author="Preferred Customer" w:date="1999-06-04T15:23:00Z">
            <w:r>
              <w:rPr>
                <w:caps/>
              </w:rPr>
              <w:delText>7.5</w:delText>
            </w:r>
          </w:del>
          <w:del w:id="163" w:author="Preferred Customer" w:date="1999-06-04T15:23:00Z">
            <w:r>
              <w:rPr/>
              <w:tab/>
              <w:delText>Payment Method.</w:delText>
              <w:tab/>
              <w:delText>11</w:delText>
            </w:r>
          </w:del>
        </w:p>
        <w:p>
          <w:pPr>
            <w:pStyle w:val="TOC2"/>
            <w:rPr>
              <w:del w:id="166" w:author="Preferred Customer" w:date="1999-06-04T15:23:00Z"/>
            </w:rPr>
          </w:pPr>
          <w:del w:id="165" w:author="Preferred Customer" w:date="1999-06-04T15:23:00Z">
            <w:r>
              <w:rPr/>
              <w:delText>ARTICLE VIII - Audit Inspection</w:delText>
              <w:tab/>
              <w:delText>11</w:delText>
            </w:r>
          </w:del>
        </w:p>
        <w:p>
          <w:pPr>
            <w:pStyle w:val="TOC2"/>
            <w:rPr>
              <w:del w:id="168" w:author="Preferred Customer" w:date="1999-06-04T15:23:00Z"/>
            </w:rPr>
          </w:pPr>
          <w:del w:id="167" w:author="Preferred Customer" w:date="1999-06-04T15:23:00Z">
            <w:r>
              <w:rPr/>
              <w:delText>ARTICLE IX - Financial Responsibility</w:delText>
              <w:tab/>
              <w:delText>12</w:delText>
            </w:r>
          </w:del>
        </w:p>
        <w:p>
          <w:pPr>
            <w:pStyle w:val="TOC2"/>
            <w:rPr>
              <w:del w:id="170" w:author="Preferred Customer" w:date="1999-06-04T15:23:00Z"/>
            </w:rPr>
          </w:pPr>
          <w:del w:id="169" w:author="Preferred Customer" w:date="1999-06-04T15:23:00Z">
            <w:r>
              <w:rPr/>
              <w:delText>ARTICLE X - Force Majeure</w:delText>
              <w:tab/>
              <w:delText>12</w:delText>
            </w:r>
          </w:del>
        </w:p>
        <w:p>
          <w:pPr>
            <w:pStyle w:val="TOC2"/>
            <w:rPr>
              <w:del w:id="172" w:author="Preferred Customer" w:date="1999-06-04T15:23:00Z"/>
            </w:rPr>
          </w:pPr>
          <w:del w:id="171" w:author="Preferred Customer" w:date="1999-06-04T15:23:00Z">
            <w:r>
              <w:rPr/>
              <w:delText>ARTICLE XI – Term</w:delText>
              <w:tab/>
              <w:delText>13</w:delText>
            </w:r>
          </w:del>
        </w:p>
        <w:p>
          <w:pPr>
            <w:pStyle w:val="TOC2"/>
            <w:rPr>
              <w:del w:id="174" w:author="Preferred Customer" w:date="1999-06-04T15:23:00Z"/>
            </w:rPr>
          </w:pPr>
          <w:del w:id="173" w:author="Preferred Customer" w:date="1999-06-04T15:23:00Z">
            <w:r>
              <w:rPr/>
              <w:delText>ARTICLE XII - Title</w:delText>
              <w:tab/>
              <w:delText>13</w:delText>
            </w:r>
          </w:del>
        </w:p>
        <w:p>
          <w:pPr>
            <w:pStyle w:val="TOC2"/>
            <w:rPr>
              <w:del w:id="176" w:author="Preferred Customer" w:date="1999-06-04T15:23:00Z"/>
            </w:rPr>
          </w:pPr>
          <w:del w:id="175" w:author="Preferred Customer" w:date="1999-06-04T15:23:00Z">
            <w:r>
              <w:rPr/>
              <w:delText>ARTICLE XIII - Representations and Warranties</w:delText>
              <w:tab/>
              <w:delText>13</w:delText>
            </w:r>
          </w:del>
        </w:p>
        <w:p>
          <w:pPr>
            <w:pStyle w:val="TOC2"/>
            <w:rPr>
              <w:del w:id="178" w:author="Preferred Customer" w:date="1999-06-04T15:23:00Z"/>
            </w:rPr>
          </w:pPr>
          <w:del w:id="177" w:author="Preferred Customer" w:date="1999-06-04T15:23:00Z">
            <w:r>
              <w:rPr/>
              <w:delText>ARTICLE XIV - Events of Default</w:delText>
              <w:tab/>
              <w:delText>15</w:delText>
            </w:r>
          </w:del>
        </w:p>
        <w:p>
          <w:pPr>
            <w:pStyle w:val="TOC2"/>
            <w:rPr>
              <w:del w:id="180" w:author="Preferred Customer" w:date="1999-06-04T15:23:00Z"/>
            </w:rPr>
          </w:pPr>
          <w:del w:id="179" w:author="Preferred Customer" w:date="1999-06-04T15:23:00Z">
            <w:r>
              <w:rPr/>
              <w:delText>ARTICLE XV - Remedies Upon a Default</w:delText>
              <w:tab/>
              <w:delText>16</w:delText>
            </w:r>
          </w:del>
        </w:p>
        <w:p>
          <w:pPr>
            <w:pStyle w:val="TOC2"/>
            <w:rPr>
              <w:del w:id="182" w:author="Preferred Customer" w:date="1999-06-04T15:23:00Z"/>
            </w:rPr>
          </w:pPr>
          <w:del w:id="181" w:author="Preferred Customer" w:date="1999-06-04T15:23:00Z">
            <w:r>
              <w:rPr/>
              <w:delText>ARTICLE XVI - Limitation of Liability</w:delText>
              <w:tab/>
              <w:delText>20</w:delText>
            </w:r>
          </w:del>
        </w:p>
        <w:p>
          <w:pPr>
            <w:pStyle w:val="TOC2"/>
            <w:rPr>
              <w:del w:id="184" w:author="Preferred Customer" w:date="1999-06-04T15:23:00Z"/>
            </w:rPr>
          </w:pPr>
          <w:del w:id="183" w:author="Preferred Customer" w:date="1999-06-04T15:23:00Z">
            <w:r>
              <w:rPr/>
              <w:delText>ARTICLE XVIII – Confidentiality</w:delText>
              <w:tab/>
              <w:delText>21</w:delText>
            </w:r>
          </w:del>
        </w:p>
        <w:p>
          <w:pPr>
            <w:pStyle w:val="TOC2"/>
            <w:rPr>
              <w:del w:id="186" w:author="Preferred Customer" w:date="1999-06-04T15:23:00Z"/>
            </w:rPr>
          </w:pPr>
          <w:del w:id="185" w:author="Preferred Customer" w:date="1999-06-04T15:23:00Z">
            <w:r>
              <w:rPr/>
              <w:delText>ARTICLE XIX - Alternative Dispute Resolution</w:delText>
              <w:tab/>
              <w:delText>22</w:delText>
            </w:r>
          </w:del>
        </w:p>
        <w:p>
          <w:pPr>
            <w:pStyle w:val="TOC2"/>
            <w:rPr>
              <w:del w:id="188" w:author="Preferred Customer" w:date="1999-06-04T15:23:00Z"/>
            </w:rPr>
          </w:pPr>
          <w:del w:id="187" w:author="Preferred Customer" w:date="1999-06-04T15:23:00Z">
            <w:r>
              <w:rPr/>
              <w:delText>ARTICLE XX – Miscellaneous</w:delText>
              <w:tab/>
              <w:delText>22</w:delText>
            </w:r>
          </w:del>
        </w:p>
        <w:p>
          <w:pPr>
            <w:pStyle w:val="TOC3"/>
            <w:tabs>
              <w:tab w:val="clear" w:pos="990"/>
              <w:tab w:val="left" w:pos="1000" w:leader="none"/>
              <w:tab w:val="right" w:pos="10260" w:leader="dot"/>
            </w:tabs>
            <w:rPr>
              <w:del w:id="190" w:author="Preferred Customer" w:date="1999-06-04T15:23:00Z"/>
            </w:rPr>
          </w:pPr>
          <w:del w:id="189" w:author="Preferred Customer" w:date="1999-06-04T15:23:00Z">
            <w:r>
              <w:rPr/>
              <w:delText>20.1</w:delText>
              <w:tab/>
              <w:delText>No Dedication of Facilities</w:delText>
              <w:tab/>
              <w:delText>22</w:delText>
            </w:r>
          </w:del>
        </w:p>
        <w:p>
          <w:pPr>
            <w:pStyle w:val="TOC3"/>
            <w:tabs>
              <w:tab w:val="clear" w:pos="990"/>
              <w:tab w:val="left" w:pos="1000" w:leader="none"/>
              <w:tab w:val="right" w:pos="10260" w:leader="dot"/>
            </w:tabs>
            <w:rPr>
              <w:del w:id="192" w:author="Preferred Customer" w:date="1999-06-04T15:23:00Z"/>
            </w:rPr>
          </w:pPr>
          <w:del w:id="191" w:author="Preferred Customer" w:date="1999-06-04T15:23:00Z">
            <w:r>
              <w:rPr/>
              <w:delText>20.2</w:delText>
              <w:tab/>
              <w:delText>No Retail Services</w:delText>
              <w:tab/>
              <w:delText>22</w:delText>
            </w:r>
          </w:del>
        </w:p>
        <w:p>
          <w:pPr>
            <w:pStyle w:val="TOC3"/>
            <w:tabs>
              <w:tab w:val="clear" w:pos="990"/>
              <w:tab w:val="left" w:pos="1000" w:leader="none"/>
              <w:tab w:val="right" w:pos="10260" w:leader="dot"/>
            </w:tabs>
            <w:rPr>
              <w:del w:id="194" w:author="Preferred Customer" w:date="1999-06-04T15:23:00Z"/>
            </w:rPr>
          </w:pPr>
          <w:del w:id="193" w:author="Preferred Customer" w:date="1999-06-04T15:23:00Z">
            <w:r>
              <w:rPr/>
              <w:delText>20.3</w:delText>
              <w:tab/>
              <w:delText>Severability.</w:delText>
              <w:tab/>
              <w:delText>22</w:delText>
            </w:r>
          </w:del>
        </w:p>
        <w:p>
          <w:pPr>
            <w:pStyle w:val="TOC3"/>
            <w:tabs>
              <w:tab w:val="clear" w:pos="990"/>
              <w:tab w:val="left" w:pos="1000" w:leader="none"/>
              <w:tab w:val="right" w:pos="10260" w:leader="dot"/>
            </w:tabs>
            <w:rPr>
              <w:del w:id="196" w:author="Preferred Customer" w:date="1999-06-04T15:23:00Z"/>
            </w:rPr>
          </w:pPr>
          <w:del w:id="195" w:author="Preferred Customer" w:date="1999-06-04T15:23:00Z">
            <w:r>
              <w:rPr/>
              <w:delText>20.4</w:delText>
              <w:tab/>
              <w:delText>Time is of the Essence.</w:delText>
              <w:tab/>
              <w:delText>23</w:delText>
            </w:r>
          </w:del>
        </w:p>
        <w:p>
          <w:pPr>
            <w:pStyle w:val="TOC3"/>
            <w:tabs>
              <w:tab w:val="clear" w:pos="990"/>
              <w:tab w:val="left" w:pos="1000" w:leader="none"/>
              <w:tab w:val="right" w:pos="10260" w:leader="dot"/>
            </w:tabs>
            <w:rPr>
              <w:del w:id="198" w:author="Preferred Customer" w:date="1999-06-04T15:23:00Z"/>
            </w:rPr>
          </w:pPr>
          <w:del w:id="197" w:author="Preferred Customer" w:date="1999-06-04T15:23:00Z">
            <w:r>
              <w:rPr/>
              <w:delText>20.5</w:delText>
              <w:tab/>
              <w:delText>Modification of Agreement.</w:delText>
              <w:tab/>
              <w:delText>23</w:delText>
            </w:r>
          </w:del>
        </w:p>
        <w:p>
          <w:pPr>
            <w:pStyle w:val="TOC3"/>
            <w:tabs>
              <w:tab w:val="clear" w:pos="990"/>
              <w:tab w:val="left" w:pos="1000" w:leader="none"/>
              <w:tab w:val="right" w:pos="10260" w:leader="dot"/>
            </w:tabs>
            <w:rPr>
              <w:del w:id="200" w:author="Preferred Customer" w:date="1999-06-04T15:23:00Z"/>
            </w:rPr>
          </w:pPr>
          <w:del w:id="199" w:author="Preferred Customer" w:date="1999-06-04T15:23:00Z">
            <w:r>
              <w:rPr/>
              <w:delText>20.6</w:delText>
              <w:tab/>
              <w:delText>Waiver.</w:delText>
              <w:tab/>
              <w:delText>23</w:delText>
            </w:r>
          </w:del>
        </w:p>
        <w:p>
          <w:pPr>
            <w:pStyle w:val="TOC3"/>
            <w:tabs>
              <w:tab w:val="clear" w:pos="990"/>
              <w:tab w:val="left" w:pos="1000" w:leader="none"/>
              <w:tab w:val="right" w:pos="10260" w:leader="dot"/>
            </w:tabs>
            <w:rPr>
              <w:del w:id="202" w:author="Preferred Customer" w:date="1999-06-04T15:23:00Z"/>
            </w:rPr>
          </w:pPr>
          <w:del w:id="201" w:author="Preferred Customer" w:date="1999-06-04T15:23:00Z">
            <w:r>
              <w:rPr/>
              <w:delText>20.7</w:delText>
              <w:tab/>
              <w:delText>Third Party Beneficiaries.</w:delText>
              <w:tab/>
              <w:delText>23</w:delText>
            </w:r>
          </w:del>
        </w:p>
        <w:p>
          <w:pPr>
            <w:pStyle w:val="TOC3"/>
            <w:tabs>
              <w:tab w:val="clear" w:pos="990"/>
              <w:tab w:val="left" w:pos="1000" w:leader="none"/>
              <w:tab w:val="right" w:pos="10260" w:leader="dot"/>
            </w:tabs>
            <w:rPr>
              <w:del w:id="204" w:author="Preferred Customer" w:date="1999-06-04T15:23:00Z"/>
            </w:rPr>
          </w:pPr>
          <w:del w:id="203" w:author="Preferred Customer" w:date="1999-06-04T15:23:00Z">
            <w:r>
              <w:rPr/>
              <w:delText>20.8</w:delText>
              <w:tab/>
              <w:delText>Merger.</w:delText>
              <w:tab/>
              <w:delText>23</w:delText>
            </w:r>
          </w:del>
        </w:p>
        <w:p>
          <w:pPr>
            <w:pStyle w:val="TOC3"/>
            <w:tabs>
              <w:tab w:val="clear" w:pos="990"/>
              <w:tab w:val="left" w:pos="1000" w:leader="none"/>
              <w:tab w:val="right" w:pos="10260" w:leader="dot"/>
            </w:tabs>
            <w:rPr>
              <w:del w:id="206" w:author="Preferred Customer" w:date="1999-06-04T15:23:00Z"/>
            </w:rPr>
          </w:pPr>
          <w:del w:id="205" w:author="Preferred Customer" w:date="1999-06-04T15:23:00Z">
            <w:r>
              <w:rPr/>
              <w:delText>20.9</w:delText>
              <w:tab/>
              <w:delText>Applicable Laws.</w:delText>
              <w:tab/>
              <w:delText>23</w:delText>
            </w:r>
          </w:del>
        </w:p>
        <w:p>
          <w:pPr>
            <w:pStyle w:val="TOC3"/>
            <w:tabs>
              <w:tab w:val="left" w:pos="990" w:leader="none"/>
              <w:tab w:val="left" w:pos="1200" w:leader="none"/>
              <w:tab w:val="right" w:pos="10260" w:leader="dot"/>
            </w:tabs>
            <w:rPr>
              <w:del w:id="208" w:author="Preferred Customer" w:date="1999-06-04T15:23:00Z"/>
            </w:rPr>
          </w:pPr>
          <w:del w:id="207" w:author="Preferred Customer" w:date="1999-06-04T15:23:00Z">
            <w:r>
              <w:rPr/>
              <w:delText>20.10</w:delText>
              <w:tab/>
              <w:delText>Jurisdiction and Governing Law.</w:delText>
              <w:tab/>
              <w:delText>23</w:delText>
            </w:r>
          </w:del>
        </w:p>
        <w:p>
          <w:pPr>
            <w:pStyle w:val="TOC3"/>
            <w:tabs>
              <w:tab w:val="left" w:pos="990" w:leader="none"/>
              <w:tab w:val="left" w:pos="1200" w:leader="none"/>
              <w:tab w:val="right" w:pos="10260" w:leader="dot"/>
            </w:tabs>
            <w:rPr>
              <w:del w:id="210" w:author="Preferred Customer" w:date="1999-06-04T15:23:00Z"/>
            </w:rPr>
          </w:pPr>
          <w:del w:id="209" w:author="Preferred Customer" w:date="1999-06-04T15:23:00Z">
            <w:r>
              <w:rPr/>
              <w:delText>20.11</w:delText>
              <w:tab/>
              <w:delText>Successors and Assigns.</w:delText>
              <w:tab/>
              <w:delText>24</w:delText>
            </w:r>
          </w:del>
        </w:p>
        <w:p>
          <w:pPr>
            <w:pStyle w:val="TOC3"/>
            <w:tabs>
              <w:tab w:val="left" w:pos="990" w:leader="none"/>
              <w:tab w:val="left" w:pos="1200" w:leader="none"/>
              <w:tab w:val="right" w:pos="10260" w:leader="dot"/>
            </w:tabs>
            <w:rPr>
              <w:del w:id="212" w:author="Preferred Customer" w:date="1999-06-04T15:23:00Z"/>
            </w:rPr>
          </w:pPr>
          <w:del w:id="211" w:author="Preferred Customer" w:date="1999-06-04T15:23:00Z">
            <w:r>
              <w:rPr/>
              <w:delText>20.12</w:delText>
              <w:tab/>
              <w:delText>General.</w:delText>
              <w:tab/>
              <w:delText>24</w:delText>
            </w:r>
          </w:del>
        </w:p>
        <w:p>
          <w:pPr>
            <w:pStyle w:val="TOC3"/>
            <w:tabs>
              <w:tab w:val="left" w:pos="990" w:leader="none"/>
              <w:tab w:val="left" w:pos="1200" w:leader="none"/>
              <w:tab w:val="right" w:pos="10260" w:leader="dot"/>
            </w:tabs>
            <w:rPr>
              <w:del w:id="214" w:author="Preferred Customer" w:date="1999-06-04T15:23:00Z"/>
            </w:rPr>
          </w:pPr>
          <w:del w:id="213" w:author="Preferred Customer" w:date="1999-06-04T15:23:00Z">
            <w:r>
              <w:rPr/>
              <w:delText>20.13</w:delText>
              <w:tab/>
              <w:delText>Forward Contract.</w:delText>
              <w:tab/>
              <w:delText>24</w:delText>
            </w:r>
          </w:del>
        </w:p>
        <w:p>
          <w:pPr>
            <w:pStyle w:val="TOC3"/>
            <w:tabs>
              <w:tab w:val="left" w:pos="990" w:leader="none"/>
              <w:tab w:val="left" w:pos="1200" w:leader="none"/>
              <w:tab w:val="right" w:pos="10260" w:leader="dot"/>
            </w:tabs>
            <w:rPr>
              <w:del w:id="216" w:author="Preferred Customer" w:date="1999-06-04T15:23:00Z"/>
            </w:rPr>
          </w:pPr>
          <w:del w:id="215" w:author="Preferred Customer" w:date="1999-06-04T15:23:00Z">
            <w:r>
              <w:rPr/>
              <w:delText>20.14</w:delText>
              <w:tab/>
              <w:delText>Waiver of Sovereign Immunity.</w:delText>
              <w:tab/>
              <w:delText>24</w:delText>
            </w:r>
          </w:del>
        </w:p>
        <w:p>
          <w:pPr>
            <w:pStyle w:val="TOC2"/>
            <w:rPr>
              <w:del w:id="218" w:author="Preferred Customer" w:date="1999-06-04T15:23:00Z"/>
            </w:rPr>
          </w:pPr>
          <w:del w:id="217" w:author="Preferred Customer" w:date="1999-06-04T15:23:00Z">
            <w:r>
              <w:rPr/>
              <w:delText xml:space="preserve">EXHIBIT B - NOTICE AND EFT INFORMATION OF THE </w:delText>
            </w:r>
          </w:del>
        </w:p>
        <w:p>
          <w:pPr>
            <w:pStyle w:val="TOC2"/>
            <w:rPr>
              <w:del w:id="220" w:author="Preferred Customer" w:date="1999-06-04T15:23:00Z"/>
            </w:rPr>
          </w:pPr>
          <w:del w:id="219" w:author="Preferred Customer" w:date="1999-06-04T15:23:00Z">
            <w:r>
              <w:rPr/>
              <w:delText>ERCOT WHOLESALE ELECTRICITY ENABLING AGREEMENT</w:delText>
              <w:tab/>
              <w:delText>26</w:delText>
            </w:r>
          </w:del>
        </w:p>
        <w:p>
          <w:pPr>
            <w:pStyle w:val="TOC2"/>
            <w:rPr>
              <w:del w:id="222" w:author="Preferred Customer" w:date="1999-06-04T15:23:00Z"/>
            </w:rPr>
          </w:pPr>
          <w:del w:id="221" w:author="Preferred Customer" w:date="1999-06-04T15:23:00Z">
            <w:r>
              <w:rPr/>
              <w:delText>EXHIBIT C - CREDIT SUPPORT ANNEX</w:delText>
              <w:tab/>
              <w:delText>28</w:delText>
            </w:r>
          </w:del>
        </w:p>
        <w:p>
          <w:pPr>
            <w:pStyle w:val="TOC1"/>
            <w:rPr/>
          </w:pPr>
          <w:del w:id="223" w:author="Preferred Customer" w:date="1999-06-04T15:23:00Z">
            <w:r>
              <w:rPr/>
              <w:delText>EXHIBIT D - ERCOT ENERGY TRANSACTION CONFIRMATION</w:delText>
              <w:tab/>
              <w:delText>32</w:delText>
            </w:r>
          </w:del>
          <w:r>
            <w:rPr/>
            <w:fldChar w:fldCharType="end"/>
          </w:r>
        </w:p>
      </w:sdtContent>
    </w:sdt>
    <w:p>
      <w:pPr>
        <w:sectPr>
          <w:headerReference w:type="default" r:id="rId4"/>
          <w:headerReference w:type="first" r:id="rId5"/>
          <w:footerReference w:type="default" r:id="rId6"/>
          <w:footerReference w:type="first" r:id="rId7"/>
          <w:type w:val="nextPage"/>
          <w:pgSz w:w="12240" w:h="15840"/>
          <w:pgMar w:left="720" w:right="720" w:gutter="0" w:header="720" w:top="776" w:footer="525" w:bottom="581"/>
          <w:pgNumType w:start="1" w:fmt="lowerRoman"/>
          <w:formProt w:val="false"/>
          <w:textDirection w:val="lrTb"/>
          <w:docGrid w:type="default" w:linePitch="360" w:charSpace="0"/>
        </w:sectPr>
        <w:pStyle w:val="Subheading1"/>
        <w:numPr>
          <w:ilvl w:val="0"/>
          <w:numId w:val="0"/>
        </w:numPr>
        <w:ind w:hanging="0" w:start="900"/>
        <w:rPr/>
      </w:pPr>
      <w:r>
        <w:rPr/>
      </w:r>
    </w:p>
    <w:p>
      <w:pPr>
        <w:pStyle w:val="Heading1"/>
        <w:ind w:hanging="0" w:start="0"/>
        <w:jc w:val="center"/>
        <w:rPr/>
      </w:pPr>
      <w:bookmarkStart w:id="1" w:name="__RefHeading___Toc453144102"/>
      <w:bookmarkEnd w:id="1"/>
      <w:r>
        <w:rPr/>
        <w:t>ERCOT WHOLESALE ELECTRICITY ENABLING AGREEMENT</w:t>
      </w:r>
    </w:p>
    <w:p>
      <w:pPr>
        <w:pStyle w:val="BodyText2"/>
        <w:spacing w:lineRule="auto" w:line="240"/>
        <w:ind w:start="0" w:end="0"/>
        <w:rPr>
          <w:b/>
          <w:sz w:val="28"/>
          <w:u w:val="single"/>
        </w:rPr>
      </w:pPr>
      <w:r>
        <w:rPr>
          <w:b/>
          <w:sz w:val="28"/>
          <w:u w:val="single"/>
        </w:rPr>
      </w:r>
    </w:p>
    <w:p>
      <w:pPr>
        <w:pStyle w:val="BodyText2"/>
        <w:ind w:start="0" w:end="0"/>
        <w:rPr/>
      </w:pPr>
      <w:r>
        <w:rPr>
          <w:b/>
          <w:sz w:val="28"/>
        </w:rPr>
        <w:tab/>
      </w:r>
      <w:r>
        <w:rPr/>
        <w:t>This ERCOT Wholesale Electricity Enabling Agreement (“Agreement”) is made and entered into this ____ day of _________________, ____ between    _________________________________, a ______________ [specify corporation or other applicable designation] (“_______”) and _________________________________, a ______________ [specify corporation or other applicable designation] (“______”)</w:t>
      </w:r>
      <w:del w:id="232" w:author="Margaret Pemberton" w:date="1999-06-04T14:29:00Z">
        <w:r>
          <w:rPr/>
          <w:delText xml:space="preserve"> (each hereinafter referred to individually as “Party” and collectively as “Parties”)</w:delText>
        </w:r>
      </w:del>
      <w:r>
        <w:rPr/>
        <w:t>.   In consideration of the mutual covenants and agreements herein contained, the Parties hereto agree as follows:</w:t>
      </w:r>
    </w:p>
    <w:p>
      <w:pPr>
        <w:pStyle w:val="BodyText2"/>
        <w:numPr>
          <w:ilvl w:val="0"/>
          <w:numId w:val="21"/>
        </w:numPr>
        <w:tabs>
          <w:tab w:val="clear" w:pos="1440"/>
          <w:tab w:val="left" w:pos="1080" w:leader="none"/>
        </w:tabs>
        <w:ind w:firstLine="720" w:start="0" w:end="0"/>
        <w:rPr/>
      </w:pPr>
      <w:r>
        <w:rPr/>
        <w:t>Under this Agreement, the Parties may engage in “Transactions” for the purchase and sale of “Wholesale Electricity” (as those terms are hereinafter defined). It is understood that the execution of this Agreement does not create any obligations on the part of either Party to enter into any Transaction(s).</w:t>
      </w:r>
    </w:p>
    <w:p>
      <w:pPr>
        <w:pStyle w:val="BodyText2"/>
        <w:numPr>
          <w:ilvl w:val="0"/>
          <w:numId w:val="21"/>
        </w:numPr>
        <w:tabs>
          <w:tab w:val="clear" w:pos="1440"/>
          <w:tab w:val="left" w:pos="1080" w:leader="none"/>
        </w:tabs>
        <w:ind w:hanging="360" w:start="1080" w:end="0"/>
        <w:rPr/>
      </w:pPr>
      <w:r>
        <w:rPr/>
        <w:t>Transactions the Parties enter into under this Agreement will be subject to the following:</w:t>
      </w:r>
    </w:p>
    <w:p>
      <w:pPr>
        <w:pStyle w:val="BodyText2"/>
        <w:numPr>
          <w:ilvl w:val="0"/>
          <w:numId w:val="8"/>
        </w:numPr>
        <w:tabs>
          <w:tab w:val="clear" w:pos="1440"/>
          <w:tab w:val="left" w:pos="1800" w:leader="none"/>
        </w:tabs>
        <w:ind w:firstLine="1440" w:start="0" w:end="0"/>
        <w:rPr/>
      </w:pPr>
      <w:r>
        <w:rPr/>
        <w:t xml:space="preserve">The “Terms and Conditions of the ERCOT Wholesale Electricity Enabling Agreement” attached hereto as Exhibit A and incorporated herein; </w:t>
      </w:r>
    </w:p>
    <w:p>
      <w:pPr>
        <w:pStyle w:val="BodyText2"/>
        <w:numPr>
          <w:ilvl w:val="0"/>
          <w:numId w:val="8"/>
        </w:numPr>
        <w:tabs>
          <w:tab w:val="clear" w:pos="1440"/>
          <w:tab w:val="left" w:pos="1800" w:leader="none"/>
        </w:tabs>
        <w:ind w:firstLine="1440" w:start="0" w:end="0"/>
        <w:rPr/>
      </w:pPr>
      <w:r>
        <w:rPr/>
        <w:t>The ERCOT Guides (unless expressly stated herein, where the ERCOT Guides are in conflict with this Agreement, the ERCOT Guides shall prevail);</w:t>
      </w:r>
    </w:p>
    <w:p>
      <w:pPr>
        <w:pStyle w:val="BodyText2"/>
        <w:numPr>
          <w:ilvl w:val="0"/>
          <w:numId w:val="8"/>
        </w:numPr>
        <w:tabs>
          <w:tab w:val="clear" w:pos="1440"/>
          <w:tab w:val="left" w:pos="1800" w:leader="none"/>
        </w:tabs>
        <w:ind w:hanging="360" w:start="1800" w:end="0"/>
        <w:rPr/>
      </w:pPr>
      <w:r>
        <w:rPr/>
        <w:t xml:space="preserve">The Notice </w:t>
      </w:r>
      <w:ins w:id="233" w:author="Margaret Pemberton" w:date="1999-06-04T14:29:00Z">
        <w:r>
          <w:rPr/>
          <w:t xml:space="preserve">and EFT Information </w:t>
        </w:r>
      </w:ins>
      <w:r>
        <w:rPr/>
        <w:t xml:space="preserve">Requirements attached hereto as Exhibit “B”; </w:t>
      </w:r>
    </w:p>
    <w:p>
      <w:pPr>
        <w:pStyle w:val="BodyText2"/>
        <w:numPr>
          <w:ilvl w:val="0"/>
          <w:numId w:val="8"/>
        </w:numPr>
        <w:tabs>
          <w:tab w:val="clear" w:pos="1440"/>
          <w:tab w:val="left" w:pos="1800" w:leader="none"/>
        </w:tabs>
        <w:ind w:hanging="360" w:start="1800" w:end="0"/>
        <w:rPr/>
      </w:pPr>
      <w:ins w:id="234" w:author="Margaret Pemberton" w:date="1999-06-04T14:40:00Z">
        <w:r>
          <w:rPr/>
          <w:t>Any</w:t>
        </w:r>
      </w:ins>
      <w:del w:id="235" w:author="Margaret Pemberton" w:date="1999-06-04T14:41:00Z">
        <w:r>
          <w:rPr/>
          <w:delText>The</w:delText>
        </w:r>
      </w:del>
      <w:r>
        <w:rPr/>
        <w:t xml:space="preserve"> </w:t>
      </w:r>
      <w:ins w:id="236" w:author="Margaret Pemberton" w:date="1999-06-04T14:41:00Z">
        <w:r>
          <w:rPr/>
          <w:t xml:space="preserve">credit agreement which may be </w:t>
        </w:r>
      </w:ins>
      <w:del w:id="237" w:author="Margaret Pemberton" w:date="1999-06-04T14:41:00Z">
        <w:r>
          <w:rPr/>
          <w:delText xml:space="preserve">Credit Annex </w:delText>
        </w:r>
      </w:del>
      <w:r>
        <w:rPr/>
        <w:t xml:space="preserve">attached as Exhibit “C”, if any; </w:t>
      </w:r>
    </w:p>
    <w:p>
      <w:pPr>
        <w:pStyle w:val="BodyText2"/>
        <w:numPr>
          <w:ilvl w:val="0"/>
          <w:numId w:val="8"/>
        </w:numPr>
        <w:tabs>
          <w:tab w:val="clear" w:pos="1440"/>
          <w:tab w:val="left" w:pos="1800" w:leader="none"/>
        </w:tabs>
        <w:ind w:firstLine="1440" w:start="0" w:end="0"/>
        <w:rPr/>
      </w:pPr>
      <w:r>
        <w:rPr/>
        <w:t xml:space="preserve">Such other terms and conditions as may be specified in the “Transaction Confirmation(s)” </w:t>
      </w:r>
      <w:ins w:id="238" w:author="Margaret Pemberton" w:date="1999-06-04T14:30:00Z">
        <w:r>
          <w:rPr/>
          <w:t>(as hereinafter defined)</w:t>
        </w:r>
      </w:ins>
      <w:ins w:id="239" w:author="Margaret Pemberton" w:date="1999-06-04T14:43:00Z">
        <w:r>
          <w:rPr/>
          <w:t xml:space="preserve">, if any, </w:t>
        </w:r>
      </w:ins>
      <w:r>
        <w:rPr/>
        <w:t xml:space="preserve">which </w:t>
      </w:r>
      <w:ins w:id="240" w:author="Margaret Pemberton" w:date="1999-06-04T14:43:00Z">
        <w:r>
          <w:rPr/>
          <w:t>is</w:t>
        </w:r>
      </w:ins>
      <w:del w:id="241" w:author="Margaret Pemberton" w:date="1999-06-04T14:43:00Z">
        <w:r>
          <w:rPr/>
          <w:delText>must be</w:delText>
        </w:r>
      </w:del>
      <w:r>
        <w:rPr/>
        <w:t xml:space="preserve"> completed in a form similar to the form attached hereto as Exhibit “D” and</w:t>
      </w:r>
    </w:p>
    <w:p>
      <w:pPr>
        <w:pStyle w:val="BodyText2"/>
        <w:numPr>
          <w:ilvl w:val="0"/>
          <w:numId w:val="8"/>
        </w:numPr>
        <w:tabs>
          <w:tab w:val="clear" w:pos="1440"/>
          <w:tab w:val="left" w:pos="1800" w:leader="none"/>
        </w:tabs>
        <w:ind w:firstLine="1440" w:start="0" w:end="0"/>
        <w:rPr/>
      </w:pPr>
      <w:r>
        <w:rPr/>
        <w:t>Such modification(s) to this Agreement or special provisions as described in the attached Exhibit “E”, if any.</w:t>
      </w:r>
    </w:p>
    <w:p>
      <w:pPr>
        <w:pStyle w:val="BodyText2"/>
        <w:numPr>
          <w:ilvl w:val="0"/>
          <w:numId w:val="21"/>
        </w:numPr>
        <w:tabs>
          <w:tab w:val="clear" w:pos="1440"/>
          <w:tab w:val="left" w:pos="1080" w:leader="none"/>
        </w:tabs>
        <w:ind w:firstLine="720" w:start="0" w:end="0"/>
        <w:rPr/>
      </w:pPr>
      <w:r>
        <w:rPr/>
        <w:t>In entering into this Agreement, the Parties agree and are acting in reliance upon the understanding that all Transactions, together with this Agreement, shall constitute a single integrated agreement, and that the Parties would not otherwise enter into any Transaction(s).  Unless expressly agreed and stated otherwise, this Agreement shall govern all outstanding and future Transactions that are not governed by a separately executed Agreement between the Parties.</w:t>
        <w:tab/>
      </w:r>
    </w:p>
    <w:p>
      <w:pPr>
        <w:pStyle w:val="BodyText2"/>
        <w:ind w:firstLine="720" w:start="0" w:end="0"/>
        <w:rPr/>
      </w:pPr>
      <w:r>
        <w:rPr/>
        <w:t>IN WITNESS WHEREOF, the Parties have executed this Agreement in duplicate originals, each of which shall constitute and be an original effective Agreement between the Parties.</w:t>
      </w:r>
    </w:p>
    <w:p>
      <w:pPr>
        <w:pStyle w:val="BodyText2"/>
        <w:ind w:start="0" w:end="0"/>
        <w:rPr/>
      </w:pPr>
      <w:r>
        <w:rPr>
          <w:u w:val="single"/>
        </w:rPr>
        <w:t xml:space="preserve">       </w:t>
      </w:r>
      <w:r>
        <w:rPr>
          <w:u w:val="single"/>
        </w:rPr>
        <w:t xml:space="preserve">[name]                                        </w:t>
      </w:r>
      <w:r>
        <w:rPr/>
        <w:t>:</w:t>
        <w:tab/>
        <w:tab/>
      </w:r>
      <w:r>
        <w:rPr>
          <w:u w:val="single"/>
        </w:rPr>
        <w:t xml:space="preserve">          [name]                                     </w:t>
      </w:r>
      <w:r>
        <w:rPr/>
        <w:t>:</w:t>
      </w:r>
    </w:p>
    <w:p>
      <w:pPr>
        <w:pStyle w:val="BodyText2"/>
        <w:ind w:start="0" w:end="0"/>
        <w:rPr/>
      </w:pPr>
      <w:r>
        <w:rPr/>
        <w:t xml:space="preserve">_____________________________      </w:t>
        <w:tab/>
        <w:tab/>
        <w:t>_____________________________</w:t>
      </w:r>
    </w:p>
    <w:p>
      <w:pPr>
        <w:pStyle w:val="BodyText2"/>
        <w:ind w:start="0" w:end="0"/>
        <w:rPr>
          <w:u w:val="single"/>
        </w:rPr>
      </w:pPr>
      <w:r>
        <w:rPr/>
        <w:t>By: _________________________</w:t>
        <w:tab/>
        <w:tab/>
        <w:t>By: _________________________</w:t>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right" w:pos="8640" w:leader="none"/>
        </w:tabs>
        <w:spacing w:lineRule="auto" w:line="240"/>
        <w:ind w:start="0" w:end="0"/>
        <w:rPr/>
      </w:pPr>
      <w:r>
        <w:rPr/>
        <w:t xml:space="preserve">Title:   </w:t>
      </w:r>
      <w:r>
        <w:rPr>
          <w:u w:val="single"/>
        </w:rPr>
        <w:tab/>
      </w:r>
      <w:r>
        <w:rPr/>
        <w:t>______________________</w:t>
        <w:tab/>
        <w:tab/>
        <w:tab/>
        <w:tab/>
        <w:tab/>
        <w:t>Title:</w:t>
        <w:tab/>
        <w:t>______________________</w:t>
        <w:tab/>
      </w:r>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220" w:leader="none"/>
          <w:tab w:val="left" w:pos="5400" w:leader="none"/>
          <w:tab w:val="left" w:pos="5760" w:leader="none"/>
          <w:tab w:val="left" w:pos="6480" w:leader="none"/>
          <w:tab w:val="left" w:pos="7200" w:leader="none"/>
          <w:tab w:val="left" w:pos="7920" w:leader="none"/>
          <w:tab w:val="right" w:pos="8595" w:leader="none"/>
        </w:tabs>
        <w:spacing w:lineRule="auto" w:line="240"/>
        <w:ind w:start="0" w:end="0"/>
        <w:rPr>
          <w:ins w:id="243" w:author="Margaret Pemberton" w:date="1999-06-04T14:43:00Z"/>
        </w:rPr>
      </w:pPr>
      <w:ins w:id="242" w:author="Margaret Pemberton" w:date="1999-06-04T14:43:00Z">
        <w:r>
          <w:rPr/>
        </w:r>
      </w:ins>
    </w:p>
    <w:p>
      <w:pPr>
        <w:pStyle w:val="BodyText2"/>
        <w:tabs>
          <w:tab w:val="left" w:pos="540" w:leader="none"/>
          <w:tab w:val="left" w:pos="720" w:leader="none"/>
          <w:tab w:val="left" w:pos="1440" w:leader="none"/>
          <w:tab w:val="left" w:pos="2160" w:leader="none"/>
          <w:tab w:val="left" w:pos="2880" w:leader="none"/>
          <w:tab w:val="left" w:pos="3600" w:leader="none"/>
          <w:tab w:val="left" w:pos="4320" w:leader="none"/>
          <w:tab w:val="left" w:pos="5220" w:leader="none"/>
          <w:tab w:val="left" w:pos="5400" w:leader="none"/>
          <w:tab w:val="left" w:pos="5760" w:leader="none"/>
          <w:tab w:val="left" w:pos="6480" w:leader="none"/>
          <w:tab w:val="left" w:pos="7200" w:leader="none"/>
          <w:tab w:val="left" w:pos="7920" w:leader="none"/>
          <w:tab w:val="right" w:pos="8595" w:leader="none"/>
        </w:tabs>
        <w:spacing w:lineRule="auto" w:line="240"/>
        <w:ind w:start="0" w:end="0"/>
        <w:rPr/>
      </w:pPr>
      <w:ins w:id="244" w:author="Margaret Pemberton" w:date="1999-06-04T14:43:00Z">
        <w:r>
          <w:rPr/>
          <w:t>Date:</w:t>
          <w:tab/>
          <w:tab/>
        </w:r>
      </w:ins>
      <w:ins w:id="245" w:author="Margaret Pemberton" w:date="1999-06-04T14:43:00Z">
        <w:r>
          <w:rPr>
            <w:u w:val="single"/>
          </w:rPr>
          <w:tab/>
          <w:tab/>
          <w:tab/>
        </w:r>
      </w:ins>
      <w:r>
        <w:rPr/>
        <w:tab/>
        <w:tab/>
        <w:tab/>
        <w:tab/>
      </w:r>
      <w:ins w:id="246" w:author="Margaret Pemberton" w:date="1999-06-04T14:43:00Z">
        <w:r>
          <w:rPr/>
          <w:tab/>
          <w:t>Date:</w:t>
          <w:tab/>
        </w:r>
      </w:ins>
      <w:ins w:id="247" w:author="Margaret Pemberton" w:date="1999-06-04T14:43:00Z">
        <w:r>
          <w:rPr>
            <w:u w:val="single"/>
          </w:rPr>
          <w:tab/>
          <w:tab/>
          <w:tab/>
          <w:tab/>
        </w:r>
      </w:ins>
      <w:r>
        <w:rPr/>
        <w:tab/>
      </w:r>
    </w:p>
    <w:p>
      <w:pPr>
        <w:pStyle w:val="BodyText2"/>
        <w:spacing w:lineRule="auto" w:line="240"/>
        <w:ind w:start="0" w:end="0"/>
        <w:rPr/>
      </w:pPr>
      <w:r>
        <w:rPr/>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1" w:fmt="decimal"/>
          <w:formProt w:val="false"/>
          <w:textDirection w:val="lrTb"/>
          <w:docGrid w:type="default" w:linePitch="360" w:charSpace="0"/>
        </w:sectPr>
        <w:pStyle w:val="BodyText2"/>
        <w:spacing w:lineRule="auto" w:line="240"/>
        <w:ind w:start="0" w:end="0"/>
        <w:rPr/>
      </w:pPr>
      <w:r>
        <w:rPr/>
        <w:tab/>
      </w:r>
    </w:p>
    <w:p>
      <w:pPr>
        <w:pStyle w:val="Heading1"/>
        <w:ind w:hanging="0" w:start="0"/>
        <w:jc w:val="center"/>
        <w:rPr>
          <w:u w:val="single"/>
        </w:rPr>
      </w:pPr>
      <w:bookmarkStart w:id="2" w:name="__RefHeading___Toc453144103"/>
      <w:bookmarkEnd w:id="2"/>
      <w:r>
        <w:rPr/>
        <w:t>EXHIBIT A - TERMS AND CONDITIONS OF THE ERCOT WHOLESALE ELECTRICITY ENABLING AGREEMENT</w:t>
      </w:r>
    </w:p>
    <w:p>
      <w:pPr>
        <w:pStyle w:val="Subheading1"/>
        <w:rPr>
          <w:u w:val="single"/>
        </w:rPr>
      </w:pPr>
      <w:r>
        <w:rPr>
          <w:u w:val="single"/>
        </w:rPr>
      </w:r>
    </w:p>
    <w:p>
      <w:pPr>
        <w:pStyle w:val="BodyText2"/>
        <w:ind w:firstLine="720" w:start="0" w:end="0"/>
        <w:jc w:val="start"/>
        <w:rPr/>
      </w:pPr>
      <w:r>
        <w:rPr/>
        <w:t>The following terms and conditions apply to Transactions undertaken pursuant to this Agreement:</w:t>
      </w:r>
    </w:p>
    <w:p>
      <w:pPr>
        <w:pStyle w:val="Subheading1"/>
        <w:rPr/>
      </w:pPr>
      <w:bookmarkStart w:id="3" w:name="__RefHeading___Toc453144104"/>
      <w:bookmarkEnd w:id="3"/>
      <w:r>
        <w:rPr/>
        <w:t xml:space="preserve">ARTICLE </w:t>
      </w:r>
      <w:del w:id="248" w:author="Preferred Customer" w:date="1999-06-04T15:14:00Z">
        <w:r>
          <w:rPr/>
          <w:delText>I</w:delText>
        </w:r>
      </w:del>
      <w:ins w:id="249" w:author="Preferred Customer" w:date="1999-06-04T15:15:00Z">
        <w:r>
          <w:rPr/>
          <w:t>1</w:t>
        </w:r>
      </w:ins>
      <w:r>
        <w:rPr/>
        <w:t xml:space="preserve"> – Recitals</w:t>
      </w:r>
    </w:p>
    <w:p>
      <w:pPr>
        <w:pStyle w:val="Subheading1"/>
        <w:rPr/>
      </w:pPr>
      <w:r>
        <w:rPr/>
      </w:r>
    </w:p>
    <w:p>
      <w:pPr>
        <w:pStyle w:val="BodyText2"/>
        <w:numPr>
          <w:ilvl w:val="1"/>
          <w:numId w:val="15"/>
        </w:numPr>
        <w:ind w:firstLine="720" w:start="0" w:end="0"/>
        <w:rPr/>
      </w:pPr>
      <w:r>
        <w:rPr>
          <w:spacing w:val="6"/>
        </w:rPr>
        <w:t xml:space="preserve">This Agreement is for the purchase and sale of “Wholesale Electricity” in ERCOT.   </w:t>
      </w:r>
      <w:r>
        <w:rPr/>
        <w:t>Transactions subject to this Agreement are more fully defined in the ERCOT Guides and in the individual Transaction Confirmations, all of which are incorporated herein by reference.</w:t>
        <w:tab/>
        <w:t xml:space="preserve">  </w:t>
      </w:r>
    </w:p>
    <w:p>
      <w:pPr>
        <w:pStyle w:val="Subheading1"/>
        <w:rPr/>
      </w:pPr>
      <w:bookmarkStart w:id="4" w:name="__RefHeading___Toc453144105"/>
      <w:bookmarkEnd w:id="4"/>
      <w:r>
        <w:rPr/>
        <w:t xml:space="preserve">ARTICLE </w:t>
      </w:r>
      <w:ins w:id="250" w:author="Preferred Customer" w:date="1999-06-04T15:15:00Z">
        <w:r>
          <w:rPr/>
          <w:t>2</w:t>
        </w:r>
      </w:ins>
      <w:del w:id="251" w:author="Preferred Customer" w:date="1999-06-04T15:15:00Z">
        <w:r>
          <w:rPr/>
          <w:delText>II</w:delText>
        </w:r>
      </w:del>
      <w:r>
        <w:rPr/>
        <w:t xml:space="preserve"> – Definitions</w:t>
      </w:r>
    </w:p>
    <w:p>
      <w:pPr>
        <w:pStyle w:val="Subheading1"/>
        <w:rPr/>
      </w:pPr>
      <w:r>
        <w:rPr/>
      </w:r>
    </w:p>
    <w:p>
      <w:pPr>
        <w:pStyle w:val="BodyText2"/>
        <w:ind w:firstLine="720" w:start="0" w:end="0"/>
        <w:rPr>
          <w:b/>
        </w:rPr>
      </w:pPr>
      <w:r>
        <w:rPr/>
        <w:t xml:space="preserve">Capitalized terms shall have the meanings set forth below.  Where the following definitions are in conflict with the ERCOT Guides, the ERCOT Guides shall prevail. </w:t>
      </w:r>
    </w:p>
    <w:p>
      <w:pPr>
        <w:pStyle w:val="BodyText2"/>
        <w:numPr>
          <w:ilvl w:val="1"/>
          <w:numId w:val="3"/>
        </w:numPr>
        <w:ind w:firstLine="720" w:start="0" w:end="0"/>
        <w:rPr/>
      </w:pPr>
      <w:r>
        <w:rPr>
          <w:b/>
        </w:rPr>
        <w:t>“</w:t>
      </w:r>
      <w:r>
        <w:rPr>
          <w:b/>
        </w:rPr>
        <w:t>Agreement”</w:t>
      </w:r>
      <w:r>
        <w:rPr/>
        <w:t xml:space="preserve"> means the ERCOT Wholesale Electricity Enabling Agreement including Exhibit “A”, “B” “C” if applicable, “D” in substantially similar form and “E”, if any.</w:t>
      </w:r>
    </w:p>
    <w:p>
      <w:pPr>
        <w:pStyle w:val="BodyText2"/>
        <w:numPr>
          <w:ilvl w:val="1"/>
          <w:numId w:val="3"/>
        </w:numPr>
        <w:ind w:firstLine="720" w:start="0" w:end="0"/>
        <w:rPr/>
      </w:pPr>
      <w:r>
        <w:rPr/>
        <w:t>“</w:t>
      </w:r>
      <w:r>
        <w:rPr>
          <w:b/>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power, whether by contract or through the ownership of capital stock or equity interests or otherwise, to elect a majority of such other Person’s board of directors or similar governing body or to direct or cause the direction of the management and policies of such Person.</w:t>
      </w:r>
    </w:p>
    <w:p>
      <w:pPr>
        <w:pStyle w:val="BodyText2"/>
        <w:numPr>
          <w:ilvl w:val="1"/>
          <w:numId w:val="3"/>
        </w:numPr>
        <w:rPr/>
      </w:pPr>
      <w:r>
        <w:rPr/>
        <w:t>“</w:t>
      </w:r>
      <w:r>
        <w:rPr>
          <w:b/>
        </w:rPr>
        <w:t>ATC Zone</w:t>
      </w:r>
      <w:r>
        <w:rPr/>
        <w:t>” is the Available Transfer Capability Zone as defined by the ERCOT Guides.</w:t>
      </w:r>
    </w:p>
    <w:p>
      <w:pPr>
        <w:pStyle w:val="BodyText2"/>
        <w:numPr>
          <w:ilvl w:val="1"/>
          <w:numId w:val="3"/>
        </w:numPr>
        <w:ind w:firstLine="720" w:start="0" w:end="0"/>
        <w:rPr/>
      </w:pPr>
      <w:r>
        <w:rPr>
          <w:b/>
        </w:rPr>
        <w:t>“</w:t>
      </w:r>
      <w:r>
        <w:rPr>
          <w:b/>
        </w:rPr>
        <w:t>Bankruptcy Proceeding”</w:t>
      </w:r>
      <w:r>
        <w:rPr/>
        <w:t xml:space="preserve"> means with respect to a Party, when such Party (i) files a petition or otherwise commences a proceeding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BodyText2"/>
        <w:numPr>
          <w:ilvl w:val="1"/>
          <w:numId w:val="3"/>
        </w:numPr>
        <w:ind w:firstLine="720" w:start="0" w:end="0"/>
        <w:rPr/>
      </w:pPr>
      <w:r>
        <w:rPr/>
        <w:t>“</w:t>
      </w:r>
      <w:r>
        <w:rPr>
          <w:b/>
        </w:rPr>
        <w:t>Broker</w:t>
      </w:r>
      <w:r>
        <w:rPr/>
        <w:t>” means a Person who facilitates Transactions between the Parties under this Agreement.</w:t>
      </w:r>
    </w:p>
    <w:p>
      <w:pPr>
        <w:pStyle w:val="BodyText2"/>
        <w:numPr>
          <w:ilvl w:val="1"/>
          <w:numId w:val="3"/>
        </w:numPr>
        <w:ind w:firstLine="720" w:start="0" w:end="0"/>
        <w:rPr/>
      </w:pPr>
      <w:r>
        <w:rPr/>
        <w:t>“</w:t>
      </w:r>
      <w:r>
        <w:rPr>
          <w:b/>
        </w:rPr>
        <w:t>Business Day</w:t>
      </w:r>
      <w:r>
        <w:rPr/>
        <w:t>” means any day other than a Saturday, Sunday or Federal Reserve Bank Holiday.</w:t>
      </w:r>
    </w:p>
    <w:p>
      <w:pPr>
        <w:pStyle w:val="BodyText2"/>
        <w:numPr>
          <w:ilvl w:val="1"/>
          <w:numId w:val="3"/>
        </w:numPr>
        <w:ind w:firstLine="720" w:start="0" w:end="0"/>
        <w:rPr/>
      </w:pPr>
      <w:r>
        <w:rPr/>
        <w:t>“</w:t>
      </w:r>
      <w:r>
        <w:rPr>
          <w:b/>
        </w:rPr>
        <w:t>Buyer</w:t>
      </w:r>
      <w:r>
        <w:rPr/>
        <w:t>” means the Party to a Transaction that is obligated to purchase Wholesale Electricity.</w:t>
      </w:r>
    </w:p>
    <w:p>
      <w:pPr>
        <w:pStyle w:val="BodyText2"/>
        <w:numPr>
          <w:ilvl w:val="1"/>
          <w:numId w:val="3"/>
        </w:numPr>
        <w:ind w:firstLine="720" w:start="0" w:end="0"/>
        <w:rPr/>
      </w:pPr>
      <w:r>
        <w:rPr/>
        <w:t>“</w:t>
      </w:r>
      <w:r>
        <w:rPr>
          <w:b/>
        </w:rPr>
        <w:t>Contract Price</w:t>
      </w:r>
      <w:r>
        <w:rPr/>
        <w:t>” means the agreed price for the purchase and sale of Wholesale Electricity in a Transaction.</w:t>
      </w:r>
    </w:p>
    <w:p>
      <w:pPr>
        <w:pStyle w:val="BodyText2"/>
        <w:numPr>
          <w:ilvl w:val="1"/>
          <w:numId w:val="3"/>
        </w:numPr>
        <w:ind w:firstLine="720" w:start="0" w:end="0"/>
        <w:rPr/>
      </w:pPr>
      <w:r>
        <w:rPr/>
        <w:t>“</w:t>
      </w:r>
      <w:r>
        <w:rPr>
          <w:b/>
        </w:rPr>
        <w:t>Contract Quantity</w:t>
      </w:r>
      <w:r>
        <w:rPr/>
        <w:t>” means that total quantity of Wholesale Electricity that Seller agrees to sell to Buyer and Buyer agrees to purchase from Seller in a Transaction as expressed in MWH.</w:t>
      </w:r>
    </w:p>
    <w:p>
      <w:pPr>
        <w:pStyle w:val="BodyText2"/>
        <w:numPr>
          <w:ilvl w:val="1"/>
          <w:numId w:val="3"/>
        </w:numPr>
        <w:ind w:firstLine="720" w:start="0" w:end="0"/>
        <w:rPr/>
      </w:pPr>
      <w:r>
        <w:rPr/>
        <w:t>“</w:t>
      </w:r>
      <w:r>
        <w:rPr>
          <w:b/>
        </w:rPr>
        <w:t>Control Area</w:t>
      </w:r>
      <w:r>
        <w:rPr/>
        <w:t>” has the meaning set forth in the ERCOT Guides.</w:t>
      </w:r>
    </w:p>
    <w:p>
      <w:pPr>
        <w:pStyle w:val="BodyText2"/>
        <w:numPr>
          <w:ilvl w:val="1"/>
          <w:numId w:val="3"/>
        </w:numPr>
        <w:ind w:firstLine="720" w:start="0" w:end="0"/>
        <w:rPr/>
      </w:pPr>
      <w:r>
        <w:rPr/>
        <w:t>“</w:t>
      </w:r>
      <w:r>
        <w:rPr>
          <w:b/>
        </w:rPr>
        <w:t>CPT</w:t>
      </w:r>
      <w:r>
        <w:rPr/>
        <w:t>” means Central prevailing time.</w:t>
      </w:r>
    </w:p>
    <w:p>
      <w:pPr>
        <w:pStyle w:val="BodyText2"/>
        <w:numPr>
          <w:ilvl w:val="1"/>
          <w:numId w:val="3"/>
        </w:numPr>
        <w:ind w:firstLine="720" w:start="0" w:end="0"/>
        <w:rPr/>
      </w:pPr>
      <w:r>
        <w:rPr/>
        <w:t>“</w:t>
      </w:r>
      <w:r>
        <w:rPr>
          <w:b/>
        </w:rPr>
        <w:t>Day</w:t>
      </w:r>
      <w:r>
        <w:rPr/>
        <w:t>” means the twenty-four (24) hour period commencing at 00:00 midnight (CPT), on a calendar day and ending at 00:00 (CPT) on the following day.</w:t>
      </w:r>
    </w:p>
    <w:p>
      <w:pPr>
        <w:pStyle w:val="BodyText2"/>
        <w:numPr>
          <w:ilvl w:val="1"/>
          <w:numId w:val="3"/>
        </w:numPr>
        <w:ind w:firstLine="720" w:start="0" w:end="0"/>
        <w:rPr/>
      </w:pPr>
      <w:r>
        <w:rPr/>
        <w:t>“</w:t>
      </w:r>
      <w:r>
        <w:rPr>
          <w:b/>
        </w:rPr>
        <w:t>Delivery Point</w:t>
      </w:r>
      <w:r>
        <w:rPr/>
        <w:t>” means the point at which Seller shall deliver and Buyer shall accept and receive Wholesale Electricity pursuant to the terms of a Transaction.</w:t>
      </w:r>
    </w:p>
    <w:p>
      <w:pPr>
        <w:pStyle w:val="BodyText2"/>
        <w:numPr>
          <w:ilvl w:val="1"/>
          <w:numId w:val="3"/>
        </w:numPr>
        <w:ind w:firstLine="720" w:start="0" w:end="0"/>
        <w:rPr/>
      </w:pPr>
      <w:r>
        <w:rPr>
          <w:b/>
        </w:rPr>
        <w:t>“</w:t>
      </w:r>
      <w:r>
        <w:rPr>
          <w:b/>
        </w:rPr>
        <w:t>Delivery Rate”</w:t>
      </w:r>
      <w:r>
        <w:rPr/>
        <w:t xml:space="preserve"> means the scheduled amount of Wholesale Electricity expressed in a MWH/H (MW).</w:t>
      </w:r>
    </w:p>
    <w:p>
      <w:pPr>
        <w:pStyle w:val="BodyText2"/>
        <w:numPr>
          <w:ilvl w:val="1"/>
          <w:numId w:val="3"/>
        </w:numPr>
        <w:ind w:firstLine="720" w:start="0" w:end="0"/>
        <w:rPr/>
      </w:pPr>
      <w:r>
        <w:rPr>
          <w:b/>
        </w:rPr>
        <w:t>“</w:t>
      </w:r>
      <w:r>
        <w:rPr>
          <w:b/>
        </w:rPr>
        <w:t>ERCOT”</w:t>
      </w:r>
      <w:r>
        <w:rPr/>
        <w:t xml:space="preserve"> means the Electric Reliability Council of Texas.</w:t>
      </w:r>
    </w:p>
    <w:p>
      <w:pPr>
        <w:pStyle w:val="BodyText2"/>
        <w:numPr>
          <w:ilvl w:val="1"/>
          <w:numId w:val="3"/>
        </w:numPr>
        <w:ind w:firstLine="720" w:start="0" w:end="0"/>
        <w:rPr/>
      </w:pPr>
      <w:r>
        <w:rPr/>
        <w:t>“</w:t>
      </w:r>
      <w:r>
        <w:rPr>
          <w:b/>
        </w:rPr>
        <w:t>ERCOT Guides</w:t>
      </w:r>
      <w:r>
        <w:rPr/>
        <w:t>” means the ERCOT Operating Guides, Market Guides, Transaction Guides, ISO procedures and any successor thereto.</w:t>
      </w:r>
    </w:p>
    <w:p>
      <w:pPr>
        <w:pStyle w:val="BodyText2"/>
        <w:numPr>
          <w:ilvl w:val="1"/>
          <w:numId w:val="3"/>
        </w:numPr>
        <w:ind w:firstLine="720" w:start="0" w:end="0"/>
        <w:rPr/>
      </w:pPr>
      <w:r>
        <w:rPr/>
        <w:t>“</w:t>
      </w:r>
      <w:r>
        <w:rPr>
          <w:b/>
        </w:rPr>
        <w:t>FERC</w:t>
      </w:r>
      <w:r>
        <w:rPr/>
        <w:t>” means the Federal Energy Regulatory Commission or its successor.</w:t>
      </w:r>
    </w:p>
    <w:p>
      <w:pPr>
        <w:pStyle w:val="BodyText2"/>
        <w:numPr>
          <w:ilvl w:val="1"/>
          <w:numId w:val="3"/>
        </w:numPr>
        <w:ind w:firstLine="720" w:start="0" w:end="0"/>
        <w:rPr/>
      </w:pPr>
      <w:r>
        <w:rPr/>
        <w:t>“</w:t>
      </w:r>
      <w:r>
        <w:rPr>
          <w:b/>
        </w:rPr>
        <w:t>Force Majeure</w:t>
      </w:r>
      <w:r>
        <w:rPr/>
        <w:t>” means an event as described in Article 10 herein.</w:t>
      </w:r>
    </w:p>
    <w:p>
      <w:pPr>
        <w:pStyle w:val="BodyText2"/>
        <w:numPr>
          <w:ilvl w:val="1"/>
          <w:numId w:val="3"/>
        </w:numPr>
        <w:ind w:firstLine="720" w:start="0" w:end="0"/>
        <w:rPr/>
      </w:pPr>
      <w:r>
        <w:rPr/>
        <w:t>“</w:t>
      </w:r>
      <w:r>
        <w:rPr>
          <w:b/>
        </w:rPr>
        <w:t>Interest Rate</w:t>
      </w:r>
      <w:r>
        <w:rPr/>
        <w:t xml:space="preserve">” means a rate equal to the </w:t>
      </w:r>
      <w:ins w:id="252" w:author="Margaret Pemberton" w:date="1999-06-04T14:44:00Z">
        <w:r>
          <w:rPr/>
          <w:t>p</w:t>
        </w:r>
      </w:ins>
      <w:del w:id="253" w:author="Margaret Pemberton" w:date="1999-06-04T14:44:00Z">
        <w:r>
          <w:rPr/>
          <w:delText>P</w:delText>
        </w:r>
      </w:del>
      <w:r>
        <w:rPr/>
        <w:t xml:space="preserve">rime </w:t>
      </w:r>
      <w:del w:id="254" w:author="Margaret Pemberton" w:date="1999-06-04T14:44:00Z">
        <w:r>
          <w:rPr/>
          <w:delText>R</w:delText>
        </w:r>
      </w:del>
      <w:ins w:id="255" w:author="Margaret Pemberton" w:date="1999-06-04T14:44:00Z">
        <w:r>
          <w:rPr/>
          <w:t>r</w:t>
        </w:r>
      </w:ins>
      <w:r>
        <w:rPr/>
        <w:t>ate</w:t>
      </w:r>
      <w:del w:id="256" w:author="Margaret Pemberton" w:date="1999-06-04T14:44:00Z">
        <w:r>
          <w:rPr/>
          <w:delText xml:space="preserve"> plus two percent</w:delText>
        </w:r>
      </w:del>
      <w:r>
        <w:rPr/>
        <w:t xml:space="preserve">, as reported in the Money Rates column of the </w:t>
      </w:r>
      <w:r>
        <w:rPr>
          <w:i/>
        </w:rPr>
        <w:t>Wall Street Journal</w:t>
      </w:r>
      <w:r>
        <w:rPr/>
        <w:t xml:space="preserve"> on the last Business Day of the preceding month, </w:t>
      </w:r>
      <w:ins w:id="257" w:author="Margaret Pemberton" w:date="1999-06-04T14:44:00Z">
        <w:r>
          <w:rPr/>
          <w:t xml:space="preserve">plus two percent, </w:t>
        </w:r>
      </w:ins>
      <w:r>
        <w:rPr/>
        <w:t>divided by 365, or the maximum rate allowed under Texas law, whichever is less.</w:t>
      </w:r>
    </w:p>
    <w:p>
      <w:pPr>
        <w:pStyle w:val="BodyText2"/>
        <w:numPr>
          <w:ilvl w:val="1"/>
          <w:numId w:val="3"/>
        </w:numPr>
        <w:ind w:firstLine="720" w:start="0" w:end="0"/>
        <w:rPr/>
      </w:pPr>
      <w:r>
        <w:rPr/>
        <w:t>“</w:t>
      </w:r>
      <w:r>
        <w:rPr>
          <w:b/>
        </w:rPr>
        <w:t>ISO</w:t>
      </w:r>
      <w:r>
        <w:rPr/>
        <w:t>” means the ERCOT Independent System Operator.</w:t>
      </w:r>
    </w:p>
    <w:p>
      <w:pPr>
        <w:pStyle w:val="BodyText2"/>
        <w:numPr>
          <w:ilvl w:val="1"/>
          <w:numId w:val="3"/>
        </w:numPr>
        <w:ind w:firstLine="720" w:start="0" w:end="0"/>
        <w:rPr/>
      </w:pPr>
      <w:r>
        <w:rPr/>
        <w:t>“</w:t>
      </w:r>
      <w:r>
        <w:rPr>
          <w:b/>
        </w:rPr>
        <w:t>Legal Proceedings</w:t>
      </w:r>
      <w:r>
        <w:rPr/>
        <w:t>” means any suit, proceeding, ruling or order by or before any court, arbitration panel or governmental authority having jurisdiction.</w:t>
      </w:r>
    </w:p>
    <w:p>
      <w:pPr>
        <w:pStyle w:val="BodyText2"/>
        <w:numPr>
          <w:ilvl w:val="1"/>
          <w:numId w:val="3"/>
        </w:numPr>
        <w:ind w:firstLine="720" w:start="0" w:end="0"/>
        <w:rPr/>
      </w:pPr>
      <w:r>
        <w:rPr/>
        <w:t>“</w:t>
      </w:r>
      <w:r>
        <w:rPr>
          <w:b/>
        </w:rPr>
        <w:t>OASIS</w:t>
      </w:r>
      <w:r>
        <w:rPr/>
        <w:t>” means Open Access Same-time Information System, administered by the ERCOT ISO.</w:t>
      </w:r>
    </w:p>
    <w:p>
      <w:pPr>
        <w:pStyle w:val="BodyText2"/>
        <w:numPr>
          <w:ilvl w:val="1"/>
          <w:numId w:val="3"/>
        </w:numPr>
        <w:ind w:firstLine="720" w:start="0" w:end="0"/>
        <w:rPr/>
      </w:pPr>
      <w:r>
        <w:rPr>
          <w:spacing w:val="2"/>
        </w:rPr>
        <w:t>“</w:t>
      </w:r>
      <w:r>
        <w:rPr>
          <w:b/>
          <w:spacing w:val="2"/>
        </w:rPr>
        <w:t>Party” or “Parties</w:t>
      </w:r>
      <w:r>
        <w:rPr>
          <w:spacing w:val="2"/>
        </w:rPr>
        <w:t xml:space="preserve">” means the party or parties to the Agreement </w:t>
      </w:r>
      <w:r>
        <w:rPr/>
        <w:t>including their authorized agents, employees and representatives.</w:t>
      </w:r>
    </w:p>
    <w:p>
      <w:pPr>
        <w:pStyle w:val="BodyText2"/>
        <w:numPr>
          <w:ilvl w:val="1"/>
          <w:numId w:val="3"/>
        </w:numPr>
        <w:ind w:firstLine="720" w:start="0" w:end="0"/>
        <w:rPr/>
      </w:pPr>
      <w:r>
        <w:rPr>
          <w:b/>
        </w:rPr>
        <w:t>“</w:t>
      </w:r>
      <w:r>
        <w:rPr>
          <w:b/>
        </w:rPr>
        <w:t>Period of Delivery”</w:t>
      </w:r>
      <w:r>
        <w:rPr/>
        <w:t xml:space="preserve"> means the period of time measured from the date deliveries are to commence under a Transaction through the date deliveries are to terminate under a Transaction.</w:t>
      </w:r>
    </w:p>
    <w:p>
      <w:pPr>
        <w:pStyle w:val="BodyText2"/>
        <w:numPr>
          <w:ilvl w:val="1"/>
          <w:numId w:val="3"/>
        </w:numPr>
        <w:ind w:firstLine="720" w:start="0" w:end="0"/>
        <w:rPr/>
      </w:pPr>
      <w:r>
        <w:rPr/>
        <w:t>“</w:t>
      </w:r>
      <w:r>
        <w:rPr>
          <w:b/>
        </w:rPr>
        <w:t>Person</w:t>
      </w:r>
      <w:r>
        <w:rPr/>
        <w:t>” means any individual, partnership, limited partnership, limited liability partnership, corporation, limited liability company, trust, association or other entity.</w:t>
      </w:r>
    </w:p>
    <w:p>
      <w:pPr>
        <w:pStyle w:val="BodyText2"/>
        <w:numPr>
          <w:ilvl w:val="1"/>
          <w:numId w:val="3"/>
        </w:numPr>
        <w:ind w:firstLine="720" w:start="0" w:end="0"/>
        <w:rPr/>
      </w:pPr>
      <w:r>
        <w:rPr>
          <w:b/>
        </w:rPr>
        <w:t>“</w:t>
      </w:r>
      <w:r>
        <w:rPr>
          <w:b/>
        </w:rPr>
        <w:t>PUCT”</w:t>
      </w:r>
      <w:r>
        <w:rPr/>
        <w:t xml:space="preserve"> means the Public Utility Commission of Texas or its successor.</w:t>
      </w:r>
    </w:p>
    <w:p>
      <w:pPr>
        <w:pStyle w:val="BodyText2"/>
        <w:numPr>
          <w:ilvl w:val="1"/>
          <w:numId w:val="3"/>
        </w:numPr>
        <w:ind w:firstLine="720" w:start="0" w:end="0"/>
        <w:rPr/>
      </w:pPr>
      <w:r>
        <w:rPr>
          <w:b/>
        </w:rPr>
        <w:t xml:space="preserve"> </w:t>
      </w:r>
      <w:r>
        <w:rPr/>
        <w:t>“</w:t>
      </w:r>
      <w:r>
        <w:rPr>
          <w:b/>
        </w:rPr>
        <w:t>Schedule</w:t>
      </w:r>
      <w:r>
        <w:rPr/>
        <w:t>” means an ERCOT OASIS schedule request accepted by the ISO.</w:t>
      </w:r>
    </w:p>
    <w:p>
      <w:pPr>
        <w:pStyle w:val="BodyText2"/>
        <w:numPr>
          <w:ilvl w:val="1"/>
          <w:numId w:val="3"/>
        </w:numPr>
        <w:ind w:firstLine="720" w:start="0" w:end="0"/>
        <w:rPr/>
      </w:pPr>
      <w:r>
        <w:rPr/>
        <w:t>“</w:t>
      </w:r>
      <w:r>
        <w:rPr>
          <w:b/>
        </w:rPr>
        <w:t>Seller</w:t>
      </w:r>
      <w:r>
        <w:rPr/>
        <w:t>” means the Party to a Transaction that is obligated to sell Wholesale Electricity.</w:t>
      </w:r>
    </w:p>
    <w:p>
      <w:pPr>
        <w:pStyle w:val="BodyText2"/>
        <w:numPr>
          <w:ilvl w:val="1"/>
          <w:numId w:val="3"/>
        </w:numPr>
        <w:ind w:firstLine="720" w:start="0" w:end="0"/>
        <w:rPr/>
      </w:pPr>
      <w:r>
        <w:rPr/>
        <w:t>“</w:t>
      </w:r>
      <w:r>
        <w:rPr>
          <w:b/>
        </w:rPr>
        <w:t>Transaction</w:t>
      </w:r>
      <w:r>
        <w:rPr/>
        <w:t>” means a sale of Wholesale Electricity by Seller and corresponding purchase of such Wholesale Electricity by Buyer to be performed under this Agreement which may be evidenced by a Transaction Confirmation or as otherwise provided herein.</w:t>
      </w:r>
    </w:p>
    <w:p>
      <w:pPr>
        <w:pStyle w:val="BodyText2"/>
        <w:numPr>
          <w:ilvl w:val="1"/>
          <w:numId w:val="3"/>
        </w:numPr>
        <w:ind w:firstLine="720" w:start="0" w:end="0"/>
        <w:rPr/>
      </w:pPr>
      <w:r>
        <w:rPr/>
        <w:t>“</w:t>
      </w:r>
      <w:r>
        <w:rPr>
          <w:b/>
        </w:rPr>
        <w:t>Transaction Confirmation(s)</w:t>
      </w:r>
      <w:r>
        <w:rPr/>
        <w:t>” means an oral agreement, or written documentation substantially similar to Exhibit “D” attached hereto, which sets forth</w:t>
      </w:r>
      <w:ins w:id="258" w:author="Margaret Pemberton" w:date="1999-06-04T14:30:00Z">
        <w:r>
          <w:rPr/>
          <w:t xml:space="preserve"> </w:t>
        </w:r>
      </w:ins>
      <w:del w:id="259" w:author="Margaret Pemberton" w:date="1999-06-04T14:30:00Z">
        <w:r>
          <w:rPr/>
          <w:delText>-</w:delText>
        </w:r>
      </w:del>
      <w:r>
        <w:rPr/>
        <w:t>additional terms and conditions applicable to a Transaction.</w:t>
      </w:r>
    </w:p>
    <w:p>
      <w:pPr>
        <w:pStyle w:val="BodyText2"/>
        <w:numPr>
          <w:ilvl w:val="1"/>
          <w:numId w:val="3"/>
        </w:numPr>
        <w:ind w:firstLine="720" w:start="0" w:end="0"/>
        <w:rPr/>
      </w:pPr>
      <w:r>
        <w:rPr/>
        <w:t>“</w:t>
      </w:r>
      <w:r>
        <w:rPr>
          <w:b/>
        </w:rPr>
        <w:t>Transmission Charges</w:t>
      </w:r>
      <w:r>
        <w:rPr/>
        <w:t>” means the costs associated with transmission losses, ISO fees, transmission services and ancillary services.</w:t>
      </w:r>
    </w:p>
    <w:p>
      <w:pPr>
        <w:pStyle w:val="BodyText2"/>
        <w:numPr>
          <w:ilvl w:val="1"/>
          <w:numId w:val="3"/>
        </w:numPr>
        <w:ind w:firstLine="720" w:start="0" w:end="0"/>
        <w:rPr/>
      </w:pPr>
      <w:r>
        <w:rPr/>
        <w:t>“</w:t>
      </w:r>
      <w:r>
        <w:rPr>
          <w:b/>
        </w:rPr>
        <w:t>Wholesale Electricity</w:t>
      </w:r>
      <w:r>
        <w:rPr/>
        <w:t xml:space="preserve">” means electricity transaction types within ERCOT, as defined by the ERCOT Guides, that are purchased for resale. </w:t>
      </w:r>
    </w:p>
    <w:p>
      <w:pPr>
        <w:pStyle w:val="Subheading1"/>
        <w:rPr/>
      </w:pPr>
      <w:bookmarkStart w:id="5" w:name="__RefHeading___Toc453144106"/>
      <w:bookmarkEnd w:id="5"/>
      <w:r>
        <w:rPr/>
        <w:t xml:space="preserve">ARTICLE </w:t>
      </w:r>
      <w:ins w:id="260" w:author="Preferred Customer" w:date="1999-06-04T15:15:00Z">
        <w:r>
          <w:rPr/>
          <w:t>3</w:t>
        </w:r>
      </w:ins>
      <w:del w:id="261" w:author="Preferred Customer" w:date="1999-06-04T15:15:00Z">
        <w:r>
          <w:rPr/>
          <w:delText>III</w:delText>
        </w:r>
      </w:del>
      <w:r>
        <w:rPr/>
        <w:t xml:space="preserve"> - Scope of Agreement</w:t>
      </w:r>
    </w:p>
    <w:p>
      <w:pPr>
        <w:pStyle w:val="Subheading1"/>
        <w:rPr/>
      </w:pPr>
      <w:r>
        <w:rPr/>
      </w:r>
    </w:p>
    <w:p>
      <w:pPr>
        <w:pStyle w:val="BodyText2"/>
        <w:numPr>
          <w:ilvl w:val="1"/>
          <w:numId w:val="6"/>
        </w:numPr>
        <w:tabs>
          <w:tab w:val="left" w:pos="1440" w:leader="none"/>
        </w:tabs>
        <w:ind w:firstLine="720" w:start="0" w:end="0"/>
        <w:rPr/>
      </w:pPr>
      <w:r>
        <w:rPr/>
        <w:t xml:space="preserve">Seller agrees to sell and deliver or cause to be delivered and Buyer agrees to purchase and receive or cause to be received the total Contract Quantity in accordance with the terms of this Agreement and subject to the provisions of the Transaction Confirmation. </w:t>
      </w:r>
    </w:p>
    <w:p>
      <w:pPr>
        <w:pStyle w:val="Subheading1"/>
        <w:rPr/>
      </w:pPr>
      <w:bookmarkStart w:id="6" w:name="__RefHeading___Toc453144107"/>
      <w:bookmarkEnd w:id="6"/>
      <w:r>
        <w:rPr/>
        <w:t xml:space="preserve">ARTICLE </w:t>
      </w:r>
      <w:ins w:id="262" w:author="Preferred Customer" w:date="1999-06-04T15:15:00Z">
        <w:r>
          <w:rPr/>
          <w:t>4</w:t>
        </w:r>
      </w:ins>
      <w:del w:id="263" w:author="Preferred Customer" w:date="1999-06-04T15:15:00Z">
        <w:r>
          <w:rPr/>
          <w:delText>IV</w:delText>
        </w:r>
      </w:del>
      <w:r>
        <w:rPr/>
        <w:t xml:space="preserve"> - Oral Agreement and Confirmation</w:t>
      </w:r>
    </w:p>
    <w:p>
      <w:pPr>
        <w:pStyle w:val="Subheading1"/>
        <w:rPr/>
      </w:pPr>
      <w:r>
        <w:rPr/>
      </w:r>
    </w:p>
    <w:p>
      <w:pPr>
        <w:pStyle w:val="BodyText2"/>
        <w:numPr>
          <w:ilvl w:val="1"/>
          <w:numId w:val="7"/>
        </w:numPr>
        <w:tabs>
          <w:tab w:val="left" w:pos="1440" w:leader="none"/>
        </w:tabs>
        <w:ind w:firstLine="720" w:start="0" w:end="0"/>
        <w:rPr>
          <w:i/>
          <w:i/>
        </w:rPr>
      </w:pPr>
      <w:r>
        <w:rPr/>
        <w:t xml:space="preserve">The Parties’ agreement to Transaction-specific terms which constitute the Transaction Confirmation may be made by the following:  (1) an oral agreement; or (2) an exchange, as described below, of a written Transaction Confirmation between the Parties.  The Parties shall be bound to a Transaction from the time they agree to its terms. The Seller may provide a written Transaction Confirmation to the Buyer within two Business Days of </w:t>
      </w:r>
      <w:ins w:id="264" w:author="Margaret Pemberton" w:date="1999-06-04T14:48:00Z">
        <w:r>
          <w:rPr/>
          <w:t xml:space="preserve">an oral agreement of </w:t>
        </w:r>
      </w:ins>
      <w:r>
        <w:rPr/>
        <w:t>the Transaction.  The Buyer shall have two Business Days from the date of receipt to object in writing</w:t>
      </w:r>
      <w:r>
        <w:rPr>
          <w:i/>
        </w:rPr>
        <w:t xml:space="preserve"> </w:t>
      </w:r>
      <w:r>
        <w:rPr/>
        <w:t xml:space="preserve">to the Transaction Confirmation.  If the Buyer does not object in writing within that time period, the Seller’s written Transaction Confirmation shall be deemed accepted and final.  If the Seller sends a timely Transaction Confirmation, any Transaction Confirmation sent by the Buyer shall be null and void to the extent it is inconsistent with Seller’s timely written Transaction Confirmation.  If the Seller fails to provide a written Transaction Confirmation within two Business Days, as described above, a written Transaction Confirmation sent by Buyer shall be valid unless Seller objects within two (2) Business Days of receipt, in which case, Buyer’s written Transaction Confirmation shall be deemed accepted and final.  Buyer’s written Transaction Confirmation must be sent by Buyer no later than two (2) Business </w:t>
      </w:r>
      <w:ins w:id="265" w:author="Margaret Pemberton" w:date="1999-06-04T14:31:00Z">
        <w:r>
          <w:rPr/>
          <w:t>D</w:t>
        </w:r>
      </w:ins>
      <w:del w:id="266" w:author="Margaret Pemberton" w:date="1999-06-04T14:31:00Z">
        <w:r>
          <w:rPr/>
          <w:delText>d</w:delText>
        </w:r>
      </w:del>
      <w:r>
        <w:rPr/>
        <w:t>ays after Seller’s deadline has expired.  The failure of either Party to provide a written Transaction Confirmation of the Transaction shall not invalidate any oral agreement of the Parties.</w:t>
      </w:r>
    </w:p>
    <w:p>
      <w:pPr>
        <w:pStyle w:val="BodyText2"/>
        <w:numPr>
          <w:ilvl w:val="1"/>
          <w:numId w:val="9"/>
        </w:numPr>
        <w:tabs>
          <w:tab w:val="left" w:pos="1440" w:leader="none"/>
        </w:tabs>
        <w:ind w:firstLine="720" w:start="0" w:end="0"/>
        <w:rPr>
          <w:i/>
          <w:i/>
        </w:rPr>
      </w:pPr>
      <w:r>
        <w:rPr/>
        <w:t>The Parties agree not to contest, or assert any defense with respect to the validity or enforceability of any Transaction on the basis that documentation of the terms of such Transaction fail to comply with the requirements of any statute that agreements be written or signed.  Without any further notice, each Party consents to the recording of telephone conversations between the Parties agreeing to a Transaction.  Unless the Parties have a final written Transaction Confirmation, all such recordings between the Parties or a Party and its Broker and any written Broker confirmations may be introduced and admitted into evidence for the limited purpose of proving the terms of a Transaction Confirmation, and any objection to such introduction is hereby expressly waived, provided however, that neither Party waives the right to object to the introduction of such evidence that is not relevant to the terms of the Transaction Confirmation.  The terms of a Transaction Confirmation, whether stated in a written document or a recording, are intended by the Parties as a final expression of their agreement with respect to such terms as are included therein and may not be contradicted by evidence of any prior agreement</w:t>
      </w:r>
      <w:r>
        <w:rPr>
          <w:i/>
        </w:rPr>
        <w:t xml:space="preserve">. </w:t>
      </w:r>
    </w:p>
    <w:p>
      <w:pPr>
        <w:pStyle w:val="Subheading1"/>
        <w:rPr/>
      </w:pPr>
      <w:bookmarkStart w:id="7" w:name="__RefHeading___Toc453144108"/>
      <w:bookmarkEnd w:id="7"/>
      <w:r>
        <w:rPr/>
        <w:t xml:space="preserve">ARTICLE </w:t>
      </w:r>
      <w:ins w:id="267" w:author="Preferred Customer" w:date="1999-06-04T15:15:00Z">
        <w:r>
          <w:rPr/>
          <w:t>5</w:t>
        </w:r>
      </w:ins>
      <w:del w:id="268" w:author="Preferred Customer" w:date="1999-06-04T15:15:00Z">
        <w:r>
          <w:rPr/>
          <w:delText>V</w:delText>
        </w:r>
      </w:del>
      <w:r>
        <w:rPr/>
        <w:t xml:space="preserve"> - Remedies for Failure to Deliver or Receive</w:t>
      </w:r>
    </w:p>
    <w:p>
      <w:pPr>
        <w:pStyle w:val="Subheading1"/>
        <w:rPr/>
      </w:pPr>
      <w:r>
        <w:rPr/>
      </w:r>
    </w:p>
    <w:p>
      <w:pPr>
        <w:pStyle w:val="BodyText2"/>
        <w:numPr>
          <w:ilvl w:val="1"/>
          <w:numId w:val="2"/>
        </w:numPr>
        <w:tabs>
          <w:tab w:val="left" w:pos="0" w:leader="none"/>
          <w:tab w:val="left" w:pos="720" w:leader="none"/>
          <w:tab w:val="left" w:pos="1440" w:leader="none"/>
        </w:tabs>
        <w:ind w:firstLine="720" w:start="0" w:end="0"/>
        <w:rPr/>
      </w:pPr>
      <w:r>
        <w:rPr/>
        <w:t xml:space="preserve">Notwithstanding the remedies for non-delivery or non-acceptance </w:t>
      </w:r>
      <w:del w:id="269" w:author="Margaret Pemberton" w:date="1999-06-04T14:49:00Z">
        <w:r>
          <w:rPr/>
          <w:delText xml:space="preserve">which are </w:delText>
        </w:r>
      </w:del>
      <w:r>
        <w:rPr/>
        <w:t xml:space="preserve">provided in the ERCOT Guides (which remedies the Parties agree shall not apply), unless excused by the ERCOT Guides, Force Majeure, or the other Party’s failure to perform, if either Party fails to perform in accordance with the terms of a Transaction Confirmation, such Party (the “Non-Performing Party”) shall pay the other Party (the “Performing Party”) damages calculated in </w:t>
      </w:r>
      <w:ins w:id="270" w:author="Margaret Pemberton" w:date="1999-06-04T14:31:00Z">
        <w:r>
          <w:rPr/>
          <w:t xml:space="preserve">Articles </w:t>
        </w:r>
      </w:ins>
      <w:r>
        <w:rPr/>
        <w:t>5.2 or 5.3 below:</w:t>
      </w:r>
    </w:p>
    <w:p>
      <w:pPr>
        <w:pStyle w:val="BodyText2"/>
        <w:numPr>
          <w:ilvl w:val="1"/>
          <w:numId w:val="5"/>
        </w:numPr>
        <w:tabs>
          <w:tab w:val="left" w:pos="720" w:leader="none"/>
          <w:tab w:val="left" w:pos="1440" w:leader="none"/>
        </w:tabs>
        <w:ind w:firstLine="720" w:start="0" w:end="0"/>
        <w:rPr/>
      </w:pPr>
      <w:r>
        <w:rPr/>
        <w:t xml:space="preserve">If Buyer fails to receive all or part of the Contract Quantity then Buyer shall be liable for (i) the product of the amount (whether positive or negative), by which the Contract Price differs from the “Replacement Sales Price” (Contract Price minus Replacement Sales Price) and the amount by which the quantity received by the Buyer is less than the hourly Contract Quantity; plus (ii) the amount of Transmission Charges, if any, for transmission service upstream of the delivery point, which </w:t>
      </w:r>
      <w:del w:id="271" w:author="Margaret Pemberton" w:date="1999-06-04T14:49:00Z">
        <w:r>
          <w:rPr/>
          <w:delText xml:space="preserve">the </w:delText>
        </w:r>
      </w:del>
      <w:r>
        <w:rPr/>
        <w:t>Seller incurs to achieve the Replacement Sales Price, less the reduction, if any, in Transmission Charges achieved as a result of the reduction in Buyer’s Schedule or receipt of Wholesale Electricity (based upon Seller’s reasonable commercial efforts to achieve such reduction); plus (iii) costs, limited to Transmission Charges and broker fees, caused by the Non-Performing Party’s failure to perform.  The Replacement Sales Price is the actual price at which Seller, acting in a commercially reasonable manner, effects a resale of the Wholesale Electricity not received by Buyer at the Delivery Point, or in the absence of such a resale, the market price at the Delivery Point.  If the total amount calculated under this provision is less than zero, then neither Party shall pay damages to the other Party under this Section.</w:t>
      </w:r>
    </w:p>
    <w:p>
      <w:pPr>
        <w:pStyle w:val="BodyText2"/>
        <w:numPr>
          <w:ilvl w:val="1"/>
          <w:numId w:val="20"/>
        </w:numPr>
        <w:tabs>
          <w:tab w:val="left" w:pos="720" w:leader="none"/>
          <w:tab w:val="left" w:pos="1440" w:leader="none"/>
        </w:tabs>
        <w:ind w:firstLine="720" w:start="0" w:end="0"/>
        <w:rPr/>
      </w:pPr>
      <w:r>
        <w:rPr/>
        <w:t>If the amount Seller scheduled or delivers in any hour is less than the Contract Quantity, then Seller shall pay Buyer an amount equal to:  (i) the product of the amount (whether positive or negative), by which the “Replacement Purchase Price” differs from the Contract Price (Replacement Purchase Price minus Contract Price) and the amount by which the quantity delivered by the Seller is less than the hourly Contract Quantity; plus (ii) the amount of Transmission Charges, if any, for transmission service downstream of the delivery point, which the Buyer incurs to achieve the Replacement</w:t>
      </w:r>
      <w:ins w:id="272" w:author="Margaret Pemberton" w:date="1999-06-04T14:32:00Z">
        <w:r>
          <w:rPr/>
          <w:t xml:space="preserve"> Purchase</w:t>
        </w:r>
      </w:ins>
      <w:r>
        <w:rPr/>
        <w:t xml:space="preserve"> Price, less the reduction, if any, in Transmission Charges achieved as a result of the reduction in </w:t>
      </w:r>
      <w:del w:id="273" w:author="Margaret Pemberton" w:date="1999-06-04T14:50:00Z">
        <w:r>
          <w:rPr/>
          <w:delText xml:space="preserve">the </w:delText>
        </w:r>
      </w:del>
      <w:r>
        <w:rPr/>
        <w:t xml:space="preserve">Seller’s </w:t>
      </w:r>
      <w:del w:id="274" w:author="Margaret Pemberton" w:date="1999-06-04T14:32:00Z">
        <w:r>
          <w:rPr/>
          <w:delText>s</w:delText>
        </w:r>
      </w:del>
      <w:ins w:id="275" w:author="Margaret Pemberton" w:date="1999-06-04T14:32:00Z">
        <w:r>
          <w:rPr/>
          <w:t>S</w:t>
        </w:r>
      </w:ins>
      <w:r>
        <w:rPr/>
        <w:t>chedule or delivery (based upon Buyer’s reasonable commercial effort to achieve such reduction); plus (iii) costs, limited to Transmission Charges and broker fees caused by the Non-Performing Party’s failure to perform.</w:t>
      </w:r>
      <w:del w:id="276" w:author="Margaret Pemberton" w:date="1999-06-04T14:32:00Z">
        <w:r>
          <w:rPr/>
          <w:delText xml:space="preserve">   </w:delText>
        </w:r>
      </w:del>
      <w:ins w:id="277" w:author="Margaret Pemberton" w:date="1999-06-04T14:32:00Z">
        <w:r>
          <w:rPr/>
          <w:t xml:space="preserve">  </w:t>
        </w:r>
      </w:ins>
      <w:del w:id="278" w:author="Margaret Pemberton" w:date="1999-06-04T14:32:00Z">
        <w:r>
          <w:rPr/>
          <w:delText xml:space="preserve"> </w:delText>
        </w:r>
      </w:del>
      <w:r>
        <w:rPr/>
        <w:t xml:space="preserve">Replacement Purchase Price is the actual price at which the Buyer, acting in a commercially reasonable manner, effects a purchase of substitute Wholesale Electricity at the Delivery Point, or in the absence of such a purchase, the market price at the Delivery Point.  If the total damages for all hours calculated under this subparagraph is less than zero, then neither Party shall pay damages to the other Party under this </w:t>
      </w:r>
      <w:del w:id="279" w:author="Margaret Pemberton" w:date="1999-06-04T14:50:00Z">
        <w:r>
          <w:rPr/>
          <w:delText>section</w:delText>
        </w:r>
      </w:del>
      <w:ins w:id="280" w:author="Margaret Pemberton" w:date="1999-06-04T14:50:00Z">
        <w:r>
          <w:rPr/>
          <w:t>Article</w:t>
        </w:r>
      </w:ins>
      <w:r>
        <w:rPr/>
        <w:t>.</w:t>
        <w:tab/>
        <w:t xml:space="preserve"> </w:t>
      </w:r>
    </w:p>
    <w:p>
      <w:pPr>
        <w:pStyle w:val="BodyText2"/>
        <w:numPr>
          <w:ilvl w:val="1"/>
          <w:numId w:val="17"/>
        </w:numPr>
        <w:tabs>
          <w:tab w:val="left" w:pos="0" w:leader="none"/>
          <w:tab w:val="left" w:pos="720" w:leader="none"/>
          <w:tab w:val="left" w:pos="1440" w:leader="none"/>
        </w:tabs>
        <w:ind w:firstLine="720" w:start="0" w:end="0"/>
        <w:rPr>
          <w:i/>
          <w:i/>
        </w:rPr>
      </w:pPr>
      <w:r>
        <w:rPr/>
        <w:t xml:space="preserve">The Non-Performing Party shall pay the amount due from it under this Section in accordance with </w:t>
      </w:r>
      <w:del w:id="281" w:author="Margaret Pemberton" w:date="1999-06-04T14:51:00Z">
        <w:r>
          <w:rPr/>
          <w:delText xml:space="preserve">Section </w:delText>
        </w:r>
      </w:del>
      <w:ins w:id="282" w:author="Margaret Pemberton" w:date="1999-06-04T14:51:00Z">
        <w:r>
          <w:rPr/>
          <w:t xml:space="preserve">Article </w:t>
        </w:r>
      </w:ins>
      <w:r>
        <w:rPr/>
        <w:t xml:space="preserve">7 hereof, or at the Performing Party’s option, within three days of receiving an invoice for the amount due under this Section. Netting under </w:t>
      </w:r>
      <w:del w:id="283" w:author="Margaret Pemberton" w:date="1999-06-04T14:51:00Z">
        <w:r>
          <w:rPr/>
          <w:delText xml:space="preserve">Section </w:delText>
        </w:r>
      </w:del>
      <w:ins w:id="284" w:author="Margaret Pemberton" w:date="1999-06-04T14:51:00Z">
        <w:r>
          <w:rPr/>
          <w:t xml:space="preserve">Article </w:t>
        </w:r>
      </w:ins>
      <w:r>
        <w:rPr/>
        <w:t>7 of this Agreement shall not apply if and to the extent that the Performing Party exercises this option to immediately invoice for damages for nonperformance.</w:t>
      </w:r>
    </w:p>
    <w:p>
      <w:pPr>
        <w:pStyle w:val="BodyText2"/>
        <w:numPr>
          <w:ilvl w:val="1"/>
          <w:numId w:val="11"/>
        </w:numPr>
        <w:tabs>
          <w:tab w:val="left" w:pos="0" w:leader="none"/>
          <w:tab w:val="left" w:pos="720" w:leader="none"/>
          <w:tab w:val="left" w:pos="1440" w:leader="none"/>
        </w:tabs>
        <w:ind w:firstLine="720" w:start="0" w:end="0"/>
        <w:rPr>
          <w:i/>
          <w:i/>
        </w:rPr>
      </w:pPr>
      <w:r>
        <w:rPr/>
        <w:t xml:space="preserve">Each Party shall act in a commercially reasonable manner, to effect a </w:t>
      </w:r>
      <w:ins w:id="285" w:author="Margaret Pemberton" w:date="1999-06-04T14:35:00Z">
        <w:r>
          <w:rPr/>
          <w:t>r</w:t>
        </w:r>
      </w:ins>
      <w:del w:id="286" w:author="Margaret Pemberton" w:date="1999-06-04T14:35:00Z">
        <w:r>
          <w:rPr/>
          <w:delText>R</w:delText>
        </w:r>
      </w:del>
      <w:r>
        <w:rPr/>
        <w:t xml:space="preserve">eplacement </w:t>
      </w:r>
      <w:del w:id="287" w:author="Margaret Pemberton" w:date="1999-06-04T14:35:00Z">
        <w:r>
          <w:rPr/>
          <w:delText>P</w:delText>
        </w:r>
      </w:del>
      <w:ins w:id="288" w:author="Margaret Pemberton" w:date="1999-06-04T14:35:00Z">
        <w:r>
          <w:rPr/>
          <w:t>p</w:t>
        </w:r>
      </w:ins>
      <w:r>
        <w:rPr/>
        <w:t xml:space="preserve">urchase or </w:t>
      </w:r>
      <w:ins w:id="289" w:author="Margaret Pemberton" w:date="1999-06-04T14:35:00Z">
        <w:r>
          <w:rPr/>
          <w:t>r</w:t>
        </w:r>
      </w:ins>
      <w:del w:id="290" w:author="Margaret Pemberton" w:date="1999-06-04T14:35:00Z">
        <w:r>
          <w:rPr/>
          <w:delText>R</w:delText>
        </w:r>
      </w:del>
      <w:r>
        <w:rPr/>
        <w:t>esale as applicable, provided however, that a Performing Party shall not be required to utilize or change its utilization of its owned or controlled assets or market positions to minimize a Non-Performing Party’s liability hereunder.</w:t>
      </w:r>
    </w:p>
    <w:p>
      <w:pPr>
        <w:pStyle w:val="Subheading1"/>
        <w:rPr/>
      </w:pPr>
      <w:bookmarkStart w:id="8" w:name="__RefHeading___Toc453144109"/>
      <w:bookmarkEnd w:id="8"/>
      <w:r>
        <w:rPr/>
        <w:t xml:space="preserve">ARTICLE </w:t>
      </w:r>
      <w:ins w:id="291" w:author="Preferred Customer" w:date="1999-06-04T15:15:00Z">
        <w:r>
          <w:rPr/>
          <w:t>6</w:t>
        </w:r>
      </w:ins>
      <w:del w:id="292" w:author="Preferred Customer" w:date="1999-06-04T15:15:00Z">
        <w:r>
          <w:rPr/>
          <w:delText>VI</w:delText>
        </w:r>
      </w:del>
      <w:r>
        <w:rPr/>
        <w:t xml:space="preserve"> – Taxes</w:t>
      </w:r>
    </w:p>
    <w:p>
      <w:pPr>
        <w:pStyle w:val="Subheading1"/>
        <w:rPr/>
      </w:pPr>
      <w:r>
        <w:rPr/>
      </w:r>
    </w:p>
    <w:p>
      <w:pPr>
        <w:pStyle w:val="BodyText2"/>
        <w:tabs>
          <w:tab w:val="left" w:pos="720" w:leader="none"/>
          <w:tab w:val="left" w:pos="1440" w:leader="none"/>
        </w:tabs>
        <w:ind w:start="0" w:end="0"/>
        <w:rPr/>
      </w:pPr>
      <w:r>
        <w:rPr/>
        <w:tab/>
        <w:t>6.1</w:t>
        <w:tab/>
        <w:t>Seller shall pay or cause to be paid, all taxes, fees, levies, penalties, licenses or charges imposed by any government authority (“Taxes”) on or with respect to Wholesale Electricity subject to this Agreement, prior to its delivery to Buyer at the Delivery Point.  Buyer shall pay or cause to be paid, all Taxes on or with respect to Wholesale Electricity subject to this Agreement at and after delivery at the Delivery Point.  In the event Seller is required to remit or pay Taxes which are Buyer’s responsibility hereunder, Buyer shall promptly reimburse Seller for such Taxes.  If Buyer is required to remit or pay Taxes, which are Seller’s responsibility hereunder, Buyer may deduct the amount of any such Taxes from the sums due to Seller hereunder.  Nothing shall obligate or cause a Party to pay or be liable to pay any Taxes for which it is exempt under the law if a valid certificate of exemption is provided by the tax exempt Party.</w:t>
      </w:r>
    </w:p>
    <w:p>
      <w:pPr>
        <w:pStyle w:val="Subheading1"/>
        <w:rPr/>
      </w:pPr>
      <w:bookmarkStart w:id="9" w:name="__RefHeading___Toc453144110"/>
      <w:bookmarkEnd w:id="9"/>
      <w:r>
        <w:rPr/>
        <w:t xml:space="preserve">ARTICLE </w:t>
      </w:r>
      <w:ins w:id="293" w:author="Preferred Customer" w:date="1999-06-04T15:15:00Z">
        <w:r>
          <w:rPr/>
          <w:t>7</w:t>
        </w:r>
      </w:ins>
      <w:del w:id="294" w:author="Preferred Customer" w:date="1999-06-04T15:15:00Z">
        <w:r>
          <w:rPr/>
          <w:delText>VII</w:delText>
        </w:r>
      </w:del>
      <w:r>
        <w:rPr/>
        <w:t xml:space="preserve"> - Billing and Payment</w:t>
      </w:r>
    </w:p>
    <w:p>
      <w:pPr>
        <w:pStyle w:val="Subheading1"/>
        <w:rPr/>
      </w:pPr>
      <w:r>
        <w:rPr/>
      </w:r>
    </w:p>
    <w:p>
      <w:pPr>
        <w:pStyle w:val="BodyText2"/>
        <w:ind w:firstLine="720" w:start="0" w:end="0"/>
        <w:rPr>
          <w:del w:id="297" w:author="Preferred Customer" w:date="1999-06-04T15:18:00Z"/>
        </w:rPr>
      </w:pPr>
      <w:ins w:id="295" w:author="Preferred Customer" w:date="1999-06-04T16:46:00Z">
        <w:r>
          <w:rPr/>
          <w:t>7.1</w:t>
          <w:tab/>
        </w:r>
      </w:ins>
      <w:del w:id="296" w:author="Preferred Customer" w:date="1999-06-04T15:18:00Z">
        <w:r>
          <w:rPr/>
          <w:delText>7.1</w:delText>
          <w:tab/>
          <w:delText>Billing Frequency.</w:delText>
          <w:tab/>
        </w:r>
      </w:del>
    </w:p>
    <w:p>
      <w:pPr>
        <w:pStyle w:val="BodyText2"/>
        <w:ind w:firstLine="720" w:start="0" w:end="0"/>
        <w:rPr/>
      </w:pPr>
      <w:r>
        <w:rPr/>
        <w:t>Unless otherwise stated herein, the accounting and billing period for Transactions shall be one (1) calendar month.  Each of the Parties shall submit to the other, as promptly as possible after the first Business Day of each month, a statement for the Transaction(s) and the respective amounts due for the preceding calendar month.</w:t>
      </w:r>
    </w:p>
    <w:p>
      <w:pPr>
        <w:pStyle w:val="BodyText2"/>
        <w:ind w:firstLine="720" w:start="0" w:end="0"/>
        <w:rPr>
          <w:del w:id="300" w:author="Preferred Customer" w:date="1999-06-04T15:19:00Z"/>
        </w:rPr>
      </w:pPr>
      <w:ins w:id="298" w:author="Preferred Customer" w:date="1999-06-04T16:47:00Z">
        <w:r>
          <w:rPr/>
          <w:t>7.2</w:t>
          <w:tab/>
        </w:r>
      </w:ins>
      <w:del w:id="299" w:author="Preferred Customer" w:date="1999-06-04T15:19:00Z">
        <w:r>
          <w:rPr/>
          <w:delText>Payment Due Date.</w:delText>
        </w:r>
      </w:del>
    </w:p>
    <w:p>
      <w:pPr>
        <w:pStyle w:val="BodyText2"/>
        <w:ind w:firstLine="720" w:start="0" w:end="0"/>
        <w:rPr/>
      </w:pPr>
      <w:r>
        <w:rPr/>
        <w:t>Payments for amounts billed shall be due on the latter of sixteen (16) days from the date of postmark or facsimile transmission, or the twentieth (20th) day of the month.  If the due date falls on a non-Business Day, then the payment shall be due on the next following Business Day.  Amounts not paid on or before the due date shall be payable with interest at the Interest Rate accrued from the due date.</w:t>
      </w:r>
    </w:p>
    <w:p>
      <w:pPr>
        <w:pStyle w:val="BodyText2"/>
        <w:ind w:firstLine="720" w:start="0" w:end="0"/>
        <w:rPr>
          <w:del w:id="304" w:author="Preferred Customer" w:date="1999-06-04T15:19:00Z"/>
        </w:rPr>
      </w:pPr>
      <w:ins w:id="301" w:author="Preferred Customer" w:date="1999-06-04T15:20:00Z">
        <w:r>
          <w:rPr/>
          <w:t xml:space="preserve"> </w:t>
        </w:r>
      </w:ins>
      <w:ins w:id="302" w:author="Preferred Customer" w:date="1999-06-04T16:47:00Z">
        <w:r>
          <w:rPr/>
          <w:t>7.3</w:t>
          <w:tab/>
        </w:r>
      </w:ins>
      <w:del w:id="303" w:author="Preferred Customer" w:date="1999-06-04T15:19:00Z">
        <w:r>
          <w:rPr/>
          <w:delText>Disputed Amounts.</w:delText>
        </w:r>
      </w:del>
    </w:p>
    <w:p>
      <w:pPr>
        <w:pStyle w:val="BodyText2"/>
        <w:ind w:firstLine="720" w:start="0" w:end="0"/>
        <w:rPr/>
      </w:pPr>
      <w:r>
        <w:rPr/>
        <w:t>If the Buyer, in good faith, disputes the amount of any such invoice or statement or any part thereof, Buyer will pay to Seller such amount as it concedes to be correct by the date set forth in Article 7.2 of this Agreement.  Buyer must provide to Seller a written notice of the disputed amount together with a detailed statement of particulars of the dispute, including the calculations with respect to any errors or inaccuracies claimed.  If it is subsequently determined that Buyer owes Seller any portion of the disputed amount, Buyer shall remit to Seller within two (2) Business Days following such resolution the outstanding balance together with interest at the Interest Rate accrued from the due date.</w:t>
      </w:r>
    </w:p>
    <w:p>
      <w:pPr>
        <w:pStyle w:val="BodyText2"/>
        <w:ind w:firstLine="720" w:start="0" w:end="0"/>
        <w:rPr>
          <w:del w:id="307" w:author="Preferred Customer" w:date="1999-06-04T15:21:00Z"/>
        </w:rPr>
      </w:pPr>
      <w:ins w:id="305" w:author="Preferred Customer" w:date="1999-06-04T16:47:00Z">
        <w:r>
          <w:rPr/>
          <w:t>7.4</w:t>
          <w:tab/>
        </w:r>
      </w:ins>
      <w:del w:id="306" w:author="Preferred Customer" w:date="1999-06-04T15:21:00Z">
        <w:r>
          <w:rPr/>
          <w:delText>7.4</w:delText>
          <w:tab/>
          <w:delText>Netting.</w:delText>
        </w:r>
      </w:del>
    </w:p>
    <w:p>
      <w:pPr>
        <w:pStyle w:val="BodyText2"/>
        <w:ind w:firstLine="720" w:start="0" w:end="0"/>
        <w:rPr/>
      </w:pPr>
      <w:r>
        <w:rPr/>
        <w:t>If the Buyer and the Seller are each required to pay an amount to each other in the same calendar month for Transactions under this Agreement, then the Party owing the greater amount (the “Debtor”) shall apply the amount (the “Credit Balance”) owed by the other Party (the “Creditor”) toward payment of the amounts owed by the Debtor to the Creditor for such calendar month.  Both Parties must agree upon amounts due.  The remainder of the mutually agreed to amount owed by the Debtor to the Creditor (after deduction of the Credit Balance) shall be paid in accordance with this Agreement</w:t>
      </w:r>
      <w:r>
        <w:rPr>
          <w:rFonts w:cs="Times New Roman Bold" w:ascii="Times New Roman Bold" w:hAnsi="Times New Roman Bold"/>
          <w:caps/>
        </w:rPr>
        <w:t>.</w:t>
      </w:r>
    </w:p>
    <w:p>
      <w:pPr>
        <w:pStyle w:val="BodyText2"/>
        <w:ind w:firstLine="720" w:start="0" w:end="0"/>
        <w:rPr>
          <w:del w:id="311" w:author="Preferred Customer" w:date="1999-06-04T15:21:00Z"/>
        </w:rPr>
      </w:pPr>
      <w:ins w:id="308" w:author="Preferred Customer" w:date="1999-06-04T16:48:00Z">
        <w:r>
          <w:rPr>
            <w:caps/>
          </w:rPr>
          <w:t>7.5</w:t>
          <w:tab/>
        </w:r>
      </w:ins>
      <w:del w:id="309" w:author="Preferred Customer" w:date="1999-06-04T15:21:00Z">
        <w:r>
          <w:rPr>
            <w:caps/>
          </w:rPr>
          <w:delText>7.5</w:delText>
          <w:tab/>
        </w:r>
      </w:del>
      <w:del w:id="310" w:author="Preferred Customer" w:date="1999-06-04T15:21:00Z">
        <w:r>
          <w:rPr/>
          <w:delText>Payment Method.</w:delText>
          <w:tab/>
        </w:r>
      </w:del>
    </w:p>
    <w:p>
      <w:pPr>
        <w:pStyle w:val="BodyText2"/>
        <w:ind w:firstLine="720" w:start="0" w:end="0"/>
        <w:rPr/>
      </w:pPr>
      <w:r>
        <w:rPr/>
        <w:t xml:space="preserve">All payments shall be made by electronic funds transfer (EFT) through a mutually agreed to settlement mechanism, such as the Automated Clearing House or Federal Reserve System wire transfer.  The Parties shall use all reasonable efforts to keep confidential and prevent disclosure of any banking information provided by each Party to any person who is not an authorized representative of either Party for the purpose of completing EFT transactions under this Agreement.  The Parties agree that all EFT payments will be governed by the Operating Rules of the National Automated Clearing House Association, as such rules may be revised or amended from time to time.  Each Party agrees to pay its respective costs of transmission or receipt of EFT payments.  An EFT payment shall be (i) considered timely if the payment is completed on the payment due date and (ii) deemed completed when the receiving Party’s depository institution receives or has control of the payment.  Each Party will give notice in writing to the other Party of any changes in depository institutions or other payment instructions in accordance with Exhibit “B” attached hereto. </w:t>
      </w:r>
    </w:p>
    <w:p>
      <w:pPr>
        <w:pStyle w:val="Subheading1"/>
        <w:rPr/>
      </w:pPr>
      <w:bookmarkStart w:id="10" w:name="__RefHeading___Toc453144111"/>
      <w:bookmarkEnd w:id="10"/>
      <w:r>
        <w:rPr/>
        <w:t xml:space="preserve">ARTICLE </w:t>
      </w:r>
      <w:ins w:id="312" w:author="Preferred Customer" w:date="1999-06-04T15:16:00Z">
        <w:r>
          <w:rPr/>
          <w:t>8</w:t>
        </w:r>
      </w:ins>
      <w:del w:id="313" w:author="Preferred Customer" w:date="1999-06-04T15:16:00Z">
        <w:r>
          <w:rPr/>
          <w:delText>VIII</w:delText>
        </w:r>
      </w:del>
      <w:r>
        <w:rPr/>
        <w:t xml:space="preserve"> - Audit Inspection</w:t>
      </w:r>
    </w:p>
    <w:p>
      <w:pPr>
        <w:pStyle w:val="Subheading1"/>
        <w:rPr/>
      </w:pPr>
      <w:r>
        <w:rPr/>
      </w:r>
    </w:p>
    <w:p>
      <w:pPr>
        <w:pStyle w:val="BodyText2"/>
        <w:numPr>
          <w:ilvl w:val="0"/>
          <w:numId w:val="0"/>
        </w:numPr>
        <w:ind w:firstLine="720" w:start="0" w:end="0"/>
        <w:outlineLvl w:val="0"/>
        <w:rPr/>
      </w:pPr>
      <w:r>
        <w:rPr/>
        <w:t>8.1</w:t>
      </w:r>
      <w:ins w:id="314" w:author="Margaret Pemberton" w:date="1999-06-04T16:53:00Z">
        <w:r>
          <w:rPr/>
          <w:tab/>
        </w:r>
      </w:ins>
      <w:del w:id="315" w:author="Margaret Pemberton" w:date="1999-06-04T16:53:00Z">
        <w:r>
          <w:rPr/>
          <w:delText xml:space="preserve">    </w:delText>
        </w:r>
      </w:del>
      <w:r>
        <w:rPr/>
        <w:t>Each Party shall keep detailed records of all Transactions sufficient to determine the transfers of Wholesale Electricity on an hourly basis.  Such records shall be retained and shall be available for audit or examination by the other Party as hereinafter provided.  Each Party has the right during normal working hours and upon reasonable written notice to examine the records of the other Party as necessary to verify the accuracy of any statement, charge, payment or computation made under this Agreement.  If any such examination reveals any inaccuracy in any statement, the necessary adjustments in such statement and the payments thereof will be promptly made, provided however, that all invoices and billings shall be conclusively presumed final and accurate unless objected to in writing, with adequate explanation and/or documentation, within two years after delivery of the Wholesale Electricity.  The cost of any examination under this Section shall be borne entirely by the Party initiating such examination, unless such examination reveals a deviation of at least 10% or $20,000 (whichever is greater), in the amount invoiced over that period, not to exceed two years, compared to the amount that the examination reveals should have been invoiced over the period, in which case the Party responsible for the billing deviation shall bear the costs of the examination.</w:t>
      </w:r>
    </w:p>
    <w:p>
      <w:pPr>
        <w:pStyle w:val="Subheading1"/>
        <w:rPr/>
      </w:pPr>
      <w:bookmarkStart w:id="11" w:name="__RefHeading___Toc453144112"/>
      <w:bookmarkEnd w:id="11"/>
      <w:r>
        <w:rPr/>
        <w:t xml:space="preserve">ARTICLE </w:t>
      </w:r>
      <w:ins w:id="316" w:author="Preferred Customer" w:date="1999-06-04T15:16:00Z">
        <w:r>
          <w:rPr/>
          <w:t>9</w:t>
        </w:r>
      </w:ins>
      <w:del w:id="317" w:author="Preferred Customer" w:date="1999-06-04T15:16:00Z">
        <w:r>
          <w:rPr/>
          <w:delText>IX</w:delText>
        </w:r>
      </w:del>
      <w:r>
        <w:rPr/>
        <w:t xml:space="preserve"> - Financial Responsibility</w:t>
      </w:r>
    </w:p>
    <w:p>
      <w:pPr>
        <w:pStyle w:val="Subheading1"/>
        <w:rPr/>
      </w:pPr>
      <w:r>
        <w:rPr/>
      </w:r>
    </w:p>
    <w:p>
      <w:pPr>
        <w:pStyle w:val="BodyText2"/>
        <w:ind w:firstLine="720" w:start="0" w:end="0"/>
        <w:rPr/>
      </w:pPr>
      <w:r>
        <w:rPr/>
        <w:t>9.1</w:t>
        <w:tab/>
        <w:t>The provisions of Article 9 shall apply if and only if the Parties have not agreed to a separate credit agreement</w:t>
      </w:r>
      <w:ins w:id="318" w:author="Margaret Pemberton" w:date="1999-06-04T14:52:00Z">
        <w:r>
          <w:rPr/>
          <w:t xml:space="preserve"> attached as Exhibit “C”</w:t>
        </w:r>
      </w:ins>
      <w:r>
        <w:rPr/>
        <w:t xml:space="preserve">.  Should a Party’s creditworthiness, financial responsibility or performance viability become unsatisfactory to the other Party, in such other Party’s reasonably exercised discretion, the dissatisfied Party (the “First Party”) may require the other Party (the “Second Party”) to provide, at the Second Party’s option (subject to the First Party’s acceptance), either (i) the posting of a letter of credit; (ii) a cash prepayment; (iii) a guarantee; or (iv) the posting of other acceptable collateral or security by the Second Party.  In determining whether the Second Party has provided acceptable collateral or security, the First Party shall exercise commercially reasonable discretion. </w:t>
      </w:r>
      <w:r>
        <w:br w:type="page"/>
      </w:r>
    </w:p>
    <w:p>
      <w:pPr>
        <w:pStyle w:val="Subheading1"/>
        <w:rPr/>
      </w:pPr>
      <w:bookmarkStart w:id="12" w:name="__RefHeading___Toc453144113"/>
      <w:bookmarkEnd w:id="12"/>
      <w:r>
        <w:rPr/>
        <w:t xml:space="preserve">ARTICLE </w:t>
      </w:r>
      <w:del w:id="319" w:author="Preferred Customer" w:date="1999-06-04T15:16:00Z">
        <w:r>
          <w:rPr/>
          <w:delText xml:space="preserve">X </w:delText>
        </w:r>
      </w:del>
      <w:ins w:id="320" w:author="Preferred Customer" w:date="1999-06-04T15:16:00Z">
        <w:r>
          <w:rPr/>
          <w:t>10</w:t>
        </w:r>
      </w:ins>
      <w:r>
        <w:rPr/>
        <w:t>- Force Majeure</w:t>
      </w:r>
    </w:p>
    <w:p>
      <w:pPr>
        <w:pStyle w:val="Subheading1"/>
        <w:rPr/>
      </w:pPr>
      <w:r>
        <w:rPr/>
      </w:r>
    </w:p>
    <w:p>
      <w:pPr>
        <w:pStyle w:val="BodyText2"/>
        <w:ind w:firstLine="720" w:start="0" w:end="0"/>
        <w:rPr/>
      </w:pPr>
      <w:r>
        <w:rPr>
          <w:spacing w:val="2"/>
        </w:rPr>
        <w:t>10.1</w:t>
        <w:tab/>
        <w:t xml:space="preserve">Performance obligations of the Parties shall be as specified in the </w:t>
      </w:r>
      <w:r>
        <w:rPr/>
        <w:t xml:space="preserve">Transaction and Transmission Types as described in the ERCOT Guides and agreed to by the Parties.   In addition to the excuses for nonperformance set forth in the Transaction and Transmission Types, and notwithstanding anything else in this Agreement, a Party’s obligation to perform (other than an obligation to pay money when due) shall be excused during a period of Force Majeure.   Force Majeure is limited to situations where for reasons beyond a Party’s control, it is impossible to perform and the Parties are unable to obtain a substitute acceptable to the </w:t>
      </w:r>
      <w:del w:id="321" w:author="Margaret Pemberton" w:date="1999-06-04T14:34:00Z">
        <w:r>
          <w:rPr/>
          <w:delText>p</w:delText>
        </w:r>
      </w:del>
      <w:ins w:id="322" w:author="Margaret Pemberton" w:date="1999-06-04T14:34:00Z">
        <w:r>
          <w:rPr/>
          <w:t>P</w:t>
        </w:r>
      </w:ins>
      <w:r>
        <w:rPr/>
        <w:t xml:space="preserve">erforming Party at the Delivery Point.  Either Party rendered unable to fulfill any of its obligations under this Agreement by reason of Force Majeure shall give prompt verbal notice followed by written notice as soon as the exigencies of the situation reasonably permit of such inability to perform to the other Party and shall exercise due diligence to remove such inability with all reasonable dispatch. </w:t>
      </w:r>
    </w:p>
    <w:p>
      <w:pPr>
        <w:pStyle w:val="Subheading1"/>
        <w:rPr/>
      </w:pPr>
      <w:bookmarkStart w:id="13" w:name="__RefHeading___Toc453144114"/>
      <w:bookmarkEnd w:id="13"/>
      <w:r>
        <w:rPr/>
        <w:t xml:space="preserve">ARTICLE </w:t>
      </w:r>
      <w:del w:id="323" w:author="Preferred Customer" w:date="1999-06-04T15:16:00Z">
        <w:r>
          <w:rPr/>
          <w:delText>XI</w:delText>
        </w:r>
      </w:del>
      <w:ins w:id="324" w:author="Preferred Customer" w:date="1999-06-04T15:16:00Z">
        <w:r>
          <w:rPr/>
          <w:t>11</w:t>
        </w:r>
      </w:ins>
      <w:r>
        <w:rPr/>
        <w:t xml:space="preserve"> – Term</w:t>
      </w:r>
    </w:p>
    <w:p>
      <w:pPr>
        <w:pStyle w:val="Subheading1"/>
        <w:rPr/>
      </w:pPr>
      <w:r>
        <w:rPr/>
      </w:r>
    </w:p>
    <w:p>
      <w:pPr>
        <w:pStyle w:val="BodyText2"/>
        <w:ind w:firstLine="720" w:start="0" w:end="0"/>
        <w:rPr/>
      </w:pPr>
      <w:r>
        <w:rPr/>
        <w:t>11.1</w:t>
      </w:r>
      <w:ins w:id="325" w:author="Margaret Pemberton" w:date="1999-06-04T16:54:00Z">
        <w:r>
          <w:rPr/>
          <w:tab/>
        </w:r>
      </w:ins>
      <w:del w:id="326" w:author="Margaret Pemberton" w:date="1999-06-04T16:54:00Z">
        <w:r>
          <w:rPr/>
          <w:tab/>
        </w:r>
      </w:del>
      <w:r>
        <w:rPr/>
        <w:t>This Agreement is in effect for a period of thirty days, automatically renewing on a month to month basis unless either Party gives thirty (30) days writte</w:t>
      </w:r>
      <w:del w:id="327" w:author="Preferred Customer" w:date="1999-06-04T15:16:00Z">
        <w:r>
          <w:rPr/>
          <w:delText xml:space="preserve">n </w:delText>
        </w:r>
      </w:del>
      <w:ins w:id="328" w:author="Preferred Customer" w:date="1999-06-04T15:16:00Z">
        <w:r>
          <w:rPr/>
          <w:t xml:space="preserve">n </w:t>
        </w:r>
      </w:ins>
      <w:r>
        <w:rPr/>
        <w:t>notice of cancellation, provided however, that this Agreement shall remain in effect with respect to any Transaction(s) entered into prior to the effective date of its termination until both Parties have fulfilled all of their obligations with respect to such Transaction(s).  The rights of either Party under Articles 7 and 8 of this Agreement, the obligations to make payment under Articles 6, 7, 8, 10 and 15 of this Agreement, the obligations of either Party to indemnify the other under Articles 12, 13 and 14 of this Agreement, the obligations relating to confidentiality under Article 18 of the Agreement, the obligations relating to alternative dispute resolution under Article 19 of the Agreement and the obligations relating to jurisdiction under Article 20.11 of the Agreement shall survive the termination of the Agreement and any applicable Transaction Confirmation.</w:t>
      </w:r>
      <w:r>
        <w:br w:type="page"/>
      </w:r>
    </w:p>
    <w:p>
      <w:pPr>
        <w:pStyle w:val="Subheading1"/>
        <w:rPr/>
      </w:pPr>
      <w:bookmarkStart w:id="14" w:name="__RefHeading___Toc453144115"/>
      <w:r>
        <w:rPr/>
        <w:t xml:space="preserve">ARTICLE </w:t>
      </w:r>
      <w:del w:id="329" w:author="Preferred Customer" w:date="1999-06-04T15:16:00Z">
        <w:r>
          <w:rPr/>
          <w:delText>XII</w:delText>
        </w:r>
      </w:del>
      <w:ins w:id="330" w:author="Preferred Customer" w:date="1999-06-04T15:16:00Z">
        <w:r>
          <w:rPr/>
          <w:t>12</w:t>
        </w:r>
      </w:ins>
      <w:r>
        <w:rPr/>
        <w:t xml:space="preserve"> - Title</w:t>
      </w:r>
      <w:bookmarkEnd w:id="14"/>
      <w:r>
        <w:rPr/>
        <w:t xml:space="preserve"> </w:t>
      </w:r>
    </w:p>
    <w:p>
      <w:pPr>
        <w:pStyle w:val="Subheading1"/>
        <w:rPr/>
      </w:pPr>
      <w:r>
        <w:rPr/>
      </w:r>
    </w:p>
    <w:p>
      <w:pPr>
        <w:pStyle w:val="BodyText2"/>
        <w:ind w:firstLine="720" w:start="0" w:end="0"/>
        <w:rPr/>
      </w:pPr>
      <w:r>
        <w:rPr/>
        <w:t xml:space="preserve">12.1   Unless otherwise specifically agreed in the Transaction Confirmation, title to and risk of loss of the Wholesale Electricity shall pass from the Seller to the Buyer at the Delivery Point. </w:t>
      </w:r>
    </w:p>
    <w:p>
      <w:pPr>
        <w:pStyle w:val="Subheading1"/>
        <w:rPr/>
      </w:pPr>
      <w:bookmarkStart w:id="15" w:name="__RefHeading___Toc453144116"/>
      <w:r>
        <w:rPr/>
        <w:t xml:space="preserve">ARTICLE </w:t>
      </w:r>
      <w:ins w:id="331" w:author="Preferred Customer" w:date="1999-06-04T15:16:00Z">
        <w:r>
          <w:rPr/>
          <w:t>13</w:t>
        </w:r>
      </w:ins>
      <w:del w:id="332" w:author="Preferred Customer" w:date="1999-06-04T15:16:00Z">
        <w:r>
          <w:rPr/>
          <w:delText>XIII</w:delText>
        </w:r>
      </w:del>
      <w:r>
        <w:rPr/>
        <w:t xml:space="preserve"> - Representations and Warranties</w:t>
      </w:r>
      <w:bookmarkEnd w:id="15"/>
      <w:r>
        <w:rPr/>
        <w:t xml:space="preserve"> </w:t>
      </w:r>
    </w:p>
    <w:p>
      <w:pPr>
        <w:pStyle w:val="Subheading1"/>
        <w:rPr/>
      </w:pPr>
      <w:r>
        <w:rPr/>
      </w:r>
    </w:p>
    <w:p>
      <w:pPr>
        <w:pStyle w:val="BodyText2"/>
        <w:numPr>
          <w:ilvl w:val="1"/>
          <w:numId w:val="18"/>
        </w:numPr>
        <w:tabs>
          <w:tab w:val="clear" w:pos="1440"/>
          <w:tab w:val="left" w:pos="0" w:leader="none"/>
        </w:tabs>
        <w:ind w:firstLine="720" w:start="0" w:end="0"/>
        <w:rPr/>
      </w:pPr>
      <w:del w:id="333" w:author="Margaret Pemberton" w:date="1999-06-04T14:35:00Z">
        <w:r>
          <w:rPr/>
          <w:delText>B</w:delText>
        </w:r>
      </w:del>
      <w:del w:id="334" w:author="Margaret Pemberton" w:date="1999-06-04T14:35:00Z">
        <w:r>
          <w:rPr>
            <w:b/>
          </w:rPr>
          <w:delText>y</w:delText>
        </w:r>
      </w:del>
      <w:del w:id="335" w:author="Margaret Pemberton" w:date="1999-06-04T14:35:00Z">
        <w:r>
          <w:rPr/>
          <w:delText xml:space="preserve"> </w:delText>
        </w:r>
      </w:del>
      <w:ins w:id="336" w:author="Margaret Pemberton" w:date="1999-06-04T14:35:00Z">
        <w:r>
          <w:rPr/>
          <w:t xml:space="preserve">By </w:t>
        </w:r>
      </w:ins>
      <w:r>
        <w:rPr/>
        <w:t>executing this Agreement, each Party represents and warrants that (i) it is authorized to do business in Texas; (ii) it is authorized by the PUCT and/or FERC to engage in Wholesale Electricity Transactions; (iii) it has (if applicable) complied with the registration provisions of PUCT Substantive Rule 26.105, or its successor; and (iv) it will comply with all applicable rules, regulations, orders and laws of the State of Texas.</w:t>
      </w:r>
    </w:p>
    <w:p>
      <w:pPr>
        <w:pStyle w:val="BodyText2"/>
        <w:numPr>
          <w:ilvl w:val="1"/>
          <w:numId w:val="18"/>
        </w:numPr>
        <w:tabs>
          <w:tab w:val="clear" w:pos="1440"/>
          <w:tab w:val="left" w:pos="0" w:leader="none"/>
        </w:tabs>
        <w:ind w:firstLine="720" w:start="0" w:end="0"/>
        <w:rPr/>
      </w:pPr>
      <w:r>
        <w:rPr/>
        <w:t>This Agreement is subject to all valid, applicable tariffs approved or accepted for filing by regulatory authorities having jurisdiction.  In the event Seller interrupts a Transaction in accordance with Seller’s tariff, Seller shall nevertheless pay Buyer damages calculated in accordance with Article 5, unless Seller is excused from performance by Force Majeure, the other Party’s failure to perform or the ERCOT Guides.</w:t>
      </w:r>
    </w:p>
    <w:p>
      <w:pPr>
        <w:pStyle w:val="BodyText2"/>
        <w:numPr>
          <w:ilvl w:val="1"/>
          <w:numId w:val="18"/>
        </w:numPr>
        <w:tabs>
          <w:tab w:val="clear" w:pos="1440"/>
          <w:tab w:val="left" w:pos="0" w:leader="none"/>
        </w:tabs>
        <w:ind w:firstLine="720" w:start="0" w:end="0"/>
        <w:rPr/>
      </w:pPr>
      <w:r>
        <w:rPr/>
        <w:t>Seller represents and warrants that it will have good and merchantable title to and/or will have the right to deliver all Wholesale Electricity sold hereunder and delivered by it to Buyer, free and clear of all liens, encumbrances and claims.  Seller agrees to indemnify Buyer and hold Buyer harmless from all losses, liabilities or claims, including attorneys’ fees and costs of court, arising from or out of breaches of the aforesaid warranty.</w:t>
      </w:r>
    </w:p>
    <w:p>
      <w:pPr>
        <w:pStyle w:val="BodyText2"/>
        <w:numPr>
          <w:ilvl w:val="1"/>
          <w:numId w:val="18"/>
        </w:numPr>
        <w:tabs>
          <w:tab w:val="clear" w:pos="1440"/>
          <w:tab w:val="left" w:pos="0" w:leader="none"/>
        </w:tabs>
        <w:ind w:firstLine="720" w:start="0" w:end="0"/>
        <w:rPr/>
      </w:pPr>
      <w:r>
        <w:rPr/>
        <w:t>Each Party represents and warrants that it has the necessary corporate, governmental, regulatory and legal authority, right and power to enter into and agree to the applicable Transaction, to perform each and every duty imposed under the Agreement, and that the Agreement constitutes a legal, valid and binding obligation enforceable against each Party in accordance with the terms and conditions of this Agreement and Transaction Confirmation(s).</w:t>
      </w:r>
    </w:p>
    <w:p>
      <w:pPr>
        <w:pStyle w:val="BodyText2"/>
        <w:numPr>
          <w:ilvl w:val="1"/>
          <w:numId w:val="18"/>
        </w:numPr>
        <w:tabs>
          <w:tab w:val="clear" w:pos="1440"/>
          <w:tab w:val="left" w:pos="0" w:leader="none"/>
        </w:tabs>
        <w:ind w:firstLine="720" w:start="0" w:end="0"/>
        <w:rPr/>
      </w:pPr>
      <w:r>
        <w:rPr>
          <w:spacing w:val="2"/>
        </w:rPr>
        <w:t xml:space="preserve">Each Party further represents and warrants that (i) there are no </w:t>
      </w:r>
      <w:r>
        <w:rPr/>
        <w:t xml:space="preserve">Bankruptcy Proceedings pending or being contemplated by it or, to its knowledge, threatened against it; (ii) there are no Legal Proceedings that materially adversely affect its ability to perform its obligations under this Agreement and each Transaction; (iii) it understands and agrees that the other Party is not acting as its fiduciary, advisor or agent with respect to this Agreement or any Transaction; (iv) it is not relying upon the advice, assurance or representations of the other Party, except for those representations set forth in this Agreement; (v) it has knowledge and experience in financial matters and the energy industry that enable it to evaluate the merits and risks of entering into this Agreement and each Transaction; and (vi) it is a producer or merchant handling the Wholesale Electricity subject to this Agreement, and it has entered into this Agreement and will enter into each Transaction solely for the purposes related to its business as such.  Each Party covenants that it will cause these representations and warranties to be true and correct throughout the term of the Agreement. </w:t>
      </w:r>
    </w:p>
    <w:p>
      <w:pPr>
        <w:pStyle w:val="Subheading1"/>
        <w:rPr>
          <w:del w:id="338" w:author="Preferred Customer" w:date="1999-06-04T15:42:00Z"/>
        </w:rPr>
      </w:pPr>
      <w:del w:id="337" w:author="Preferred Customer" w:date="1999-06-04T15:42:00Z">
        <w:r>
          <w:rPr/>
        </w:r>
      </w:del>
    </w:p>
    <w:p>
      <w:pPr>
        <w:pStyle w:val="Subheading1"/>
        <w:rPr>
          <w:del w:id="340" w:author="Preferred Customer" w:date="1999-06-04T15:42:00Z"/>
        </w:rPr>
      </w:pPr>
      <w:del w:id="339" w:author="Preferred Customer" w:date="1999-06-04T15:42:00Z">
        <w:r>
          <w:rPr/>
        </w:r>
      </w:del>
    </w:p>
    <w:p>
      <w:pPr>
        <w:pStyle w:val="Subheading1"/>
        <w:rPr>
          <w:del w:id="342" w:author="Preferred Customer" w:date="1999-06-04T15:42:00Z"/>
        </w:rPr>
      </w:pPr>
      <w:del w:id="341" w:author="Preferred Customer" w:date="1999-06-04T15:42:00Z">
        <w:r>
          <w:rPr/>
        </w:r>
      </w:del>
    </w:p>
    <w:p>
      <w:pPr>
        <w:pStyle w:val="Subheading1"/>
        <w:rPr/>
      </w:pPr>
      <w:r>
        <w:rPr/>
      </w:r>
    </w:p>
    <w:p>
      <w:pPr>
        <w:pStyle w:val="Subheading1"/>
        <w:spacing w:lineRule="auto" w:line="480"/>
        <w:rPr/>
      </w:pPr>
      <w:bookmarkStart w:id="16" w:name="__RefHeading___Toc453144117"/>
      <w:bookmarkEnd w:id="16"/>
      <w:r>
        <w:rPr/>
        <w:t xml:space="preserve">ARTICLE </w:t>
      </w:r>
      <w:del w:id="343" w:author="Preferred Customer" w:date="1999-06-04T15:17:00Z">
        <w:r>
          <w:rPr/>
          <w:delText>XIV</w:delText>
        </w:r>
      </w:del>
      <w:ins w:id="344" w:author="Preferred Customer" w:date="1999-06-04T15:17:00Z">
        <w:r>
          <w:rPr/>
          <w:t>14</w:t>
        </w:r>
      </w:ins>
      <w:r>
        <w:rPr/>
        <w:t xml:space="preserve"> - Events of Default</w:t>
      </w:r>
    </w:p>
    <w:p>
      <w:pPr>
        <w:pStyle w:val="BodyText2"/>
        <w:numPr>
          <w:ilvl w:val="0"/>
          <w:numId w:val="19"/>
        </w:numPr>
        <w:tabs>
          <w:tab w:val="clear" w:pos="1440"/>
          <w:tab w:val="left" w:pos="720" w:leader="none"/>
        </w:tabs>
        <w:ind w:hanging="0" w:start="0" w:end="0"/>
        <w:rPr>
          <w:del w:id="346" w:author="Preferred Customer" w:date="1999-06-04T15:43:00Z"/>
        </w:rPr>
      </w:pPr>
      <w:del w:id="345" w:author="Preferred Customer" w:date="1999-06-04T15:43:00Z">
        <w:r>
          <w:rPr/>
        </w:r>
      </w:del>
    </w:p>
    <w:p>
      <w:pPr>
        <w:pStyle w:val="BodyText2"/>
        <w:numPr>
          <w:ilvl w:val="0"/>
          <w:numId w:val="19"/>
        </w:numPr>
        <w:tabs>
          <w:tab w:val="clear" w:pos="1440"/>
          <w:tab w:val="left" w:pos="720" w:leader="none"/>
        </w:tabs>
        <w:ind w:hanging="0" w:start="0" w:end="0"/>
        <w:rPr/>
      </w:pPr>
      <w:r>
        <w:rPr/>
        <w:t>14.1   An "Event of Default" shall mean, with respect to a Party ("Defaulting Party"), the occurrence of any of the following:</w:t>
      </w:r>
    </w:p>
    <w:p>
      <w:pPr>
        <w:pStyle w:val="Normal"/>
        <w:spacing w:lineRule="auto" w:line="480"/>
        <w:jc w:val="both"/>
        <w:rPr>
          <w:sz w:val="24"/>
        </w:rPr>
      </w:pPr>
      <w:r>
        <w:rPr>
          <w:sz w:val="24"/>
        </w:rPr>
        <w:tab/>
        <w:t>(a)   any representation or warranty made by the Defaulting Party herein shall, when made or when deemed to be repeated, prove to be false or misleading in any material respect and the Defaulting Party fails to cure the default condition within two (2) Business Days after the other Party (the “Non-Defaulting Party”) gives written notice to the Defaulting Party;</w:t>
      </w:r>
    </w:p>
    <w:p>
      <w:pPr>
        <w:pStyle w:val="Normal"/>
        <w:spacing w:lineRule="auto" w:line="480"/>
        <w:ind w:firstLine="1440" w:end="0"/>
        <w:jc w:val="both"/>
        <w:rPr>
          <w:sz w:val="24"/>
        </w:rPr>
      </w:pPr>
      <w:r>
        <w:rPr>
          <w:sz w:val="24"/>
        </w:rPr>
        <w:t>(b)   the failure to pay in accordance with Article 7 hereof if the Defaulting Party fails to cure the default condition within two (2) Business Days after the Non-Defaulting Party provides written notice of the default condition to the Defaulting Party;</w:t>
      </w:r>
    </w:p>
    <w:p>
      <w:pPr>
        <w:pStyle w:val="Normal"/>
        <w:spacing w:lineRule="auto" w:line="480"/>
        <w:jc w:val="both"/>
        <w:rPr>
          <w:sz w:val="24"/>
        </w:rPr>
      </w:pPr>
      <w:r>
        <w:rPr>
          <w:sz w:val="24"/>
        </w:rPr>
        <w:tab/>
        <w:t xml:space="preserve">(c)    the Defaulting Party shall be subject to a Bankruptcy Proceeding; </w:t>
      </w:r>
    </w:p>
    <w:p>
      <w:pPr>
        <w:pStyle w:val="Normal"/>
        <w:numPr>
          <w:ilvl w:val="0"/>
          <w:numId w:val="19"/>
        </w:numPr>
        <w:tabs>
          <w:tab w:val="left" w:pos="1440" w:leader="none"/>
        </w:tabs>
        <w:spacing w:lineRule="auto" w:line="480"/>
        <w:ind w:hanging="0" w:start="0" w:end="0"/>
        <w:jc w:val="both"/>
        <w:rPr>
          <w:sz w:val="24"/>
        </w:rPr>
      </w:pPr>
      <w:r>
        <w:rPr>
          <w:sz w:val="24"/>
        </w:rPr>
        <w:t>(d) the failure of a Party to perform as required pursuant to any separate credit agreement between the Parties, or if applicable, the failure of a Party to provide satisfactory assurances to perform within three (3) Business Days of demand therefore, as described in Article 9 hereof;</w:t>
      </w:r>
    </w:p>
    <w:p>
      <w:pPr>
        <w:pStyle w:val="BodyText2"/>
        <w:ind w:start="0" w:end="0"/>
        <w:rPr/>
      </w:pPr>
      <w:r>
        <w:rPr/>
        <w:tab/>
        <w:t>(e)   the failure of the Defaulting Party to perform any covenant set forth in this Agreement (other than the failure to deliver or receive, the remedy for which is provided in Article 5 in which event timely payment of damages set forth in Article 5 constitutes performance) and such failure is not cured within fifteen (15) Business Days after written notice thereof to the Defaulting Party.</w:t>
      </w:r>
    </w:p>
    <w:p>
      <w:pPr>
        <w:pStyle w:val="Subheading1"/>
        <w:rPr/>
      </w:pPr>
      <w:bookmarkStart w:id="17" w:name="__RefHeading___Toc453144118"/>
      <w:bookmarkEnd w:id="17"/>
      <w:r>
        <w:rPr/>
        <w:t xml:space="preserve">ARTICLE </w:t>
      </w:r>
      <w:ins w:id="347" w:author="Preferred Customer" w:date="1999-06-04T15:17:00Z">
        <w:r>
          <w:rPr/>
          <w:t>15</w:t>
        </w:r>
      </w:ins>
      <w:del w:id="348" w:author="Preferred Customer" w:date="1999-06-04T15:17:00Z">
        <w:r>
          <w:rPr/>
          <w:delText>XV</w:delText>
        </w:r>
      </w:del>
      <w:r>
        <w:rPr/>
        <w:t xml:space="preserve"> - Remedies Upon a Default</w:t>
      </w:r>
    </w:p>
    <w:p>
      <w:pPr>
        <w:pStyle w:val="Subheading1"/>
        <w:rPr/>
      </w:pPr>
      <w:r>
        <w:rPr/>
      </w:r>
    </w:p>
    <w:p>
      <w:pPr>
        <w:pStyle w:val="Normal"/>
        <w:spacing w:lineRule="auto" w:line="480"/>
        <w:ind w:firstLine="720" w:end="0"/>
        <w:jc w:val="both"/>
        <w:rPr>
          <w:b/>
          <w:sz w:val="24"/>
        </w:rPr>
      </w:pPr>
      <w:r>
        <w:rPr>
          <w:sz w:val="24"/>
        </w:rPr>
        <w:t>15.1</w:t>
        <w:tab/>
        <w:t>Upon the occurrence of an Event of Default described under Article 14.1(c), all Transactions and this Agreement in respect thereof shall automatically terminate, without notice, and without any other action by either Party as if a payment due date had been declared immediately prior to such event.</w:t>
      </w:r>
    </w:p>
    <w:p>
      <w:pPr>
        <w:pStyle w:val="Normal"/>
        <w:spacing w:lineRule="auto" w:line="480"/>
        <w:ind w:firstLine="720" w:end="0"/>
        <w:jc w:val="both"/>
        <w:rPr>
          <w:b/>
          <w:sz w:val="24"/>
          <w:del w:id="350" w:author="Margaret Pemberton" w:date="1999-06-04T14:53:00Z"/>
        </w:rPr>
      </w:pPr>
      <w:del w:id="349" w:author="Margaret Pemberton" w:date="1999-06-04T14:53:00Z">
        <w:r>
          <w:rPr>
            <w:b/>
            <w:sz w:val="24"/>
          </w:rPr>
        </w:r>
      </w:del>
    </w:p>
    <w:p>
      <w:pPr>
        <w:pStyle w:val="Normal"/>
        <w:spacing w:lineRule="auto" w:line="480"/>
        <w:rPr>
          <w:ins w:id="357" w:author="Margaret Pemberton" w:date="1999-06-04T14:54:00Z"/>
        </w:rPr>
      </w:pPr>
      <w:r>
        <w:rPr/>
        <w:t>15.2</w:t>
        <w:tab/>
        <w:t xml:space="preserve">Except </w:t>
      </w:r>
      <w:del w:id="351" w:author="Margaret Pemberton" w:date="1999-06-04T14:36:00Z">
        <w:r>
          <w:rPr/>
          <w:delText xml:space="preserve">for </w:delText>
        </w:r>
      </w:del>
      <w:ins w:id="352" w:author="Margaret Pemberton" w:date="1999-06-04T14:54:00Z">
        <w:r>
          <w:rPr/>
          <w:t>Article 15.1</w:t>
        </w:r>
      </w:ins>
      <w:del w:id="353" w:author="Margaret Pemberton" w:date="1999-06-04T14:54:00Z">
        <w:r>
          <w:rPr/>
          <w:delText>provided above</w:delText>
        </w:r>
      </w:del>
      <w:r>
        <w:rPr/>
        <w:t xml:space="preserve"> and n</w:t>
      </w:r>
      <w:r>
        <w:rPr>
          <w:spacing w:val="4"/>
        </w:rPr>
        <w:t xml:space="preserve">otwithstanding any other provision of this Agreement, after the </w:t>
      </w:r>
      <w:r>
        <w:rPr/>
        <w:t>occurrence of an Event of Default, or an event which, with the giving of notice or the passage of time or both, would constitute an Event of Default, with respect to a Party, the other Party shall have the right to either withhold and/or suspend deliveries, or terminate the Agreement and any outstanding Transactions in addition to any and all other remedies available hereunder.</w:t>
      </w:r>
      <w:ins w:id="354" w:author="Margaret Pemberton" w:date="1999-06-04T14:36:00Z">
        <w:r>
          <w:rPr/>
          <w:t xml:space="preserve">  </w:t>
        </w:r>
      </w:ins>
      <w:del w:id="355" w:author="Margaret Pemberton" w:date="1999-06-04T14:36:00Z">
        <w:r>
          <w:rPr/>
          <w:delText xml:space="preserve">   </w:delText>
        </w:r>
      </w:del>
      <w:r>
        <w:rPr/>
        <w:t>The Non-Defaulting Party shall promptly give written notice of any action taken under this Article</w:t>
      </w:r>
      <w:ins w:id="356" w:author="Margaret Pemberton" w:date="1999-06-04T14:36:00Z">
        <w:r>
          <w:rPr/>
          <w:t xml:space="preserve"> 15.2</w:t>
        </w:r>
      </w:ins>
      <w:r>
        <w:rPr/>
        <w:t>.  After the occurrence of an Event of Default under Article 14,</w:t>
      </w:r>
      <w:r>
        <w:rPr>
          <w:b/>
        </w:rPr>
        <w:t xml:space="preserve"> </w:t>
      </w:r>
      <w:r>
        <w:rPr/>
        <w:t>the Non-Defaulting Party shall have the right to suspend performance of or terminate the Transaction without making a filing with the Seller’s regulatory agency.  Nothing contained in this Article shall affect any credit agreement or arrangement, if any, between the Parties.</w:t>
      </w:r>
    </w:p>
    <w:p>
      <w:pPr>
        <w:pStyle w:val="BodyTextIndent"/>
        <w:spacing w:lineRule="auto" w:line="480"/>
        <w:rPr/>
      </w:pPr>
      <w:r>
        <w:rPr/>
        <w:t>15.3</w:t>
        <w:tab/>
        <w:t>After the occurrence of an Event of Default, if the Non</w:t>
        <w:noBreakHyphen/>
        <w:t xml:space="preserve">Defaulting Party chooses to terminate this Agreement under this Article, it shall designate a day no earlier than the day an Event of Default occurs and no more than </w:t>
      </w:r>
      <w:ins w:id="358" w:author="Margaret Pemberton" w:date="1999-06-04T14:54:00Z">
        <w:r>
          <w:rPr/>
          <w:t>twenty (</w:t>
        </w:r>
      </w:ins>
      <w:r>
        <w:rPr/>
        <w:t>20</w:t>
      </w:r>
      <w:ins w:id="359" w:author="Margaret Pemberton" w:date="1999-06-04T14:55:00Z">
        <w:r>
          <w:rPr/>
          <w:t>)</w:t>
        </w:r>
      </w:ins>
      <w:r>
        <w:rPr/>
        <w:t xml:space="preserve"> days after an Event of Default occurs, as an early termination date ("Early Termination Date") to liquidate and terminate all of the Transactions then outstanding between the Parties.  The Non</w:t>
        <w:noBreakHyphen/>
        <w:t>Defaulting Party shall calculate, in a commercially reasonable manner, a Settlement Amount for each such Transaction as of the Early Termination Date or, to the extent that in the good faith opinion of the Non</w:t>
        <w:noBreakHyphen/>
        <w:t xml:space="preserve">Defaulting Party certain of such Transactions </w:t>
      </w:r>
      <w:del w:id="360" w:author="Margaret Pemberton" w:date="1999-06-04T14:55:00Z">
        <w:r>
          <w:rPr/>
          <w:delText xml:space="preserve">are </w:delText>
        </w:r>
      </w:del>
      <w:r>
        <w:rPr/>
        <w:t xml:space="preserve">(i) </w:t>
      </w:r>
      <w:ins w:id="361" w:author="Margaret Pemberton" w:date="1999-06-04T14:55:00Z">
        <w:r>
          <w:rPr/>
          <w:t xml:space="preserve">are </w:t>
        </w:r>
      </w:ins>
      <w:r>
        <w:rPr/>
        <w:t>commercially impracticable to close out and liquidate or (ii) may not be closed out and liquidated under applicable law on the Early Termination Date, as soon thereafter as is reasonably practicable) and shall net such Settlement Amounts in the manner provided for in Article 15.4.</w:t>
      </w:r>
    </w:p>
    <w:p>
      <w:pPr>
        <w:pStyle w:val="BodyText2"/>
        <w:numPr>
          <w:ilvl w:val="0"/>
          <w:numId w:val="19"/>
        </w:numPr>
        <w:tabs>
          <w:tab w:val="clear" w:pos="1440"/>
          <w:tab w:val="left" w:pos="720" w:leader="none"/>
        </w:tabs>
        <w:ind w:hanging="0" w:start="0" w:end="0"/>
        <w:rPr>
          <w:strike/>
        </w:rPr>
      </w:pPr>
      <w:r>
        <w:rPr/>
        <w:t>15.4</w:t>
        <w:tab/>
        <w:t>"Settlement Amount" shall mean, with respect to a Non</w:t>
        <w:noBreakHyphen/>
        <w:t>Defaulting Party, the losses and costs (or gains), expressed in U.S. Dollars, which such party incurs as a result of the liquidation, including, but not limited to, losses and costs (or gains) based upon the then current replacement value together with, at the Non</w:t>
        <w:noBreakHyphen/>
        <w:t>Defaulting Party's option, but without duplication, all losses and costs which such Party incurs as a result of maintaining, terminating, obtaining or re</w:t>
        <w:noBreakHyphen/>
        <w:t xml:space="preserve">establishing any hedge or related trading positions. </w:t>
      </w:r>
      <w:r>
        <w:rPr>
          <w:rFonts w:cs="Arial" w:ascii="Arial" w:hAnsi="Arial"/>
          <w:color w:val="000000"/>
          <w:lang w:eastAsia="en-US"/>
        </w:rPr>
        <w:t xml:space="preserve"> "</w:t>
      </w:r>
      <w:r>
        <w:rPr>
          <w:color w:val="000000"/>
          <w:lang w:eastAsia="en-US"/>
        </w:rPr>
        <w:t>Costs" shall mean brokerage fees, commissions and other similar transaction costs and expenses reasonably incurred by such Party either in terminating any arrangement pursuant to which it has hedged its obligations or entering into new arrangements which replace a terminated Transaction, and reasonable attorneys' fees, if any, incurred in connection with enforcing its rights under this Agreement.</w:t>
      </w:r>
      <w:r>
        <w:rPr/>
        <w:t xml:space="preserve"> The Settlement Amount shall be due to or from the Non</w:t>
        <w:noBreakHyphen/>
        <w:t>Defaulting Party as appropriate.  In calculating a Settlement Amount, the Non</w:t>
        <w:noBreakHyphen/>
        <w:t xml:space="preserve">Defaulting Party shall discount to present value (in a commercially reasonable manner based on the Interest Rate at the time of calculation of the </w:t>
      </w:r>
      <w:ins w:id="362" w:author="Margaret Pemberton" w:date="1999-06-04T14:36:00Z">
        <w:r>
          <w:rPr/>
          <w:t>S</w:t>
        </w:r>
      </w:ins>
      <w:del w:id="363" w:author="Margaret Pemberton" w:date="1999-06-04T14:36:00Z">
        <w:r>
          <w:rPr/>
          <w:delText>s</w:delText>
        </w:r>
      </w:del>
      <w:r>
        <w:rPr/>
        <w:t xml:space="preserve">ettlement </w:t>
      </w:r>
      <w:ins w:id="364" w:author="Margaret Pemberton" w:date="1999-06-04T14:37:00Z">
        <w:r>
          <w:rPr/>
          <w:t>A</w:t>
        </w:r>
      </w:ins>
      <w:del w:id="365" w:author="Margaret Pemberton" w:date="1999-06-04T14:37:00Z">
        <w:r>
          <w:rPr/>
          <w:delText>a</w:delText>
        </w:r>
      </w:del>
      <w:r>
        <w:rPr/>
        <w:t>mount) which would otherwise have been due at a later date and shall add interest at the Interest Rate to any amount due prior to the date of the calculation.</w:t>
      </w:r>
    </w:p>
    <w:p>
      <w:pPr>
        <w:pStyle w:val="BodyText2"/>
        <w:numPr>
          <w:ilvl w:val="0"/>
          <w:numId w:val="19"/>
        </w:numPr>
        <w:tabs>
          <w:tab w:val="clear" w:pos="1440"/>
          <w:tab w:val="left" w:pos="720" w:leader="none"/>
        </w:tabs>
        <w:ind w:hanging="0" w:start="0" w:end="0"/>
        <w:rPr>
          <w:strike/>
        </w:rPr>
      </w:pPr>
      <w:r>
        <w:rPr/>
        <w:t>15.5</w:t>
        <w:tab/>
        <w:t>The Non</w:t>
        <w:noBreakHyphen/>
        <w:t>Defaulting Party shall set off (i) all such Settlement Amounts that are due to the Defaulting Party, plus any cash or other form of security then available to the Non</w:t>
        <w:noBreakHyphen/>
        <w:t xml:space="preserve">Defaulting Party pursuant to </w:t>
      </w:r>
      <w:del w:id="366" w:author="Preferred Customer" w:date="1999-06-04T15:44:00Z">
        <w:r>
          <w:rPr/>
          <w:delText>credit arrangements between the Parties</w:delText>
        </w:r>
      </w:del>
      <w:ins w:id="367" w:author="Preferred Customer" w:date="1999-06-04T15:45:00Z">
        <w:r>
          <w:rPr/>
          <w:t>Exhibit “C,” if applicable</w:t>
        </w:r>
      </w:ins>
      <w:r>
        <w:rPr/>
        <w:t>, plus (at the Non</w:t>
        <w:noBreakHyphen/>
        <w:t>Defaulting Party's election) any or all other amounts due to the Defaulting Party under the Agreement against (ii) all such Settlement Amounts that are due to the Non</w:t>
        <w:noBreakHyphen/>
        <w:t>Defaulting Party, plus any cash or other form of security then available to the Defaulting Party pursuant to Exhibit “C”, if applicable, plus (at the Non</w:t>
        <w:noBreakHyphen/>
        <w:t>Defaulting Party's election) any or all other amounts due to the Non</w:t>
        <w:noBreakHyphen/>
        <w:t xml:space="preserve">Defaulting Party under the Agreement, so that all such amounts shall be netted to a single liquidated amount (the "Termination Payment") payable by one </w:t>
      </w:r>
      <w:ins w:id="368" w:author="Margaret Pemberton" w:date="1999-06-04T15:07:00Z">
        <w:r>
          <w:rPr/>
          <w:t>P</w:t>
        </w:r>
      </w:ins>
      <w:del w:id="369" w:author="Margaret Pemberton" w:date="1999-06-04T15:07:00Z">
        <w:r>
          <w:rPr/>
          <w:delText>p</w:delText>
        </w:r>
      </w:del>
      <w:r>
        <w:rPr/>
        <w:t>arty to the other.</w:t>
      </w:r>
    </w:p>
    <w:p>
      <w:pPr>
        <w:pStyle w:val="Normal"/>
        <w:spacing w:lineRule="auto" w:line="480"/>
        <w:ind w:firstLine="720" w:end="0"/>
        <w:jc w:val="both"/>
        <w:rPr>
          <w:sz w:val="24"/>
        </w:rPr>
      </w:pPr>
      <w:r>
        <w:rPr>
          <w:sz w:val="24"/>
        </w:rPr>
        <w:t>15.6    Notice that a liquidation pursuant to Article 15.3 has occurred shall be given by the Non</w:t>
        <w:noBreakHyphen/>
        <w:t>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w:t>
        <w:noBreakHyphen/>
        <w:t>Defaulting Party.  The notice shall specify the amount of the Termination Payment and whether it is owed by or to the Defaulting Party.  The Termination Payment shall be made by the Party that owes it on the second Business Day after such notice is given.</w:t>
      </w:r>
    </w:p>
    <w:p>
      <w:pPr>
        <w:pStyle w:val="BodyTextIndent"/>
        <w:spacing w:lineRule="auto" w:line="480"/>
        <w:rPr/>
      </w:pPr>
      <w:r>
        <w:rPr/>
        <w:t>15.7</w:t>
        <w:tab/>
        <w:t>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collateral (of a type and in a form acceptable to the Non</w:t>
        <w:noBreakHyphen/>
        <w:t>Defaulting Party) to the Non</w:t>
        <w:noBreakHyphen/>
        <w:t>Defaulting Party in an amount equal to the Termination Payment.  If the Parties cannot resolve such dispute within three (3) Business Days of the Non</w:t>
        <w:noBreakHyphen/>
        <w:t>Defaulting Party's receipt of the Defaulting Party's written explanation, then the Parties may pursue any remedies available at law or in equity.</w:t>
      </w:r>
    </w:p>
    <w:p>
      <w:pPr>
        <w:pStyle w:val="Normal"/>
        <w:spacing w:lineRule="auto" w:line="480"/>
        <w:ind w:firstLine="720" w:end="0"/>
        <w:jc w:val="both"/>
        <w:rPr>
          <w:sz w:val="24"/>
        </w:rPr>
      </w:pPr>
      <w:r>
        <w:rPr>
          <w:sz w:val="24"/>
        </w:rPr>
        <w:t>15.8   Without limiting its rights under this Article or otherwise, after an Event of Default, the Non</w:t>
        <w:noBreakHyphen/>
        <w:t>Defaulting Party may from time to time set off any or all amounts which the Defaulting Party owes to it (whether under the Agreement or otherwise and whether or not then due) against any or all amounts which it owes to the Defaulting Party (whether under the Agreement or otherwise and whether or not then due), provided that any amount not then due which is included in such setoff shall be discounted to present value (in the manner specified in Article 15.4) as at the time of setoff (to take account of the period between the date of setoff and the date on which such amount would have otherwise been due).</w:t>
      </w:r>
    </w:p>
    <w:p>
      <w:pPr>
        <w:pStyle w:val="Subheading1"/>
        <w:rPr/>
      </w:pPr>
      <w:bookmarkStart w:id="18" w:name="__RefHeading___Toc453144119"/>
      <w:bookmarkEnd w:id="18"/>
      <w:r>
        <w:rPr/>
        <w:t xml:space="preserve">ARTICLE </w:t>
      </w:r>
      <w:ins w:id="370" w:author="Preferred Customer" w:date="1999-06-04T15:17:00Z">
        <w:r>
          <w:rPr/>
          <w:t>16</w:t>
        </w:r>
      </w:ins>
      <w:del w:id="371" w:author="Preferred Customer" w:date="1999-06-04T15:17:00Z">
        <w:r>
          <w:rPr/>
          <w:delText>XVI</w:delText>
        </w:r>
      </w:del>
      <w:r>
        <w:rPr/>
        <w:t xml:space="preserve"> - Limitation of Liability</w:t>
      </w:r>
    </w:p>
    <w:p>
      <w:pPr>
        <w:pStyle w:val="Subheading1"/>
        <w:rPr/>
      </w:pPr>
      <w:r>
        <w:rPr/>
      </w:r>
    </w:p>
    <w:p>
      <w:pPr>
        <w:pStyle w:val="BodyText2"/>
        <w:ind w:firstLine="720" w:start="0" w:end="0"/>
        <w:rPr/>
      </w:pPr>
      <w:r>
        <w:rPr/>
        <w:t xml:space="preserve">16.1 </w:t>
      </w:r>
      <w:r>
        <w:rPr>
          <w:b/>
          <w:caps/>
        </w:rPr>
        <w:t xml:space="preserve">THE PARTIES agree that the amounts recoverable under this aGREEMENT are a reasonable estimate of loss and not a penalty.  Such amounts are payable for the loss of bargain.   </w:t>
      </w:r>
      <w:r>
        <w:rPr>
          <w:b/>
          <w:spacing w:val="10"/>
        </w:rPr>
        <w:t xml:space="preserve">EXCEPT AS EXPRESSLY SET FORTH HEREIN, SELLER </w:t>
      </w:r>
      <w:r>
        <w:rPr>
          <w:b/>
        </w:rPr>
        <w:t>EXPRESSLY NEGATES ANY REPRESENTATION OR WARRANTY, WRITTEN OR ORAL, EXPRESS OR IMPLIED, INCLUDING, WITHOUT LIMITATION, ANY REPRESENTATION OR WARRANTY WITH RESPECT TO MERCHANTABILITY OR FITNESS FOR ANY PARTICULAR PURPOSE.  FOR BREACH OF ANY PROVISION FOR WHICH AN EXPRESS REMEDY OR MEASURE OF DAMAGES IS PROVIDED IN THIS AGREEMENT, THE LIABILITY OF THE DEFAULTING PARTY SHALL BE LIMITED AS SET FORTH IN SUCH PROVISION.  IF NO REMEDY OR MEASURE OF DAMAGES IS EXPRESSLY PROVIDED, THE LIABILITY OF THE DEFAULTING PARTY INCLUDING THE PARTY’S DIRECTORS, OFFICERS, EMPLOYEES, AFFILIATES, PARENT COMPANIES, AGENTS, REPRESENTATIVES, OR THOSE FOR WHOM THEY ARE LEGALLY RESPONSIBLE, SHALL BE LIMITED TO DIRECT DAMAGES.  AS PART OF THE CONSIDERATION FOR THIS AGREEMENT,</w:t>
      </w:r>
      <w:r>
        <w:rPr/>
        <w:t xml:space="preserve"> </w:t>
      </w:r>
      <w:r>
        <w:rPr>
          <w:b/>
        </w:rPr>
        <w:t>EACH PARTY AGREES TO WAIVE ALL OTHER TYPES OF DAMAGES OR REMEDIES TO WHICH IT MIGHT BE ENTITLED UNDER THIS CONTRACT INCLUDING INCIDENTAL, SPECIAL, INDIRECT OR CONSEQUENTIAL (INCLUDING WITHOUT LIMITATION, LOSS OF SALES, LOSS OF REVENUE AND LOSS OF USE), PUNITIVE OR EXEMPLARY DAMAGES.</w:t>
      </w:r>
    </w:p>
    <w:p>
      <w:pPr>
        <w:pStyle w:val="Subheading1"/>
        <w:rPr/>
      </w:pPr>
      <w:bookmarkStart w:id="19" w:name="__RefHeading___Toc453144120"/>
      <w:bookmarkEnd w:id="19"/>
      <w:r>
        <w:rPr/>
        <w:t xml:space="preserve">ARTICLE </w:t>
      </w:r>
      <w:ins w:id="372" w:author="Preferred Customer" w:date="1999-06-04T15:17:00Z">
        <w:r>
          <w:rPr/>
          <w:t>17</w:t>
        </w:r>
      </w:ins>
      <w:del w:id="373" w:author="Preferred Customer" w:date="1999-06-04T15:17:00Z">
        <w:r>
          <w:rPr/>
          <w:delText>XVII</w:delText>
        </w:r>
      </w:del>
      <w:r>
        <w:rPr/>
        <w:t xml:space="preserve"> – Notice</w:t>
      </w:r>
    </w:p>
    <w:p>
      <w:pPr>
        <w:pStyle w:val="Subheading1"/>
        <w:rPr/>
      </w:pPr>
      <w:r>
        <w:rPr/>
      </w:r>
    </w:p>
    <w:p>
      <w:pPr>
        <w:pStyle w:val="BodyText2"/>
        <w:numPr>
          <w:ilvl w:val="1"/>
          <w:numId w:val="4"/>
        </w:numPr>
        <w:tabs>
          <w:tab w:val="left" w:pos="1440" w:leader="none"/>
        </w:tabs>
        <w:ind w:firstLine="720" w:start="0" w:end="0"/>
        <w:rPr/>
      </w:pPr>
      <w:r>
        <w:rPr/>
        <w:t>Except as otherwise provided in Exhibit “B”, any formal notice, demand or request provided for in this Agreement shall be in writing and shall be deemed properly served, given or made if delivered in person, or sent by either registered or certified mail, postage prepaid, overnight mail or prepaid telegram or fax to the address or number identified on Exhibit “B” attached to this Agreement.  Either Party may change the notice information on Exhibit “B” by giving five Business Days written notice prior to the effective date of the change.</w:t>
      </w:r>
    </w:p>
    <w:p>
      <w:pPr>
        <w:pStyle w:val="Subheading1"/>
        <w:rPr/>
      </w:pPr>
      <w:bookmarkStart w:id="20" w:name="__RefHeading___Toc453144121"/>
      <w:bookmarkEnd w:id="20"/>
      <w:r>
        <w:rPr/>
        <w:t xml:space="preserve">ARTICLE </w:t>
      </w:r>
      <w:ins w:id="374" w:author="Preferred Customer" w:date="1999-06-04T15:17:00Z">
        <w:r>
          <w:rPr/>
          <w:t>18</w:t>
        </w:r>
      </w:ins>
      <w:del w:id="375" w:author="Preferred Customer" w:date="1999-06-04T15:17:00Z">
        <w:r>
          <w:rPr/>
          <w:delText>XVIII</w:delText>
        </w:r>
      </w:del>
      <w:r>
        <w:rPr/>
        <w:t xml:space="preserve"> – Confidentiality</w:t>
      </w:r>
    </w:p>
    <w:p>
      <w:pPr>
        <w:pStyle w:val="Subheading1"/>
        <w:rPr/>
      </w:pPr>
      <w:r>
        <w:rPr/>
      </w:r>
    </w:p>
    <w:p>
      <w:pPr>
        <w:pStyle w:val="BodyText2"/>
        <w:tabs>
          <w:tab w:val="left" w:pos="1440" w:leader="none"/>
        </w:tabs>
        <w:ind w:firstLine="720" w:start="0" w:end="0"/>
        <w:rPr/>
      </w:pPr>
      <w:r>
        <w:rPr/>
        <w:t>18.1</w:t>
        <w:tab/>
        <w:t>The terms of any Transaction under this Agreement and/or any applicable Transaction Confirmation or any other information exchanged by the Buyer and Seller relating to the Transaction shall not be disclosed to any person not employed or retained by the Buyer or the Seller, their Affiliates and Brokers,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(iv) required by lenders or guarantors to be disclosed; (v) made to trade press if limited to price, size or quantity, term and/or energy and transmission type or (vi) information which must be disclosed to a third party for the purpose of effectuating transmission of Wholesale Electricity subject to the Agreement or to meet reliability council, regulatory, administrative, judicial, governmental or regulated commodity exchange requirements where necessary.  If any third party, court or regulatory agency makes any request or demand for any of the information described in this section,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pPr>
        <w:pStyle w:val="BodyText2"/>
        <w:ind w:firstLine="720" w:start="0" w:end="0"/>
        <w:rPr/>
      </w:pPr>
      <w:r>
        <w:rPr/>
        <w:t>18.2</w:t>
        <w:tab/>
        <w:t>This provision shall not apply to any information that was or is hereafter in the public domain (except as a result of a breach of this provision).  The confidentiality of information associated with a particular Transaction expires one year from the termination date of the applicable Transaction.</w:t>
      </w:r>
      <w:r>
        <w:br w:type="page"/>
      </w:r>
    </w:p>
    <w:p>
      <w:pPr>
        <w:pStyle w:val="Subheading1"/>
        <w:rPr/>
      </w:pPr>
      <w:bookmarkStart w:id="21" w:name="__RefHeading___Toc453144122"/>
      <w:bookmarkEnd w:id="21"/>
      <w:r>
        <w:rPr/>
        <w:t xml:space="preserve">ARTICLE </w:t>
      </w:r>
      <w:ins w:id="376" w:author="Preferred Customer" w:date="1999-06-04T15:17:00Z">
        <w:r>
          <w:rPr/>
          <w:t>19</w:t>
        </w:r>
      </w:ins>
      <w:del w:id="377" w:author="Preferred Customer" w:date="1999-06-04T15:17:00Z">
        <w:r>
          <w:rPr/>
          <w:delText>XIX</w:delText>
        </w:r>
      </w:del>
      <w:r>
        <w:rPr/>
        <w:t xml:space="preserve"> - Alternative Dispute Resolution</w:t>
      </w:r>
    </w:p>
    <w:p>
      <w:pPr>
        <w:pStyle w:val="Subheading1"/>
        <w:rPr/>
      </w:pPr>
      <w:r>
        <w:rPr/>
      </w:r>
    </w:p>
    <w:p>
      <w:pPr>
        <w:pStyle w:val="BodyText2"/>
        <w:numPr>
          <w:ilvl w:val="1"/>
          <w:numId w:val="13"/>
        </w:numPr>
        <w:ind w:firstLine="720" w:start="0" w:end="0"/>
        <w:rPr/>
      </w:pPr>
      <w:r>
        <w:rPr>
          <w:spacing w:val="2"/>
        </w:rPr>
        <w:tab/>
        <w:t xml:space="preserve">Parties to this Agreement agree to ERCOT’s Alternative Dispute </w:t>
      </w:r>
      <w:r>
        <w:rPr/>
        <w:t>Resolution (hereinafter “ADR”) procedures which include a choice of mediation or non-binding arbitration prior to filing a complaint with the PUCT or a lawsuit in a court of competent jurisdiction</w:t>
      </w:r>
      <w:ins w:id="378" w:author="Margaret Pemberton" w:date="1999-06-04T14:37:00Z">
        <w:r>
          <w:rPr/>
          <w:t xml:space="preserve"> for any disputes concerning this Agreement</w:t>
        </w:r>
      </w:ins>
      <w:r>
        <w:rPr/>
        <w:t>.</w:t>
      </w:r>
    </w:p>
    <w:p>
      <w:pPr>
        <w:pStyle w:val="Subheading1"/>
        <w:rPr/>
      </w:pPr>
      <w:bookmarkStart w:id="22" w:name="__RefHeading___Toc453144123"/>
      <w:bookmarkEnd w:id="22"/>
      <w:r>
        <w:rPr/>
        <w:t xml:space="preserve">ARTICLE </w:t>
      </w:r>
      <w:ins w:id="379" w:author="Preferred Customer" w:date="1999-06-04T15:17:00Z">
        <w:r>
          <w:rPr/>
          <w:t>20</w:t>
        </w:r>
      </w:ins>
      <w:del w:id="380" w:author="Preferred Customer" w:date="1999-06-04T15:17:00Z">
        <w:r>
          <w:rPr/>
          <w:delText>XX</w:delText>
        </w:r>
      </w:del>
      <w:r>
        <w:rPr/>
        <w:t xml:space="preserve"> – Miscellaneous</w:t>
      </w:r>
    </w:p>
    <w:p>
      <w:pPr>
        <w:pStyle w:val="Subheading1"/>
        <w:rPr/>
      </w:pPr>
      <w:r>
        <w:rPr/>
      </w:r>
    </w:p>
    <w:p>
      <w:pPr>
        <w:pStyle w:val="Subheading2"/>
        <w:ind w:firstLine="720" w:end="0"/>
        <w:rPr>
          <w:u w:val="single"/>
        </w:rPr>
      </w:pPr>
      <w:bookmarkStart w:id="23" w:name="__RefHeading___Toc453144124"/>
      <w:bookmarkEnd w:id="23"/>
      <w:r>
        <w:rPr>
          <w:u w:val="single"/>
        </w:rPr>
        <w:t>20.1</w:t>
        <w:tab/>
        <w:t>No Dedication of Facilities</w:t>
      </w:r>
    </w:p>
    <w:p>
      <w:pPr>
        <w:pStyle w:val="BodyText2"/>
        <w:ind w:firstLine="720" w:start="0" w:end="0"/>
        <w:rPr/>
      </w:pPr>
      <w:r>
        <w:rPr/>
        <w:t>Any undertaking by one Party to another Party under any provision of this Agreement shall not constitute the dedication of the electric system or any portion thereof of the undertaking Party to the public or to the other Party, and it is understood and agreed that any such undertaking under any provision of this Agreement by a Party shall cease upon the termination of such Party’s obligations under this Agreement.</w:t>
      </w:r>
    </w:p>
    <w:p>
      <w:pPr>
        <w:pStyle w:val="Subheading2"/>
        <w:ind w:firstLine="720" w:end="0"/>
        <w:rPr>
          <w:u w:val="single"/>
        </w:rPr>
      </w:pPr>
      <w:bookmarkStart w:id="24" w:name="__RefHeading___Toc453144125"/>
      <w:r>
        <w:rPr>
          <w:u w:val="single"/>
        </w:rPr>
        <w:t>20.2</w:t>
        <w:tab/>
        <w:t>No Retail Services</w:t>
      </w:r>
      <w:bookmarkEnd w:id="24"/>
      <w:r>
        <w:rPr>
          <w:u w:val="single"/>
        </w:rPr>
        <w:t xml:space="preserve"> </w:t>
      </w:r>
    </w:p>
    <w:p>
      <w:pPr>
        <w:pStyle w:val="BodyText2"/>
        <w:ind w:firstLine="720" w:start="0" w:end="0"/>
        <w:rPr/>
      </w:pPr>
      <w:r>
        <w:rPr/>
        <w:t xml:space="preserve">Nothing contained in this Agreement shall grant any rights to or obligate any Party to provide any services hereunder directly to or for retail customers of any </w:t>
      </w:r>
      <w:del w:id="381" w:author="Margaret Pemberton" w:date="1999-06-04T14:38:00Z">
        <w:r>
          <w:rPr/>
          <w:delText>Party</w:delText>
        </w:r>
      </w:del>
      <w:ins w:id="382" w:author="Margaret Pemberton" w:date="1999-06-04T14:38:00Z">
        <w:r>
          <w:rPr/>
          <w:t>entity</w:t>
        </w:r>
      </w:ins>
      <w:r>
        <w:rPr/>
        <w:t>.</w:t>
      </w:r>
    </w:p>
    <w:p>
      <w:pPr>
        <w:pStyle w:val="Subheading2"/>
        <w:ind w:start="720" w:end="0"/>
        <w:rPr>
          <w:u w:val="single"/>
        </w:rPr>
      </w:pPr>
      <w:bookmarkStart w:id="25" w:name="__RefHeading___Toc453144126"/>
      <w:bookmarkEnd w:id="25"/>
      <w:r>
        <w:rPr>
          <w:u w:val="single"/>
        </w:rPr>
        <w:t>20.3</w:t>
        <w:tab/>
        <w:t>Severability.</w:t>
      </w:r>
    </w:p>
    <w:p>
      <w:pPr>
        <w:pStyle w:val="BodyText2"/>
        <w:ind w:firstLine="720" w:start="0" w:end="0"/>
        <w:rPr/>
      </w:pPr>
      <w:r>
        <w:rPr/>
        <w:t>If any provision in this Agreement is determined to be invalid, void or unenforceable by any court having jurisdiction, such determination shall not invalidate, void or make unenforceable any other provision, agreement or covenant of this Agreement.</w:t>
      </w:r>
    </w:p>
    <w:p>
      <w:pPr>
        <w:pStyle w:val="Subheading2"/>
        <w:ind w:firstLine="720" w:end="0"/>
        <w:rPr/>
      </w:pPr>
      <w:bookmarkStart w:id="26" w:name="__RefHeading___Toc453144127"/>
      <w:bookmarkEnd w:id="26"/>
      <w:r>
        <w:rPr>
          <w:u w:val="single"/>
        </w:rPr>
        <w:t>20.4</w:t>
        <w:tab/>
        <w:t>Time is of the Essence</w:t>
      </w:r>
      <w:r>
        <w:rPr/>
        <w:t>.</w:t>
      </w:r>
    </w:p>
    <w:p>
      <w:pPr>
        <w:pStyle w:val="BodyText2"/>
        <w:ind w:firstLine="720" w:start="0" w:end="0"/>
        <w:rPr/>
      </w:pPr>
      <w:r>
        <w:rPr/>
        <w:t>The Parties to this Agreement expressly agree that time is of the essence.</w:t>
      </w:r>
    </w:p>
    <w:p>
      <w:pPr>
        <w:pStyle w:val="Subheading2"/>
        <w:ind w:firstLine="720" w:end="0"/>
        <w:rPr/>
      </w:pPr>
      <w:bookmarkStart w:id="27" w:name="__RefHeading___Toc453144128"/>
      <w:r>
        <w:rPr>
          <w:u w:val="single"/>
        </w:rPr>
        <w:t>20.5</w:t>
        <w:tab/>
        <w:t>Modification of Agreement</w:t>
      </w:r>
      <w:r>
        <w:rPr/>
        <w:t>.</w:t>
      </w:r>
      <w:bookmarkEnd w:id="27"/>
      <w:r>
        <w:rPr/>
        <w:t xml:space="preserve"> </w:t>
      </w:r>
    </w:p>
    <w:p>
      <w:pPr>
        <w:pStyle w:val="BodyText2"/>
        <w:ind w:firstLine="720" w:start="0" w:end="0"/>
        <w:rPr/>
      </w:pPr>
      <w:r>
        <w:rPr/>
        <w:t>Modification to th</w:t>
      </w:r>
      <w:ins w:id="383" w:author="Margaret Pemberton" w:date="1999-06-04T15:08:00Z">
        <w:r>
          <w:rPr/>
          <w:t>is</w:t>
        </w:r>
      </w:ins>
      <w:del w:id="384" w:author="Margaret Pemberton" w:date="1999-06-04T15:08:00Z">
        <w:r>
          <w:rPr/>
          <w:delText>e</w:delText>
        </w:r>
      </w:del>
      <w:r>
        <w:rPr/>
        <w:t xml:space="preserve"> Agreement may only be made by agreement between the Parties, in writing and executed by both Parties.</w:t>
      </w:r>
      <w:r>
        <w:br w:type="page"/>
      </w:r>
    </w:p>
    <w:p>
      <w:pPr>
        <w:pStyle w:val="Subheading2"/>
        <w:ind w:firstLine="720" w:end="0"/>
        <w:rPr/>
      </w:pPr>
      <w:bookmarkStart w:id="28" w:name="__RefHeading___Toc453144129"/>
      <w:r>
        <w:rPr>
          <w:u w:val="single"/>
        </w:rPr>
        <w:t>20.6</w:t>
        <w:tab/>
        <w:t>Waiver</w:t>
      </w:r>
      <w:r>
        <w:rPr/>
        <w:t>.</w:t>
      </w:r>
      <w:bookmarkEnd w:id="28"/>
      <w:r>
        <w:rPr/>
        <w:tab/>
      </w:r>
    </w:p>
    <w:p>
      <w:pPr>
        <w:pStyle w:val="BodyText2"/>
        <w:ind w:firstLine="720" w:start="0" w:end="0"/>
        <w:rPr/>
      </w:pPr>
      <w:r>
        <w:rPr/>
        <w:t xml:space="preserve">No waiver of any breach of this Agreement shall be held to be a waiver of any other or subsequent breach.  </w:t>
      </w:r>
    </w:p>
    <w:p>
      <w:pPr>
        <w:pStyle w:val="Subheading2"/>
        <w:ind w:firstLine="720" w:end="0"/>
        <w:rPr/>
      </w:pPr>
      <w:bookmarkStart w:id="29" w:name="__RefHeading___Toc453144130"/>
      <w:r>
        <w:rPr>
          <w:u w:val="single"/>
        </w:rPr>
        <w:t>20.7</w:t>
        <w:tab/>
        <w:t>Third Party Beneficiaries</w:t>
      </w:r>
      <w:r>
        <w:rPr/>
        <w:t>.</w:t>
      </w:r>
      <w:bookmarkEnd w:id="29"/>
      <w:r>
        <w:rPr/>
        <w:tab/>
      </w:r>
    </w:p>
    <w:p>
      <w:pPr>
        <w:pStyle w:val="BodyText2"/>
        <w:ind w:firstLine="720" w:start="0" w:end="0"/>
        <w:rPr/>
      </w:pPr>
      <w:r>
        <w:rPr/>
        <w:t>There is no third party beneficiary to this Agreement.</w:t>
      </w:r>
    </w:p>
    <w:p>
      <w:pPr>
        <w:pStyle w:val="Subheading2"/>
        <w:ind w:firstLine="720" w:end="0"/>
        <w:rPr/>
      </w:pPr>
      <w:bookmarkStart w:id="30" w:name="__RefHeading___Toc453144131"/>
      <w:r>
        <w:rPr>
          <w:u w:val="single"/>
        </w:rPr>
        <w:t>20.8</w:t>
        <w:tab/>
        <w:t>Merger</w:t>
      </w:r>
      <w:r>
        <w:rPr/>
        <w:t>.</w:t>
      </w:r>
      <w:bookmarkEnd w:id="30"/>
      <w:r>
        <w:rPr/>
        <w:tab/>
      </w:r>
    </w:p>
    <w:p>
      <w:pPr>
        <w:pStyle w:val="BodyText2"/>
        <w:ind w:firstLine="720" w:start="0" w:end="0"/>
        <w:rPr/>
      </w:pPr>
      <w:r>
        <w:rPr/>
        <w:t xml:space="preserve">This Agreement </w:t>
      </w:r>
      <w:ins w:id="385" w:author="Margaret Pemberton" w:date="1999-06-04T14:39:00Z">
        <w:r>
          <w:rPr/>
          <w:t xml:space="preserve">including </w:t>
        </w:r>
      </w:ins>
      <w:del w:id="386" w:author="Margaret Pemberton" w:date="1999-06-04T14:39:00Z">
        <w:r>
          <w:rPr/>
          <w:delText>and a</w:delText>
        </w:r>
      </w:del>
      <w:ins w:id="387" w:author="Margaret Pemberton" w:date="1999-06-04T14:39:00Z">
        <w:r>
          <w:rPr/>
          <w:t>a</w:t>
        </w:r>
      </w:ins>
      <w:r>
        <w:rPr/>
        <w:t xml:space="preserve">ny subsequent modifications, </w:t>
      </w:r>
      <w:del w:id="388" w:author="Margaret Pemberton" w:date="1999-06-04T14:39:00Z">
        <w:r>
          <w:rPr/>
          <w:delText xml:space="preserve">including any </w:delText>
        </w:r>
      </w:del>
      <w:ins w:id="389" w:author="Margaret Pemberton" w:date="1999-06-04T14:39:00Z">
        <w:r>
          <w:rPr/>
          <w:t xml:space="preserve">and </w:t>
        </w:r>
      </w:ins>
      <w:r>
        <w:rPr/>
        <w:t>applicable Transaction Confirmations, sets forth all understandings between the Parties respecting each Transaction subject hereto, and any prior or contemporaneous representations, statements, negotiations, understandings, agreements and inducements are fully merged into and superseded by this Agreement and any effective Transaction Confirmation(s).</w:t>
      </w:r>
    </w:p>
    <w:p>
      <w:pPr>
        <w:pStyle w:val="Subheading2"/>
        <w:numPr>
          <w:ilvl w:val="1"/>
          <w:numId w:val="14"/>
        </w:numPr>
        <w:rPr>
          <w:u w:val="single"/>
        </w:rPr>
      </w:pPr>
      <w:r>
        <w:rPr>
          <w:u w:val="single"/>
        </w:rPr>
        <w:t xml:space="preserve"> </w:t>
      </w:r>
      <w:r>
        <w:rPr>
          <w:u w:val="single"/>
        </w:rPr>
        <w:tab/>
      </w:r>
      <w:bookmarkStart w:id="31" w:name="__RefHeading___Toc453144132"/>
      <w:r>
        <w:rPr>
          <w:u w:val="single"/>
        </w:rPr>
        <w:t>Applicable Laws.</w:t>
      </w:r>
      <w:bookmarkEnd w:id="31"/>
    </w:p>
    <w:p>
      <w:pPr>
        <w:pStyle w:val="BodyText2"/>
        <w:ind w:firstLine="720" w:start="0" w:end="0"/>
        <w:rPr/>
      </w:pPr>
      <w:r>
        <w:rPr/>
        <w:t>This Agreement and any applicable Transaction Confirmation are subject to all applicable laws, rules and regulations of any state, federal or governmental authority or regulatory body having jurisdiction over the Parties or the subject matter of this Agreement.</w:t>
      </w:r>
    </w:p>
    <w:p>
      <w:pPr>
        <w:pStyle w:val="Subheading2"/>
        <w:numPr>
          <w:ilvl w:val="1"/>
          <w:numId w:val="14"/>
        </w:numPr>
        <w:rPr>
          <w:u w:val="single"/>
        </w:rPr>
      </w:pPr>
      <w:bookmarkStart w:id="32" w:name="__RefHeading___Toc453144133"/>
      <w:bookmarkEnd w:id="32"/>
      <w:r>
        <w:rPr>
          <w:u w:val="single"/>
        </w:rPr>
        <w:t>Jurisdiction and Governing Law.</w:t>
      </w:r>
    </w:p>
    <w:p>
      <w:pPr>
        <w:pStyle w:val="BodyText2"/>
        <w:ind w:firstLine="720" w:start="0" w:end="0"/>
        <w:rPr/>
      </w:pPr>
      <w:r>
        <w:rPr/>
        <w:t xml:space="preserve">This Agreement will be performed in the State of Texas.  The validity, interpretation and performance of this Agreement shall be controlled by and construed under the laws of the State of Texas without regard to conflicts of law provisions. All Parties consent to the jurisdiction of Texas and agree that all suits must be brought in a state or federal court located within the State of Texas and waive any defense of </w:t>
      </w:r>
      <w:r>
        <w:rPr>
          <w:i/>
        </w:rPr>
        <w:t>forum non-conveniens</w:t>
      </w:r>
      <w:r>
        <w:rPr/>
        <w:t>, except Tex. Civ. Prac. &amp; Rem. Code §15.002(b).</w:t>
      </w:r>
    </w:p>
    <w:p>
      <w:pPr>
        <w:pStyle w:val="Subheading2"/>
        <w:numPr>
          <w:ilvl w:val="1"/>
          <w:numId w:val="14"/>
        </w:numPr>
        <w:rPr>
          <w:u w:val="single"/>
        </w:rPr>
      </w:pPr>
      <w:bookmarkStart w:id="33" w:name="__RefHeading___Toc453144134"/>
      <w:bookmarkEnd w:id="33"/>
      <w:r>
        <w:rPr>
          <w:u w:val="single"/>
        </w:rPr>
        <w:t>Successors and Assigns.</w:t>
      </w:r>
    </w:p>
    <w:p>
      <w:pPr>
        <w:pStyle w:val="BodyText2"/>
        <w:ind w:firstLine="720" w:start="0" w:end="0"/>
        <w:rPr/>
      </w:pPr>
      <w:r>
        <w:rPr/>
        <w:t>This Agreement shall be binding upon and inure to the benefit of the successors, assigns, personal representatives and heirs of the respective Parties hereto, and the covenants, conditions, rights and obligations of this Agreement shall run for the full term of this Agreement.  No assignment of this Agreement,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provided, that the credit rating of the parent or Affiliate is at least equal to that of the assigning Party.  Upon any transfer and assumption, the assigning Party shall not be relieved of or discharged from any obligations hereunder.</w:t>
      </w:r>
    </w:p>
    <w:p>
      <w:pPr>
        <w:pStyle w:val="Subheading2"/>
        <w:numPr>
          <w:ilvl w:val="1"/>
          <w:numId w:val="14"/>
        </w:numPr>
        <w:rPr>
          <w:u w:val="single"/>
        </w:rPr>
      </w:pPr>
      <w:bookmarkStart w:id="34" w:name="__RefHeading___Toc453144135"/>
      <w:bookmarkEnd w:id="34"/>
      <w:r>
        <w:rPr>
          <w:u w:val="single"/>
        </w:rPr>
        <w:t>General.</w:t>
      </w:r>
    </w:p>
    <w:p>
      <w:pPr>
        <w:pStyle w:val="BodyText2"/>
        <w:ind w:firstLine="720" w:start="0" w:end="0"/>
        <w:rPr>
          <w:ins w:id="390" w:author="Preferred Customer" w:date="1999-06-04T15:54:00Z"/>
        </w:rPr>
      </w:pPr>
      <w:r>
        <w:rPr/>
        <w:t>The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pStyle w:val="BodyText2"/>
        <w:ind w:firstLine="720" w:start="0" w:end="0"/>
        <w:rPr>
          <w:del w:id="392" w:author="Preferred Customer" w:date="1999-06-04T16:44:00Z"/>
        </w:rPr>
      </w:pPr>
      <w:del w:id="391" w:author="Preferred Customer" w:date="1999-06-04T16:44:00Z">
        <w:r>
          <w:rPr/>
        </w:r>
      </w:del>
    </w:p>
    <w:p>
      <w:pPr>
        <w:pStyle w:val="BodyText2"/>
        <w:numPr>
          <w:ilvl w:val="1"/>
          <w:numId w:val="14"/>
        </w:numPr>
        <w:rPr>
          <w:u w:val="single"/>
        </w:rPr>
      </w:pPr>
      <w:bookmarkStart w:id="35" w:name="__RefHeading___Toc453144136"/>
      <w:bookmarkEnd w:id="35"/>
      <w:r>
        <w:rPr>
          <w:u w:val="single"/>
        </w:rPr>
        <w:t>Forward Contract.</w:t>
      </w:r>
    </w:p>
    <w:p>
      <w:pPr>
        <w:pStyle w:val="BodyTextIndent2"/>
        <w:rPr/>
      </w:pPr>
      <w:r>
        <w:rPr>
          <w:sz w:val="24"/>
        </w:rPr>
        <w:t>The Parties acknowledge and agree that all Transactions constitute “forward contracts” within the meaning of the United States Bankruptcy Code.  Each Party represents that it is a “forward contract merchant”</w:t>
      </w:r>
      <w:r>
        <w:rPr/>
        <w:t xml:space="preserve"> </w:t>
      </w:r>
      <w:r>
        <w:rPr>
          <w:sz w:val="24"/>
        </w:rPr>
        <w:t>within the meaning of the United States Bankruptcy Code.</w:t>
      </w:r>
    </w:p>
    <w:p>
      <w:pPr>
        <w:pStyle w:val="Subheading2"/>
        <w:numPr>
          <w:ilvl w:val="1"/>
          <w:numId w:val="12"/>
        </w:numPr>
        <w:tabs>
          <w:tab w:val="clear" w:pos="1440"/>
          <w:tab w:val="left" w:pos="1170" w:leader="none"/>
        </w:tabs>
        <w:ind w:hanging="450" w:start="1170" w:end="0"/>
        <w:rPr>
          <w:b/>
          <w:u w:val="single"/>
        </w:rPr>
      </w:pPr>
      <w:bookmarkStart w:id="36" w:name="__RefHeading___Toc453144137"/>
      <w:bookmarkEnd w:id="36"/>
      <w:r>
        <w:rPr>
          <w:u w:val="single"/>
        </w:rPr>
        <w:t>Waiver of Sovereign Immunity.</w:t>
      </w:r>
    </w:p>
    <w:p>
      <w:pPr>
        <w:pStyle w:val="BodyText2"/>
        <w:ind w:firstLine="720" w:start="0" w:end="0"/>
        <w:rPr/>
      </w:pPr>
      <w:r>
        <w:rPr/>
        <w:t xml:space="preserve">The Parties agree that any defense of </w:t>
      </w:r>
      <w:ins w:id="393" w:author="Margaret Pemberton" w:date="1999-06-04T14:40:00Z">
        <w:r>
          <w:rPr/>
          <w:t>s</w:t>
        </w:r>
      </w:ins>
      <w:del w:id="394" w:author="Margaret Pemberton" w:date="1999-06-04T14:40:00Z">
        <w:r>
          <w:rPr/>
          <w:delText>S</w:delText>
        </w:r>
      </w:del>
      <w:r>
        <w:rPr/>
        <w:t xml:space="preserve">overeign </w:t>
      </w:r>
      <w:del w:id="395" w:author="Margaret Pemberton" w:date="1999-06-04T14:40:00Z">
        <w:r>
          <w:rPr/>
          <w:delText>I</w:delText>
        </w:r>
      </w:del>
      <w:ins w:id="396" w:author="Margaret Pemberton" w:date="1999-06-04T14:40:00Z">
        <w:r>
          <w:rPr/>
          <w:t>i</w:t>
        </w:r>
      </w:ins>
      <w:r>
        <w:rPr/>
        <w:t>mmunity</w:t>
      </w:r>
      <w:ins w:id="397" w:author="Margaret Pemberton" w:date="1999-06-04T14:40:00Z">
        <w:r>
          <w:rPr/>
          <w:t xml:space="preserve"> to claims</w:t>
        </w:r>
      </w:ins>
      <w:r>
        <w:rPr/>
        <w:t xml:space="preserve"> under this Agreement is hereby waived.</w:t>
      </w:r>
      <w:r>
        <w:br w:type="page"/>
      </w:r>
    </w:p>
    <w:p>
      <w:pPr>
        <w:pStyle w:val="BodyText2"/>
        <w:ind w:start="0" w:end="0"/>
        <w:rPr/>
      </w:pPr>
      <w:r>
        <w:rPr>
          <w:sz w:val="20"/>
        </w:rPr>
        <w:t>DATE:</w:t>
      </w:r>
      <w:r>
        <w:rPr>
          <w:sz w:val="20"/>
          <w:u w:val="single"/>
        </w:rPr>
        <w:tab/>
        <w:tab/>
        <w:tab/>
      </w:r>
    </w:p>
    <w:p>
      <w:pPr>
        <w:pStyle w:val="Subheading1"/>
        <w:rPr/>
      </w:pPr>
      <w:r>
        <w:rPr/>
        <w:t>EXHIBIT B</w:t>
      </w:r>
    </w:p>
    <w:p>
      <w:pPr>
        <w:pStyle w:val="Subheading1"/>
        <w:rPr/>
      </w:pPr>
      <w:r>
        <w:rPr/>
        <w:t>NOTICE AND EFT INFORMATION OF THE</w:t>
      </w:r>
    </w:p>
    <w:p>
      <w:pPr>
        <w:pStyle w:val="Subheading1"/>
        <w:rPr/>
      </w:pPr>
      <w:r>
        <w:rPr/>
        <w:t xml:space="preserve">ERCOT WHOLESALE ELECTRICITY </w:t>
      </w:r>
    </w:p>
    <w:p>
      <w:pPr>
        <w:pStyle w:val="Subheading1"/>
        <w:rPr/>
      </w:pPr>
      <w:bookmarkStart w:id="37" w:name="__RefHeading___Toc453144141"/>
      <w:bookmarkEnd w:id="37"/>
      <w:r>
        <w:rPr/>
        <w:t>ENABLING AGREEMENT</w:t>
      </w:r>
    </w:p>
    <w:p>
      <w:pPr>
        <w:pStyle w:val="BodyText2"/>
        <w:spacing w:lineRule="auto" w:line="240"/>
        <w:ind w:start="0" w:end="0"/>
        <w:rPr>
          <w:sz w:val="16"/>
        </w:rPr>
      </w:pPr>
      <w:r>
        <w:rPr>
          <w:sz w:val="16"/>
        </w:rPr>
      </w:r>
    </w:p>
    <w:p>
      <w:pPr>
        <w:pStyle w:val="BodyText2"/>
        <w:spacing w:lineRule="auto" w:line="240"/>
        <w:ind w:start="0" w:end="0"/>
        <w:rPr/>
      </w:pPr>
      <w:r>
        <w:rPr>
          <w:b/>
          <w:sz w:val="20"/>
        </w:rPr>
        <w:t xml:space="preserve"> </w:t>
      </w:r>
      <w:r>
        <w:rPr>
          <w:sz w:val="20"/>
        </w:rPr>
        <w:t>(a)</w:t>
        <w:tab/>
        <w:t>Except for routine communications with dispatchers, schedulers or real-time desk, all notices of an operational nature (including notices of interrupted service and Confirmations of Transactions) shall be in writing and/or may be sent between the Parties via electronic means including facsimile as follows:</w:t>
      </w:r>
    </w:p>
    <w:p>
      <w:pPr>
        <w:pStyle w:val="BodyText2"/>
        <w:spacing w:lineRule="auto" w:line="240"/>
        <w:ind w:start="0" w:end="0"/>
        <w:rPr>
          <w:sz w:val="20"/>
        </w:rPr>
      </w:pPr>
      <w:r>
        <w:rPr>
          <w:sz w:val="20"/>
        </w:rPr>
      </w:r>
    </w:p>
    <w:p>
      <w:pPr>
        <w:pStyle w:val="BodyText2"/>
        <w:spacing w:lineRule="auto" w:line="240"/>
        <w:ind w:start="0" w:end="0"/>
        <w:rPr>
          <w:sz w:val="20"/>
        </w:rPr>
      </w:pPr>
      <w:r>
        <w:rPr>
          <w:sz w:val="20"/>
        </w:rPr>
        <w:t>If to _________________________________</w:t>
        <w:tab/>
        <w:t>If to 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r>
    </w:p>
    <w:p>
      <w:pPr>
        <w:pStyle w:val="BodyText2"/>
        <w:spacing w:lineRule="auto" w:line="240"/>
        <w:ind w:start="0" w:end="0"/>
        <w:rPr/>
      </w:pPr>
      <w:r>
        <w:rPr>
          <w:sz w:val="20"/>
        </w:rPr>
        <w:t>Company Name</w:t>
        <w:tab/>
        <w:tab/>
        <w:tab/>
      </w:r>
      <w:del w:id="398" w:author="Preferred Customer" w:date="1999-06-04T16:12:00Z">
        <w:r>
          <w:rPr>
            <w:sz w:val="20"/>
          </w:rPr>
          <w:tab/>
          <w:tab/>
        </w:r>
      </w:del>
      <w:r>
        <w:rPr>
          <w:sz w:val="20"/>
        </w:rPr>
        <w:t>Company Name</w:t>
      </w:r>
    </w:p>
    <w:p>
      <w:pPr>
        <w:pStyle w:val="BodyText2"/>
        <w:spacing w:lineRule="auto" w:line="240"/>
        <w:ind w:start="0" w:end="0"/>
        <w:rPr/>
      </w:pPr>
      <w:r>
        <w:rPr>
          <w:sz w:val="20"/>
        </w:rPr>
        <w:t xml:space="preserve">Attn: </w:t>
        <w:tab/>
        <w:tab/>
        <w:tab/>
      </w:r>
      <w:del w:id="399" w:author="Preferred Customer" w:date="1999-06-04T16:12:00Z">
        <w:r>
          <w:rPr>
            <w:sz w:val="20"/>
          </w:rPr>
          <w:tab/>
          <w:tab/>
          <w:tab/>
        </w:r>
      </w:del>
      <w:r>
        <w:rPr>
          <w:sz w:val="20"/>
        </w:rPr>
        <w:t>Attn:</w:t>
      </w:r>
    </w:p>
    <w:p>
      <w:pPr>
        <w:pStyle w:val="BodyText2"/>
        <w:spacing w:lineRule="auto" w:line="240"/>
        <w:ind w:start="0" w:end="0"/>
        <w:rPr/>
      </w:pPr>
      <w:r>
        <w:rPr>
          <w:sz w:val="20"/>
        </w:rPr>
        <w:t>Address</w:t>
        <w:tab/>
        <w:tab/>
        <w:tab/>
      </w:r>
      <w:del w:id="400" w:author="Preferred Customer" w:date="1999-06-04T16:12:00Z">
        <w:r>
          <w:rPr>
            <w:sz w:val="20"/>
          </w:rPr>
          <w:tab/>
          <w:tab/>
          <w:tab/>
        </w:r>
      </w:del>
      <w:r>
        <w:rPr>
          <w:sz w:val="20"/>
        </w:rPr>
        <w:t>Address</w:t>
      </w:r>
    </w:p>
    <w:p>
      <w:pPr>
        <w:pStyle w:val="BodyText2"/>
        <w:spacing w:lineRule="auto" w:line="240"/>
        <w:ind w:start="0" w:end="0"/>
        <w:rPr/>
      </w:pPr>
      <w:r>
        <w:rPr>
          <w:sz w:val="20"/>
        </w:rPr>
        <w:t>City, State, Zip</w:t>
        <w:tab/>
        <w:tab/>
        <w:tab/>
      </w:r>
      <w:del w:id="401" w:author="Preferred Customer" w:date="1999-06-04T16:12:00Z">
        <w:r>
          <w:rPr>
            <w:sz w:val="20"/>
          </w:rPr>
          <w:tab/>
          <w:tab/>
        </w:r>
      </w:del>
      <w:r>
        <w:rPr>
          <w:sz w:val="20"/>
        </w:rPr>
        <w:t>City, State, Zip</w:t>
      </w:r>
    </w:p>
    <w:p>
      <w:pPr>
        <w:pStyle w:val="BodyText2"/>
        <w:spacing w:lineRule="auto" w:line="240"/>
        <w:ind w:start="0" w:end="0"/>
        <w:rPr>
          <w:sz w:val="20"/>
        </w:rPr>
      </w:pPr>
      <w:r>
        <w:rPr>
          <w:sz w:val="20"/>
        </w:rPr>
        <w:t>Operational/Confirmation Fax (___) ___-____</w:t>
        <w:tab/>
        <w:t>Operational/Confirmation Fax (___) ______</w:t>
      </w:r>
    </w:p>
    <w:p>
      <w:pPr>
        <w:pStyle w:val="BodyText2"/>
        <w:spacing w:lineRule="auto" w:line="240"/>
        <w:ind w:start="0" w:end="0"/>
        <w:rPr/>
      </w:pPr>
      <w:r>
        <w:rPr>
          <w:sz w:val="20"/>
        </w:rPr>
        <w:t>24 Hour Telephone (___) ___-____</w:t>
        <w:tab/>
        <w:tab/>
      </w:r>
      <w:del w:id="402" w:author="Preferred Customer" w:date="1999-06-04T16:12:00Z">
        <w:r>
          <w:rPr>
            <w:sz w:val="20"/>
          </w:rPr>
          <w:tab/>
        </w:r>
      </w:del>
      <w:r>
        <w:rPr>
          <w:sz w:val="20"/>
        </w:rPr>
        <w:t>24 Hour Telephone (___) ___-____</w:t>
      </w:r>
    </w:p>
    <w:p>
      <w:pPr>
        <w:pStyle w:val="BodyText2"/>
        <w:spacing w:lineRule="auto" w:line="240"/>
        <w:ind w:start="0" w:end="0"/>
        <w:rPr/>
      </w:pPr>
      <w:r>
        <w:rPr>
          <w:sz w:val="20"/>
        </w:rPr>
        <w:t>E-mail</w:t>
      </w:r>
      <w:ins w:id="403" w:author="Preferred Customer" w:date="1999-06-04T16:13:00Z">
        <w:r>
          <w:rPr>
            <w:sz w:val="20"/>
          </w:rPr>
          <w:t xml:space="preserve">   </w:t>
        </w:r>
      </w:ins>
      <w:del w:id="404" w:author="Preferred Customer" w:date="1999-06-04T16:13:00Z">
        <w:r>
          <w:rPr>
            <w:sz w:val="20"/>
          </w:rPr>
          <w:tab/>
        </w:r>
      </w:del>
      <w:r>
        <w:rPr>
          <w:sz w:val="20"/>
        </w:rPr>
        <w:t>______________________________</w:t>
        <w:tab/>
        <w:t>E-mail</w:t>
      </w:r>
      <w:ins w:id="405" w:author="Preferred Customer" w:date="1999-06-04T16:13:00Z">
        <w:r>
          <w:rPr>
            <w:sz w:val="20"/>
          </w:rPr>
          <w:t xml:space="preserve">   </w:t>
        </w:r>
      </w:ins>
      <w:del w:id="406" w:author="Preferred Customer" w:date="1999-06-04T16:13:00Z">
        <w:r>
          <w:rPr>
            <w:sz w:val="20"/>
          </w:rPr>
          <w:tab/>
        </w:r>
      </w:del>
      <w:r>
        <w:rPr>
          <w:sz w:val="20"/>
        </w:rPr>
        <w:t>____________________________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(b)</w:t>
        <w:tab/>
        <w:t xml:space="preserve">Notices of an administrative nature: </w:t>
      </w:r>
    </w:p>
    <w:p>
      <w:pPr>
        <w:pStyle w:val="BodyText2"/>
        <w:spacing w:lineRule="auto" w:line="240"/>
        <w:ind w:start="0" w:end="0"/>
        <w:rPr/>
      </w:pPr>
      <w:r>
        <w:rPr>
          <w:sz w:val="20"/>
        </w:rPr>
        <w:t>If to _______________________</w:t>
        <w:tab/>
        <w:tab/>
      </w:r>
      <w:del w:id="407" w:author="Preferred Customer" w:date="1999-06-04T16:13:00Z">
        <w:r>
          <w:rPr>
            <w:sz w:val="20"/>
          </w:rPr>
          <w:tab/>
        </w:r>
      </w:del>
      <w:r>
        <w:rPr>
          <w:sz w:val="20"/>
        </w:rPr>
        <w:t>If to ___________________________</w:t>
      </w:r>
    </w:p>
    <w:p>
      <w:pPr>
        <w:pStyle w:val="BodyText2"/>
        <w:spacing w:lineRule="auto" w:line="240"/>
        <w:ind w:start="0" w:end="0"/>
        <w:rPr>
          <w:sz w:val="20"/>
        </w:rPr>
      </w:pPr>
      <w:r>
        <w:rPr>
          <w:sz w:val="20"/>
        </w:rPr>
      </w:r>
    </w:p>
    <w:p>
      <w:pPr>
        <w:pStyle w:val="BodyText2"/>
        <w:spacing w:lineRule="auto" w:line="240"/>
        <w:ind w:start="0" w:end="0"/>
        <w:rPr/>
      </w:pPr>
      <w:r>
        <w:rPr>
          <w:sz w:val="20"/>
        </w:rPr>
        <w:t>Company Name</w:t>
        <w:tab/>
        <w:tab/>
        <w:tab/>
      </w:r>
      <w:del w:id="408" w:author="Preferred Customer" w:date="1999-06-04T16:13:00Z">
        <w:r>
          <w:rPr>
            <w:sz w:val="20"/>
          </w:rPr>
          <w:tab/>
          <w:tab/>
        </w:r>
      </w:del>
      <w:r>
        <w:rPr>
          <w:sz w:val="20"/>
        </w:rPr>
        <w:t>Company Name</w:t>
      </w:r>
    </w:p>
    <w:p>
      <w:pPr>
        <w:pStyle w:val="BodyText2"/>
        <w:spacing w:lineRule="auto" w:line="240"/>
        <w:ind w:start="0" w:end="0"/>
        <w:rPr/>
      </w:pPr>
      <w:r>
        <w:rPr>
          <w:sz w:val="20"/>
        </w:rPr>
        <w:t xml:space="preserve">Attn: </w:t>
        <w:tab/>
        <w:tab/>
        <w:tab/>
      </w:r>
      <w:del w:id="409" w:author="Preferred Customer" w:date="1999-06-04T16:13:00Z">
        <w:r>
          <w:rPr>
            <w:sz w:val="20"/>
          </w:rPr>
          <w:tab/>
          <w:tab/>
          <w:tab/>
        </w:r>
      </w:del>
      <w:r>
        <w:rPr>
          <w:sz w:val="20"/>
        </w:rPr>
        <w:t>Attn:</w:t>
      </w:r>
    </w:p>
    <w:p>
      <w:pPr>
        <w:pStyle w:val="BodyText2"/>
        <w:spacing w:lineRule="auto" w:line="240"/>
        <w:ind w:start="0" w:end="0"/>
        <w:rPr/>
      </w:pPr>
      <w:r>
        <w:rPr>
          <w:sz w:val="20"/>
        </w:rPr>
        <w:t>Address</w:t>
        <w:tab/>
        <w:tab/>
        <w:tab/>
      </w:r>
      <w:del w:id="410" w:author="Preferred Customer" w:date="1999-06-04T16:13:00Z">
        <w:r>
          <w:rPr>
            <w:sz w:val="20"/>
          </w:rPr>
          <w:tab/>
          <w:tab/>
          <w:tab/>
        </w:r>
      </w:del>
      <w:r>
        <w:rPr>
          <w:sz w:val="20"/>
        </w:rPr>
        <w:t>Address</w:t>
      </w:r>
    </w:p>
    <w:p>
      <w:pPr>
        <w:pStyle w:val="BodyText2"/>
        <w:spacing w:lineRule="auto" w:line="240"/>
        <w:ind w:start="0" w:end="0"/>
        <w:rPr/>
      </w:pPr>
      <w:r>
        <w:rPr>
          <w:sz w:val="20"/>
        </w:rPr>
        <w:t>City, State, Zip</w:t>
        <w:tab/>
        <w:tab/>
        <w:tab/>
      </w:r>
      <w:del w:id="411" w:author="Preferred Customer" w:date="1999-06-04T16:13:00Z">
        <w:r>
          <w:rPr>
            <w:sz w:val="20"/>
          </w:rPr>
          <w:tab/>
          <w:tab/>
        </w:r>
      </w:del>
      <w:r>
        <w:rPr>
          <w:sz w:val="20"/>
        </w:rPr>
        <w:t>City, State, Zip</w:t>
      </w:r>
    </w:p>
    <w:p>
      <w:pPr>
        <w:pStyle w:val="BodyText2"/>
        <w:spacing w:lineRule="auto" w:line="240"/>
        <w:ind w:start="0" w:end="0"/>
        <w:rPr/>
      </w:pPr>
      <w:r>
        <w:rPr>
          <w:sz w:val="20"/>
        </w:rPr>
        <w:t>Fax (___) ___-____</w:t>
        <w:tab/>
        <w:tab/>
      </w:r>
      <w:del w:id="412" w:author="Preferred Customer" w:date="1999-06-04T16:13:00Z">
        <w:r>
          <w:rPr>
            <w:sz w:val="20"/>
          </w:rPr>
          <w:tab/>
          <w:tab/>
        </w:r>
      </w:del>
      <w:r>
        <w:rPr>
          <w:sz w:val="20"/>
        </w:rPr>
        <w:t>Fax (___) ___-____</w:t>
      </w:r>
    </w:p>
    <w:p>
      <w:pPr>
        <w:pStyle w:val="BodyText2"/>
        <w:spacing w:lineRule="auto" w:line="240"/>
        <w:ind w:start="0" w:end="0"/>
        <w:rPr/>
      </w:pPr>
      <w:r>
        <w:rPr>
          <w:sz w:val="20"/>
        </w:rPr>
        <w:t>Phone:</w:t>
      </w:r>
      <w:ins w:id="413" w:author="Preferred Customer" w:date="1999-06-04T16:14:00Z">
        <w:r>
          <w:rPr>
            <w:sz w:val="20"/>
          </w:rPr>
          <w:t xml:space="preserve">   </w:t>
        </w:r>
      </w:ins>
      <w:del w:id="414" w:author="Preferred Customer" w:date="1999-06-04T16:13:00Z">
        <w:r>
          <w:rPr>
            <w:sz w:val="20"/>
          </w:rPr>
          <w:tab/>
        </w:r>
      </w:del>
      <w:r>
        <w:rPr>
          <w:sz w:val="20"/>
        </w:rPr>
        <w:t>______________________________</w:t>
        <w:tab/>
        <w:t>Phone:</w:t>
      </w:r>
      <w:ins w:id="415" w:author="Preferred Customer" w:date="1999-06-04T16:14:00Z">
        <w:r>
          <w:rPr>
            <w:sz w:val="20"/>
          </w:rPr>
          <w:t xml:space="preserve">   </w:t>
        </w:r>
      </w:ins>
      <w:del w:id="416" w:author="Preferred Customer" w:date="1999-06-04T16:14:00Z">
        <w:r>
          <w:rPr>
            <w:sz w:val="20"/>
          </w:rPr>
          <w:tab/>
        </w:r>
      </w:del>
      <w:r>
        <w:rPr>
          <w:sz w:val="20"/>
        </w:rPr>
        <w:t>____________________________</w:t>
      </w:r>
    </w:p>
    <w:p>
      <w:pPr>
        <w:pStyle w:val="BodyText2"/>
        <w:spacing w:lineRule="auto" w:line="240"/>
        <w:ind w:start="0" w:end="0"/>
        <w:rPr/>
      </w:pPr>
      <w:r>
        <w:rPr>
          <w:sz w:val="20"/>
        </w:rPr>
        <w:t>E-mail</w:t>
      </w:r>
      <w:ins w:id="417" w:author="Preferred Customer" w:date="1999-06-04T16:14:00Z">
        <w:r>
          <w:rPr>
            <w:sz w:val="20"/>
          </w:rPr>
          <w:t xml:space="preserve">   </w:t>
        </w:r>
      </w:ins>
      <w:del w:id="418" w:author="Preferred Customer" w:date="1999-06-04T16:14:00Z">
        <w:r>
          <w:rPr>
            <w:sz w:val="20"/>
          </w:rPr>
          <w:tab/>
        </w:r>
      </w:del>
      <w:r>
        <w:rPr>
          <w:sz w:val="20"/>
        </w:rPr>
        <w:t>______________________________</w:t>
        <w:tab/>
        <w:t>E-mail</w:t>
      </w:r>
      <w:ins w:id="419" w:author="Preferred Customer" w:date="1999-06-04T16:14:00Z">
        <w:r>
          <w:rPr>
            <w:sz w:val="20"/>
          </w:rPr>
          <w:t xml:space="preserve">   </w:t>
        </w:r>
      </w:ins>
      <w:del w:id="420" w:author="Preferred Customer" w:date="1999-06-04T16:14:00Z">
        <w:r>
          <w:rPr>
            <w:sz w:val="20"/>
          </w:rPr>
          <w:tab/>
        </w:r>
      </w:del>
      <w:r>
        <w:rPr>
          <w:sz w:val="20"/>
        </w:rPr>
        <w:t>____________________________</w:t>
        <w:tab/>
        <w:tab/>
        <w:tab/>
        <w:tab/>
      </w:r>
    </w:p>
    <w:p>
      <w:pPr>
        <w:pStyle w:val="BodyText2"/>
        <w:spacing w:lineRule="auto" w:line="240"/>
        <w:ind w:start="0" w:end="0"/>
        <w:rPr>
          <w:sz w:val="20"/>
        </w:rPr>
      </w:pPr>
      <w:r>
        <w:rPr>
          <w:sz w:val="20"/>
        </w:rPr>
      </w:r>
    </w:p>
    <w:p>
      <w:pPr>
        <w:pStyle w:val="BodyText2"/>
        <w:spacing w:lineRule="auto" w:line="240"/>
        <w:ind w:start="0" w:end="0"/>
        <w:rPr>
          <w:sz w:val="20"/>
        </w:rPr>
      </w:pPr>
      <w:r>
        <w:rPr>
          <w:sz w:val="20"/>
        </w:rPr>
        <w:t>(c)</w:t>
        <w:tab/>
        <w:t>Notice for statement and billing purposes:</w:t>
      </w:r>
    </w:p>
    <w:p>
      <w:pPr>
        <w:pStyle w:val="BodyText2"/>
        <w:spacing w:lineRule="auto" w:line="240"/>
        <w:ind w:start="0" w:end="0"/>
        <w:rPr>
          <w:sz w:val="20"/>
        </w:rPr>
      </w:pPr>
      <w:r>
        <w:rPr>
          <w:sz w:val="20"/>
        </w:rPr>
      </w:r>
    </w:p>
    <w:p>
      <w:pPr>
        <w:pStyle w:val="BodyText2"/>
        <w:spacing w:lineRule="auto" w:line="240"/>
        <w:ind w:start="0" w:end="0"/>
        <w:rPr/>
      </w:pPr>
      <w:r>
        <w:rPr>
          <w:sz w:val="20"/>
        </w:rPr>
        <w:t>If to _______________________</w:t>
        <w:tab/>
        <w:tab/>
      </w:r>
      <w:del w:id="421" w:author="Preferred Customer" w:date="1999-06-04T16:14:00Z">
        <w:r>
          <w:rPr>
            <w:sz w:val="20"/>
          </w:rPr>
          <w:tab/>
        </w:r>
      </w:del>
      <w:r>
        <w:rPr>
          <w:sz w:val="20"/>
        </w:rPr>
        <w:t>If to ___________________________</w:t>
      </w:r>
    </w:p>
    <w:p>
      <w:pPr>
        <w:pStyle w:val="BodyText2"/>
        <w:spacing w:lineRule="auto" w:line="240"/>
        <w:ind w:start="0" w:end="0"/>
        <w:rPr>
          <w:sz w:val="20"/>
        </w:rPr>
      </w:pPr>
      <w:r>
        <w:rPr>
          <w:sz w:val="20"/>
        </w:rPr>
      </w:r>
    </w:p>
    <w:p>
      <w:pPr>
        <w:pStyle w:val="BodyText2"/>
        <w:spacing w:lineRule="auto" w:line="240"/>
        <w:ind w:start="0" w:end="0"/>
        <w:rPr/>
      </w:pPr>
      <w:r>
        <w:rPr>
          <w:sz w:val="20"/>
        </w:rPr>
        <w:t>Company Name</w:t>
        <w:tab/>
        <w:tab/>
        <w:tab/>
      </w:r>
      <w:del w:id="422" w:author="Preferred Customer" w:date="1999-06-04T16:14:00Z">
        <w:r>
          <w:rPr>
            <w:sz w:val="20"/>
          </w:rPr>
          <w:tab/>
          <w:tab/>
        </w:r>
      </w:del>
      <w:r>
        <w:rPr>
          <w:sz w:val="20"/>
        </w:rPr>
        <w:t>Company Name</w:t>
      </w:r>
    </w:p>
    <w:p>
      <w:pPr>
        <w:pStyle w:val="BodyText2"/>
        <w:spacing w:lineRule="auto" w:line="240"/>
        <w:ind w:start="0" w:end="0"/>
        <w:rPr/>
      </w:pPr>
      <w:r>
        <w:rPr>
          <w:sz w:val="20"/>
        </w:rPr>
        <w:t xml:space="preserve">Attn: </w:t>
        <w:tab/>
        <w:tab/>
        <w:tab/>
      </w:r>
      <w:del w:id="423" w:author="Preferred Customer" w:date="1999-06-04T16:14:00Z">
        <w:r>
          <w:rPr>
            <w:sz w:val="20"/>
          </w:rPr>
          <w:tab/>
          <w:tab/>
          <w:tab/>
        </w:r>
      </w:del>
      <w:r>
        <w:rPr>
          <w:sz w:val="20"/>
        </w:rPr>
        <w:t>Attn:</w:t>
      </w:r>
    </w:p>
    <w:p>
      <w:pPr>
        <w:pStyle w:val="BodyText2"/>
        <w:spacing w:lineRule="auto" w:line="240"/>
        <w:ind w:start="0" w:end="0"/>
        <w:rPr/>
      </w:pPr>
      <w:r>
        <w:rPr>
          <w:sz w:val="20"/>
        </w:rPr>
        <w:t>Address</w:t>
        <w:tab/>
        <w:tab/>
        <w:tab/>
      </w:r>
      <w:del w:id="424" w:author="Preferred Customer" w:date="1999-06-04T16:14:00Z">
        <w:r>
          <w:rPr>
            <w:sz w:val="20"/>
          </w:rPr>
          <w:tab/>
          <w:tab/>
          <w:tab/>
        </w:r>
      </w:del>
      <w:r>
        <w:rPr>
          <w:sz w:val="20"/>
        </w:rPr>
        <w:t>Address</w:t>
      </w:r>
    </w:p>
    <w:p>
      <w:pPr>
        <w:pStyle w:val="BodyText2"/>
        <w:spacing w:lineRule="auto" w:line="240"/>
        <w:ind w:start="0" w:end="0"/>
        <w:rPr/>
      </w:pPr>
      <w:r>
        <w:rPr>
          <w:sz w:val="20"/>
        </w:rPr>
        <w:t>City, State, Zip</w:t>
        <w:tab/>
        <w:tab/>
        <w:tab/>
      </w:r>
      <w:del w:id="425" w:author="Preferred Customer" w:date="1999-06-04T16:14:00Z">
        <w:r>
          <w:rPr>
            <w:sz w:val="20"/>
          </w:rPr>
          <w:tab/>
          <w:tab/>
        </w:r>
      </w:del>
      <w:r>
        <w:rPr>
          <w:sz w:val="20"/>
        </w:rPr>
        <w:t>City, State, Zip</w:t>
      </w:r>
    </w:p>
    <w:p>
      <w:pPr>
        <w:pStyle w:val="BodyText2"/>
        <w:spacing w:lineRule="auto" w:line="240"/>
        <w:ind w:start="0" w:end="0"/>
        <w:rPr/>
      </w:pPr>
      <w:r>
        <w:rPr>
          <w:sz w:val="20"/>
        </w:rPr>
        <w:t>Phone:</w:t>
      </w:r>
      <w:ins w:id="426" w:author="Preferred Customer" w:date="1999-06-04T16:14:00Z">
        <w:r>
          <w:rPr>
            <w:sz w:val="20"/>
          </w:rPr>
          <w:t xml:space="preserve">   </w:t>
        </w:r>
      </w:ins>
      <w:del w:id="427" w:author="Preferred Customer" w:date="1999-06-04T16:14:00Z">
        <w:r>
          <w:rPr>
            <w:sz w:val="20"/>
          </w:rPr>
          <w:tab/>
        </w:r>
      </w:del>
      <w:r>
        <w:rPr>
          <w:sz w:val="20"/>
        </w:rPr>
        <w:t>______________________________</w:t>
        <w:tab/>
        <w:t>Phone:</w:t>
      </w:r>
      <w:ins w:id="428" w:author="Preferred Customer" w:date="1999-06-04T16:14:00Z">
        <w:r>
          <w:rPr>
            <w:sz w:val="20"/>
          </w:rPr>
          <w:t xml:space="preserve">   </w:t>
        </w:r>
      </w:ins>
      <w:del w:id="429" w:author="Preferred Customer" w:date="1999-06-04T16:14:00Z">
        <w:r>
          <w:rPr>
            <w:sz w:val="20"/>
          </w:rPr>
          <w:tab/>
        </w:r>
      </w:del>
      <w:r>
        <w:rPr>
          <w:sz w:val="20"/>
        </w:rPr>
        <w:t>____________________________</w:t>
      </w:r>
    </w:p>
    <w:p>
      <w:pPr>
        <w:pStyle w:val="BodyText2"/>
        <w:spacing w:lineRule="auto" w:line="240"/>
        <w:ind w:start="0" w:end="0"/>
        <w:rPr/>
      </w:pPr>
      <w:r>
        <w:rPr>
          <w:sz w:val="20"/>
        </w:rPr>
        <w:t>E-mail</w:t>
      </w:r>
      <w:ins w:id="430" w:author="Preferred Customer" w:date="1999-06-04T16:14:00Z">
        <w:r>
          <w:rPr>
            <w:sz w:val="20"/>
          </w:rPr>
          <w:t xml:space="preserve">   </w:t>
        </w:r>
      </w:ins>
      <w:del w:id="431" w:author="Preferred Customer" w:date="1999-06-04T16:14:00Z">
        <w:r>
          <w:rPr>
            <w:sz w:val="20"/>
          </w:rPr>
          <w:tab/>
        </w:r>
      </w:del>
      <w:r>
        <w:rPr>
          <w:sz w:val="20"/>
        </w:rPr>
        <w:t>______________________________</w:t>
        <w:tab/>
        <w:t>E-mail</w:t>
      </w:r>
      <w:ins w:id="432" w:author="Preferred Customer" w:date="1999-06-04T16:14:00Z">
        <w:r>
          <w:rPr>
            <w:sz w:val="20"/>
          </w:rPr>
          <w:t xml:space="preserve">   </w:t>
        </w:r>
      </w:ins>
      <w:del w:id="433" w:author="Preferred Customer" w:date="1999-06-04T16:14:00Z">
        <w:r>
          <w:rPr>
            <w:sz w:val="20"/>
          </w:rPr>
          <w:tab/>
        </w:r>
      </w:del>
      <w:r>
        <w:rPr>
          <w:sz w:val="20"/>
        </w:rPr>
        <w:t>____________________________</w:t>
      </w:r>
    </w:p>
    <w:p>
      <w:pPr>
        <w:pStyle w:val="BodyText2"/>
        <w:spacing w:lineRule="auto" w:line="240"/>
        <w:ind w:start="0" w:end="0"/>
        <w:rPr>
          <w:sz w:val="20"/>
        </w:rPr>
      </w:pPr>
      <w:r>
        <w:rPr>
          <w:sz w:val="20"/>
        </w:rPr>
      </w:r>
    </w:p>
    <w:p>
      <w:pPr>
        <w:pStyle w:val="BodyText2"/>
        <w:spacing w:lineRule="auto" w:line="240"/>
        <w:ind w:start="0" w:end="0"/>
        <w:rPr>
          <w:sz w:val="20"/>
        </w:rPr>
      </w:pPr>
      <w:r>
        <w:rPr>
          <w:sz w:val="20"/>
        </w:rPr>
        <w:t>(d)</w:t>
        <w:tab/>
        <w:t>Information concerning Electronic Funds Transfers:</w:t>
      </w:r>
    </w:p>
    <w:p>
      <w:pPr>
        <w:pStyle w:val="BodyText2"/>
        <w:spacing w:lineRule="auto" w:line="240"/>
        <w:ind w:start="0" w:end="0"/>
        <w:rPr>
          <w:sz w:val="20"/>
        </w:rPr>
      </w:pPr>
      <w:r>
        <w:rPr>
          <w:sz w:val="20"/>
        </w:rPr>
      </w:r>
    </w:p>
    <w:p>
      <w:pPr>
        <w:pStyle w:val="BodyText2"/>
        <w:spacing w:lineRule="auto" w:line="240"/>
        <w:ind w:start="0" w:end="0"/>
        <w:rPr/>
      </w:pPr>
      <w:r>
        <w:rPr>
          <w:sz w:val="20"/>
        </w:rPr>
        <w:t>If to _______________________</w:t>
        <w:tab/>
        <w:tab/>
      </w:r>
      <w:del w:id="434" w:author="Preferred Customer" w:date="1999-06-04T16:14:00Z">
        <w:r>
          <w:rPr>
            <w:sz w:val="20"/>
          </w:rPr>
          <w:tab/>
        </w:r>
      </w:del>
      <w:r>
        <w:rPr>
          <w:sz w:val="20"/>
        </w:rPr>
        <w:t xml:space="preserve">If to ___________________________ </w:t>
      </w:r>
    </w:p>
    <w:p>
      <w:pPr>
        <w:pStyle w:val="BodyText2"/>
        <w:spacing w:lineRule="auto" w:line="240"/>
        <w:ind w:start="0" w:end="0"/>
        <w:rPr>
          <w:sz w:val="20"/>
        </w:rPr>
      </w:pPr>
      <w:r>
        <w:rPr>
          <w:sz w:val="20"/>
        </w:rPr>
      </w:r>
    </w:p>
    <w:p>
      <w:pPr>
        <w:pStyle w:val="BodyText2"/>
        <w:spacing w:lineRule="auto" w:line="240"/>
        <w:ind w:start="0" w:end="0"/>
        <w:rPr/>
      </w:pPr>
      <w:r>
        <w:rPr>
          <w:sz w:val="20"/>
        </w:rPr>
        <w:t>Bank Name</w:t>
        <w:tab/>
        <w:tab/>
        <w:tab/>
      </w:r>
      <w:del w:id="435" w:author="Preferred Customer" w:date="1999-06-04T16:14:00Z">
        <w:r>
          <w:rPr>
            <w:sz w:val="20"/>
          </w:rPr>
          <w:tab/>
          <w:tab/>
        </w:r>
      </w:del>
      <w:r>
        <w:rPr>
          <w:sz w:val="20"/>
        </w:rPr>
        <w:t>Bank Name</w:t>
      </w:r>
    </w:p>
    <w:p>
      <w:pPr>
        <w:pStyle w:val="BodyText2"/>
        <w:spacing w:lineRule="auto" w:line="240"/>
        <w:ind w:start="0" w:end="0"/>
        <w:rPr/>
      </w:pPr>
      <w:r>
        <w:rPr>
          <w:sz w:val="20"/>
        </w:rPr>
        <w:t>City, State</w:t>
        <w:tab/>
        <w:tab/>
        <w:tab/>
      </w:r>
      <w:del w:id="436" w:author="Preferred Customer" w:date="1999-06-04T16:14:00Z">
        <w:r>
          <w:rPr>
            <w:sz w:val="20"/>
          </w:rPr>
          <w:tab/>
          <w:tab/>
        </w:r>
      </w:del>
      <w:r>
        <w:rPr>
          <w:sz w:val="20"/>
        </w:rPr>
        <w:t>City, State</w:t>
      </w:r>
    </w:p>
    <w:p>
      <w:pPr>
        <w:pStyle w:val="BodyText2"/>
        <w:spacing w:lineRule="auto" w:line="240"/>
        <w:ind w:start="0" w:end="0"/>
        <w:rPr/>
      </w:pPr>
      <w:r>
        <w:rPr>
          <w:sz w:val="20"/>
        </w:rPr>
        <w:t>ABA No. _____________</w:t>
        <w:tab/>
        <w:tab/>
      </w:r>
      <w:del w:id="437" w:author="Preferred Customer" w:date="1999-06-04T16:14:00Z">
        <w:r>
          <w:rPr>
            <w:sz w:val="20"/>
          </w:rPr>
          <w:tab/>
          <w:tab/>
        </w:r>
      </w:del>
      <w:r>
        <w:rPr>
          <w:sz w:val="20"/>
        </w:rPr>
        <w:t>ABA No. __________________</w:t>
      </w:r>
    </w:p>
    <w:p>
      <w:pPr>
        <w:pStyle w:val="BodyText2"/>
        <w:spacing w:lineRule="auto" w:line="240"/>
        <w:ind w:start="0" w:end="0"/>
        <w:rPr/>
      </w:pPr>
      <w:r>
        <w:rPr>
          <w:sz w:val="20"/>
        </w:rPr>
        <w:t xml:space="preserve">for credit to </w:t>
        <w:tab/>
        <w:tab/>
        <w:tab/>
      </w:r>
      <w:del w:id="438" w:author="Preferred Customer" w:date="1999-06-04T16:15:00Z">
        <w:r>
          <w:rPr>
            <w:sz w:val="20"/>
          </w:rPr>
          <w:tab/>
          <w:tab/>
        </w:r>
      </w:del>
      <w:r>
        <w:rPr>
          <w:sz w:val="20"/>
        </w:rPr>
        <w:t>for credit to</w:t>
      </w:r>
    </w:p>
    <w:p>
      <w:pPr>
        <w:pStyle w:val="BodyText2"/>
        <w:spacing w:lineRule="auto" w:line="240"/>
        <w:ind w:start="0" w:end="0"/>
        <w:rPr/>
      </w:pPr>
      <w:del w:id="439" w:author="Preferred Customer" w:date="1999-06-04T16:15:00Z">
        <w:r>
          <w:rPr>
            <w:sz w:val="20"/>
          </w:rPr>
          <w:delText xml:space="preserve">   </w:delText>
        </w:r>
      </w:del>
      <w:r>
        <w:rPr>
          <w:sz w:val="20"/>
        </w:rPr>
        <w:t>_________________________</w:t>
        <w:tab/>
        <w:tab/>
      </w:r>
      <w:del w:id="440" w:author="Preferred Customer" w:date="1999-06-04T16:15:00Z">
        <w:r>
          <w:rPr>
            <w:sz w:val="20"/>
          </w:rPr>
          <w:tab/>
        </w:r>
      </w:del>
      <w:r>
        <w:rPr>
          <w:sz w:val="20"/>
        </w:rPr>
        <w:t>____________________________</w:t>
        <w:tab/>
        <w:t xml:space="preserve">   </w:t>
      </w:r>
      <w:r>
        <w:br w:type="page"/>
      </w:r>
    </w:p>
    <w:p>
      <w:pPr>
        <w:pStyle w:val="BodyText2"/>
        <w:spacing w:lineRule="auto" w:line="240"/>
        <w:ind w:start="0" w:end="0"/>
        <w:rPr/>
      </w:pPr>
      <w:r>
        <w:rPr>
          <w:sz w:val="20"/>
        </w:rPr>
        <w:t>Account No. ________________</w:t>
        <w:tab/>
        <w:tab/>
      </w:r>
      <w:del w:id="441" w:author="Preferred Customer" w:date="1999-06-04T16:15:00Z">
        <w:r>
          <w:rPr>
            <w:sz w:val="20"/>
          </w:rPr>
          <w:tab/>
        </w:r>
      </w:del>
      <w:r>
        <w:rPr>
          <w:sz w:val="20"/>
        </w:rPr>
        <w:t>Account No. __________________</w:t>
      </w:r>
    </w:p>
    <w:p>
      <w:pPr>
        <w:pStyle w:val="BodyText2"/>
        <w:spacing w:lineRule="auto" w:line="240"/>
        <w:ind w:start="0" w:end="0"/>
        <w:rPr>
          <w:sz w:val="20"/>
        </w:rPr>
      </w:pPr>
      <w:r>
        <w:rPr>
          <w:sz w:val="20"/>
        </w:rPr>
      </w:r>
    </w:p>
    <w:p>
      <w:pPr>
        <w:pStyle w:val="BodyText2"/>
        <w:numPr>
          <w:ilvl w:val="0"/>
          <w:numId w:val="0"/>
        </w:numPr>
        <w:ind w:hanging="0" w:start="0" w:end="0"/>
        <w:outlineLvl w:val="0"/>
        <w:rPr>
          <w:sz w:val="20"/>
        </w:rPr>
      </w:pPr>
      <w:r>
        <w:rPr>
          <w:sz w:val="20"/>
        </w:rPr>
      </w:r>
      <w:r>
        <w:br w:type="page"/>
      </w:r>
    </w:p>
    <w:p>
      <w:pPr>
        <w:pStyle w:val="BodyText2"/>
        <w:numPr>
          <w:ilvl w:val="0"/>
          <w:numId w:val="0"/>
        </w:numPr>
        <w:ind w:hanging="0" w:start="0" w:end="0"/>
        <w:outlineLvl w:val="0"/>
        <w:rPr>
          <w:sz w:val="20"/>
        </w:rPr>
      </w:pPr>
      <w:r>
        <w:rPr>
          <w:sz w:val="20"/>
        </w:rPr>
      </w:r>
    </w:p>
    <w:p>
      <w:pPr>
        <w:pStyle w:val="Subheading1"/>
        <w:rPr/>
      </w:pPr>
      <w:bookmarkStart w:id="38" w:name="__RefHeading___Toc453144142"/>
      <w:bookmarkEnd w:id="38"/>
      <w:r>
        <w:rPr/>
        <w:t>EXHIBIT C - CREDIT SUPPORT ANNEX</w:t>
      </w:r>
    </w:p>
    <w:p>
      <w:pPr>
        <w:pStyle w:val="Normal"/>
        <w:jc w:val="center"/>
        <w:rPr>
          <w:b/>
        </w:rPr>
      </w:pPr>
      <w:r>
        <w:rPr>
          <w:b/>
        </w:rPr>
        <w:t>[OPTIONAL: This or any other credit agreement may be used as an alternative to Article 9.]</w:t>
      </w:r>
    </w:p>
    <w:p>
      <w:pPr>
        <w:pStyle w:val="Subheading1"/>
        <w:rPr>
          <w:b w:val="false"/>
        </w:rPr>
      </w:pPr>
      <w:r>
        <w:rPr>
          <w:b w:val="false"/>
        </w:rPr>
      </w:r>
    </w:p>
    <w:p>
      <w:pPr>
        <w:pStyle w:val="Normal"/>
        <w:jc w:val="both"/>
        <w:rPr/>
      </w:pPr>
      <w:r>
        <w:rPr>
          <w:b/>
        </w:rPr>
        <w:tab/>
      </w:r>
      <w:r>
        <w:rPr/>
        <w:t xml:space="preserve">This Credit Support Annex supplements, forms part of, and is subject to that certain ERCOT Wholesale Electricity Enabling Agreement dated as of __________, 1999 (the </w:t>
      </w:r>
      <w:r>
        <w:rPr>
          <w:b/>
          <w:i/>
        </w:rPr>
        <w:t>“Base Document”</w:t>
      </w:r>
      <w:r>
        <w:rPr/>
        <w:t>), between _________________, a ____________ corporation (</w:t>
      </w:r>
      <w:r>
        <w:rPr>
          <w:b/>
          <w:i/>
        </w:rPr>
        <w:t>“Party A”</w:t>
      </w:r>
      <w:r>
        <w:rPr/>
        <w:t>) and ______________________, a _______________ corporation (</w:t>
      </w:r>
      <w:r>
        <w:rPr>
          <w:b/>
          <w:i/>
        </w:rPr>
        <w:t>“Party B”</w:t>
      </w:r>
      <w:r>
        <w:rPr/>
        <w:t xml:space="preserve"> and, together with Party A individually a </w:t>
      </w:r>
      <w:r>
        <w:rPr>
          <w:b/>
          <w:i/>
        </w:rPr>
        <w:t xml:space="preserve">“Party” </w:t>
      </w:r>
      <w:r>
        <w:rPr/>
        <w:t xml:space="preserve">and collectively the </w:t>
      </w:r>
      <w:r>
        <w:rPr>
          <w:b/>
          <w:i/>
        </w:rPr>
        <w:t>“Parties”</w:t>
      </w:r>
      <w:r>
        <w:rPr/>
        <w:t>).</w:t>
      </w:r>
    </w:p>
    <w:p>
      <w:pPr>
        <w:pStyle w:val="Normal"/>
        <w:jc w:val="both"/>
        <w:rPr/>
      </w:pPr>
      <w:r>
        <w:rPr/>
      </w:r>
    </w:p>
    <w:p>
      <w:pPr>
        <w:pStyle w:val="Normal"/>
        <w:jc w:val="both"/>
        <w:rPr/>
      </w:pPr>
      <w:r>
        <w:rPr>
          <w:b/>
        </w:rPr>
        <w:t>Paragraph 1.</w:t>
      </w:r>
      <w:r>
        <w:rPr/>
        <w:tab/>
      </w:r>
      <w:r>
        <w:rPr>
          <w:b/>
          <w:u w:val="single"/>
        </w:rPr>
        <w:t>Definitions and Interpretations</w:t>
      </w:r>
      <w:r>
        <w:rPr>
          <w:b/>
        </w:rPr>
        <w:t>.</w:t>
      </w:r>
      <w:r>
        <w:rPr/>
        <w:t xml:space="preserve">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p>
    <w:p>
      <w:pPr>
        <w:pStyle w:val="Normal"/>
        <w:jc w:val="both"/>
        <w:rPr/>
      </w:pPr>
      <w:r>
        <w:rPr/>
      </w:r>
    </w:p>
    <w:p>
      <w:pPr>
        <w:pStyle w:val="Normal"/>
        <w:jc w:val="both"/>
        <w:rPr/>
      </w:pPr>
      <w:r>
        <w:rPr/>
        <w:tab/>
      </w:r>
      <w:r>
        <w:rPr>
          <w:b/>
          <w:i/>
        </w:rPr>
        <w:t>“Agreement”</w:t>
      </w:r>
      <w:r>
        <w:rPr/>
        <w:t xml:space="preserve"> has the meaning specified in the Base Document.</w:t>
      </w:r>
    </w:p>
    <w:p>
      <w:pPr>
        <w:pStyle w:val="Normal"/>
        <w:jc w:val="both"/>
        <w:rPr/>
      </w:pPr>
      <w:r>
        <w:rPr/>
      </w:r>
    </w:p>
    <w:p>
      <w:pPr>
        <w:pStyle w:val="Normal"/>
        <w:jc w:val="both"/>
        <w:rPr/>
      </w:pPr>
      <w:r>
        <w:rPr/>
        <w:tab/>
      </w:r>
      <w:r>
        <w:rPr>
          <w:b/>
          <w:i/>
        </w:rPr>
        <w:t>“Aggregate Exposure Amount”</w:t>
      </w:r>
      <w:r>
        <w:rPr/>
        <w:t xml:space="preserve"> with respect to a Party at any time means the sum of the Long Term Performance Amount of such Party at such time and the Net Near Term Payable Amount of such Party at such time.</w:t>
      </w:r>
    </w:p>
    <w:p>
      <w:pPr>
        <w:pStyle w:val="Normal"/>
        <w:jc w:val="both"/>
        <w:rPr/>
      </w:pPr>
      <w:r>
        <w:rPr/>
      </w:r>
    </w:p>
    <w:p>
      <w:pPr>
        <w:pStyle w:val="Normal"/>
        <w:jc w:val="both"/>
        <w:rPr/>
      </w:pPr>
      <w:r>
        <w:rPr/>
        <w:tab/>
      </w:r>
      <w:r>
        <w:rPr>
          <w:b/>
          <w:i/>
        </w:rPr>
        <w:t>“Collateral Threshold Amount”</w:t>
      </w:r>
      <w:r>
        <w:rPr/>
        <w:t xml:space="preserve"> means:</w:t>
      </w:r>
    </w:p>
    <w:p>
      <w:pPr>
        <w:pStyle w:val="Normal"/>
        <w:jc w:val="both"/>
        <w:rPr/>
      </w:pPr>
      <w:r>
        <w:rPr/>
      </w:r>
    </w:p>
    <w:p>
      <w:pPr>
        <w:pStyle w:val="Normal"/>
        <w:ind w:firstLine="720" w:start="720" w:end="0"/>
        <w:jc w:val="both"/>
        <w:rPr/>
      </w:pPr>
      <w:r>
        <w:rPr/>
        <w:t>(a)  $</w:t>
      </w:r>
      <w:r>
        <w:rPr>
          <w:u w:val="single"/>
        </w:rPr>
        <w:tab/>
        <w:tab/>
        <w:tab/>
      </w:r>
      <w:r>
        <w:rPr/>
        <w:t xml:space="preserve"> with respect to Party B; and</w:t>
      </w:r>
    </w:p>
    <w:p>
      <w:pPr>
        <w:pStyle w:val="Normal"/>
        <w:ind w:start="1440" w:end="0"/>
        <w:jc w:val="both"/>
        <w:rPr/>
      </w:pPr>
      <w:r>
        <w:rPr/>
      </w:r>
    </w:p>
    <w:p>
      <w:pPr>
        <w:pStyle w:val="Normal"/>
        <w:ind w:firstLine="720" w:start="720" w:end="0"/>
        <w:jc w:val="both"/>
        <w:rPr/>
      </w:pPr>
      <w:r>
        <w:rPr/>
        <w:t>(b)  $</w:t>
      </w:r>
      <w:r>
        <w:rPr>
          <w:u w:val="single"/>
        </w:rPr>
        <w:tab/>
        <w:tab/>
        <w:tab/>
      </w:r>
      <w:r>
        <w:rPr/>
        <w:t xml:space="preserve"> with respect to Party A;</w:t>
      </w:r>
    </w:p>
    <w:p>
      <w:pPr>
        <w:pStyle w:val="Normal"/>
        <w:jc w:val="both"/>
        <w:rPr/>
      </w:pPr>
      <w:r>
        <w:rPr/>
      </w:r>
    </w:p>
    <w:p>
      <w:pPr>
        <w:pStyle w:val="Normal"/>
        <w:jc w:val="both"/>
        <w:rPr/>
      </w:pPr>
      <w:r>
        <w:rPr/>
        <w:t>provided however, that upon the occurrence of an Event of Default or Material Adverse Change with respect to a Party the Collateral Threshold Amount for such Party shall be zero.</w:t>
      </w:r>
    </w:p>
    <w:p>
      <w:pPr>
        <w:pStyle w:val="Normal"/>
        <w:jc w:val="both"/>
        <w:rPr/>
      </w:pPr>
      <w:r>
        <w:rPr/>
      </w:r>
    </w:p>
    <w:p>
      <w:pPr>
        <w:pStyle w:val="Normal"/>
        <w:jc w:val="both"/>
        <w:rPr/>
      </w:pPr>
      <w:r>
        <w:rPr/>
        <w:tab/>
      </w:r>
      <w:r>
        <w:rPr>
          <w:b/>
          <w:i/>
        </w:rPr>
        <w:t>“Credit Eligible Support Document”</w:t>
      </w:r>
      <w:r>
        <w:rPr/>
        <w:t xml:space="preserve">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p>
    <w:p>
      <w:pPr>
        <w:pStyle w:val="Normal"/>
        <w:jc w:val="both"/>
        <w:rPr/>
      </w:pPr>
      <w:r>
        <w:rPr/>
      </w:r>
    </w:p>
    <w:p>
      <w:pPr>
        <w:pStyle w:val="Normal"/>
        <w:jc w:val="both"/>
        <w:rPr/>
      </w:pPr>
      <w:r>
        <w:rPr/>
        <w:tab/>
      </w:r>
      <w:r>
        <w:rPr>
          <w:b/>
          <w:i/>
        </w:rPr>
        <w:t>“Credit Eligible Support Provider”</w:t>
      </w:r>
      <w:r>
        <w:rPr/>
        <w:t xml:space="preserve"> with respect to a Party means the Guarantor with respect to the obligations of such Party, the issuer of any Letter of Credit on behalf of such party pursuant to this Credit Support Annex, or any other Person that executes a Credit Support Document on behalf of such Party.</w:t>
      </w:r>
    </w:p>
    <w:p>
      <w:pPr>
        <w:pStyle w:val="Normal"/>
        <w:jc w:val="both"/>
        <w:rPr/>
      </w:pPr>
      <w:r>
        <w:rPr/>
      </w:r>
    </w:p>
    <w:p>
      <w:pPr>
        <w:pStyle w:val="Normal"/>
        <w:jc w:val="both"/>
        <w:rPr>
          <w:b/>
          <w:i/>
          <w:i/>
        </w:rPr>
      </w:pPr>
      <w:r>
        <w:rPr/>
        <w:tab/>
      </w:r>
      <w:r>
        <w:rPr>
          <w:b/>
          <w:i/>
        </w:rPr>
        <w:t xml:space="preserve">“Delivery Amount” </w:t>
      </w:r>
      <w:r>
        <w:rPr/>
        <w:t xml:space="preserve">is defined in </w:t>
      </w:r>
      <w:r>
        <w:rPr>
          <w:u w:val="single"/>
        </w:rPr>
        <w:t>Paragraph 3</w:t>
      </w:r>
      <w:r>
        <w:rPr/>
        <w:t>.</w:t>
      </w:r>
    </w:p>
    <w:p>
      <w:pPr>
        <w:pStyle w:val="Normal"/>
        <w:jc w:val="both"/>
        <w:rPr>
          <w:b/>
          <w:i/>
          <w:i/>
        </w:rPr>
      </w:pPr>
      <w:r>
        <w:rPr>
          <w:b/>
          <w:i/>
        </w:rPr>
      </w:r>
    </w:p>
    <w:p>
      <w:pPr>
        <w:pStyle w:val="Normal"/>
        <w:jc w:val="both"/>
        <w:rPr/>
      </w:pPr>
      <w:r>
        <w:rPr/>
        <w:tab/>
      </w:r>
      <w:r>
        <w:rPr>
          <w:b/>
          <w:i/>
        </w:rPr>
        <w:t>“Eligible Collateral”</w:t>
      </w:r>
      <w:r>
        <w:rPr/>
        <w:t xml:space="preserve"> means </w:t>
      </w:r>
    </w:p>
    <w:p>
      <w:pPr>
        <w:pStyle w:val="Normal"/>
        <w:jc w:val="both"/>
        <w:rPr/>
      </w:pPr>
      <w:r>
        <w:rPr/>
      </w:r>
    </w:p>
    <w:p>
      <w:pPr>
        <w:pStyle w:val="Normal"/>
        <w:numPr>
          <w:ilvl w:val="0"/>
          <w:numId w:val="16"/>
        </w:numPr>
        <w:jc w:val="both"/>
        <w:rPr/>
      </w:pPr>
      <w:r>
        <w:rPr/>
        <w:t>immediately available United States dollars;</w:t>
      </w:r>
    </w:p>
    <w:p>
      <w:pPr>
        <w:pStyle w:val="Normal"/>
        <w:ind w:start="1440" w:end="0"/>
        <w:jc w:val="both"/>
        <w:rPr/>
      </w:pPr>
      <w:r>
        <w:rPr/>
      </w:r>
    </w:p>
    <w:p>
      <w:pPr>
        <w:pStyle w:val="Normal"/>
        <w:numPr>
          <w:ilvl w:val="0"/>
          <w:numId w:val="16"/>
        </w:numPr>
        <w:jc w:val="both"/>
        <w:rPr/>
      </w:pPr>
      <w:r>
        <w:rPr/>
        <w:t>Eligible Letters of Credit; and</w:t>
      </w:r>
    </w:p>
    <w:p>
      <w:pPr>
        <w:pStyle w:val="Normal"/>
        <w:jc w:val="both"/>
        <w:rPr/>
      </w:pPr>
      <w:r>
        <w:rPr/>
      </w:r>
    </w:p>
    <w:p>
      <w:pPr>
        <w:pStyle w:val="Normal"/>
        <w:numPr>
          <w:ilvl w:val="0"/>
          <w:numId w:val="16"/>
        </w:numPr>
        <w:jc w:val="both"/>
        <w:rPr/>
      </w:pPr>
      <w:r>
        <w:rPr/>
        <w:t>such other collateral as may be acceptable to Secured Party as evidenced by Secured Party’s written acknowledgment at the time of posting of such collateral.</w:t>
      </w:r>
    </w:p>
    <w:p>
      <w:pPr>
        <w:pStyle w:val="Normal"/>
        <w:jc w:val="both"/>
        <w:rPr/>
      </w:pPr>
      <w:r>
        <w:rPr/>
      </w:r>
    </w:p>
    <w:p>
      <w:pPr>
        <w:pStyle w:val="Normal"/>
        <w:ind w:firstLine="720" w:end="0"/>
        <w:jc w:val="both"/>
        <w:rPr/>
      </w:pPr>
      <w:r>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p>
    <w:p>
      <w:pPr>
        <w:pStyle w:val="Normal"/>
        <w:jc w:val="both"/>
        <w:rPr/>
      </w:pPr>
      <w:r>
        <w:rPr/>
      </w:r>
    </w:p>
    <w:p>
      <w:pPr>
        <w:pStyle w:val="Normal"/>
        <w:ind w:firstLine="720" w:end="0"/>
        <w:jc w:val="both"/>
        <w:rPr/>
      </w:pPr>
      <w:r>
        <w:rPr>
          <w:b/>
          <w:i/>
        </w:rPr>
        <w:t>“</w:t>
      </w:r>
      <w:r>
        <w:rPr>
          <w:b/>
          <w:i/>
        </w:rPr>
        <w:t>Eligible Letter of Credit”</w:t>
      </w:r>
      <w:r>
        <w:rPr/>
        <w:t xml:space="preserve">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p>
    <w:p>
      <w:pPr>
        <w:pStyle w:val="Normal"/>
        <w:jc w:val="both"/>
        <w:rPr/>
      </w:pPr>
      <w:r>
        <w:rPr/>
      </w:r>
    </w:p>
    <w:p>
      <w:pPr>
        <w:pStyle w:val="Normal"/>
        <w:jc w:val="both"/>
        <w:rPr/>
      </w:pPr>
      <w:r>
        <w:rPr/>
        <w:tab/>
      </w:r>
      <w:r>
        <w:rPr>
          <w:b/>
          <w:i/>
        </w:rPr>
        <w:t>“Guarantor”</w:t>
      </w:r>
      <w:r>
        <w:rPr/>
        <w:t xml:space="preserve"> means,</w:t>
      </w:r>
    </w:p>
    <w:p>
      <w:pPr>
        <w:pStyle w:val="Normal"/>
        <w:ind w:start="720" w:end="0"/>
        <w:jc w:val="both"/>
        <w:rPr>
          <w:b/>
          <w:i/>
          <w:i/>
        </w:rPr>
      </w:pPr>
      <w:r>
        <w:rPr>
          <w:b/>
          <w:i/>
        </w:rPr>
      </w:r>
    </w:p>
    <w:p>
      <w:pPr>
        <w:pStyle w:val="Normal"/>
        <w:ind w:start="1440" w:end="0"/>
        <w:jc w:val="both"/>
        <w:rPr/>
      </w:pPr>
      <w:r>
        <w:rPr/>
        <w:t xml:space="preserve">(a)  </w:t>
      </w:r>
      <w:r>
        <w:rPr>
          <w:u w:val="single"/>
        </w:rPr>
        <w:tab/>
        <w:tab/>
        <w:tab/>
        <w:tab/>
        <w:tab/>
      </w:r>
      <w:r>
        <w:rPr/>
        <w:t xml:space="preserve"> with respect to Party B; and</w:t>
      </w:r>
    </w:p>
    <w:p>
      <w:pPr>
        <w:pStyle w:val="Normal"/>
        <w:ind w:start="1440" w:end="0"/>
        <w:jc w:val="both"/>
        <w:rPr/>
      </w:pPr>
      <w:r>
        <w:rPr/>
      </w:r>
    </w:p>
    <w:p>
      <w:pPr>
        <w:pStyle w:val="Normal"/>
        <w:ind w:start="1440" w:end="0"/>
        <w:jc w:val="both"/>
        <w:rPr/>
      </w:pPr>
      <w:r>
        <w:rPr/>
        <w:t>(b) ___________________________ with respect to Party A.</w:t>
      </w:r>
    </w:p>
    <w:p>
      <w:pPr>
        <w:pStyle w:val="Normal"/>
        <w:jc w:val="both"/>
        <w:rPr/>
      </w:pPr>
      <w:r>
        <w:rPr/>
      </w:r>
    </w:p>
    <w:p>
      <w:pPr>
        <w:pStyle w:val="Normal"/>
        <w:jc w:val="both"/>
        <w:rPr/>
      </w:pPr>
      <w:r>
        <w:rPr/>
        <w:tab/>
      </w:r>
      <w:r>
        <w:rPr>
          <w:b/>
          <w:i/>
        </w:rPr>
        <w:t>“Guaranty”</w:t>
      </w:r>
      <w:r>
        <w:rPr/>
        <w:t xml:space="preserve"> means a guaranty in a form acceptable to the receiving Party.</w:t>
      </w:r>
    </w:p>
    <w:p>
      <w:pPr>
        <w:pStyle w:val="Normal"/>
        <w:jc w:val="both"/>
        <w:rPr/>
      </w:pPr>
      <w:r>
        <w:rPr/>
      </w:r>
    </w:p>
    <w:p>
      <w:pPr>
        <w:pStyle w:val="Normal"/>
        <w:ind w:firstLine="720" w:end="0"/>
        <w:jc w:val="both"/>
        <w:rPr/>
      </w:pPr>
      <w:r>
        <w:rPr>
          <w:b/>
          <w:i/>
        </w:rPr>
        <w:t>“</w:t>
      </w:r>
      <w:r>
        <w:rPr>
          <w:b/>
          <w:i/>
        </w:rPr>
        <w:t>Long Term Performance Amount”</w:t>
      </w:r>
      <w:r>
        <w:rPr/>
        <w:t xml:space="preserve"> with respect to a Party at any time means the Termination Payment, if any, that would be payable at such time by such Party under Article 15 of the Agreement if it were the Defaulting Party, calculated in accordance with Article 15 of such agreement.</w:t>
      </w:r>
    </w:p>
    <w:p>
      <w:pPr>
        <w:pStyle w:val="Normal"/>
        <w:jc w:val="both"/>
        <w:rPr/>
      </w:pPr>
      <w:r>
        <w:rPr/>
      </w:r>
    </w:p>
    <w:p>
      <w:pPr>
        <w:pStyle w:val="Normal"/>
        <w:ind w:start="720" w:end="0"/>
        <w:jc w:val="both"/>
        <w:rPr/>
      </w:pPr>
      <w:r>
        <w:rPr>
          <w:b/>
          <w:i/>
        </w:rPr>
        <w:t>“</w:t>
      </w:r>
      <w:r>
        <w:rPr>
          <w:b/>
          <w:i/>
        </w:rPr>
        <w:t>Material Adverse Change”</w:t>
      </w:r>
      <w:r>
        <w:rPr/>
        <w:t xml:space="preserve"> means, </w:t>
      </w:r>
    </w:p>
    <w:p>
      <w:pPr>
        <w:pStyle w:val="Normal"/>
        <w:ind w:start="720" w:end="0"/>
        <w:jc w:val="both"/>
        <w:rPr>
          <w:b/>
          <w:i/>
          <w:i/>
        </w:rPr>
      </w:pPr>
      <w:r>
        <w:rPr>
          <w:b/>
          <w:i/>
        </w:rPr>
      </w:r>
    </w:p>
    <w:p>
      <w:pPr>
        <w:pStyle w:val="Normal"/>
        <w:ind w:firstLine="720" w:start="720" w:end="0"/>
        <w:jc w:val="both"/>
        <w:rPr/>
      </w:pPr>
      <w:r>
        <w:rPr/>
        <w:t>(a)  with respect to Party A, (check as applicable)</w:t>
      </w:r>
    </w:p>
    <w:p>
      <w:pPr>
        <w:pStyle w:val="Normal"/>
        <w:ind w:firstLine="720" w:start="720" w:end="0"/>
        <w:jc w:val="both"/>
        <w:rPr/>
      </w:pPr>
      <w:r>
        <w:rPr/>
      </w:r>
    </w:p>
    <w:p>
      <w:pPr>
        <w:pStyle w:val="Normal"/>
        <w:ind w:hanging="720" w:start="2160" w:end="0"/>
        <w:jc w:val="both"/>
        <w:rPr/>
      </w:pPr>
      <w:r>
        <w:rPr/>
        <w:t>[____]</w:t>
        <w:tab/>
        <w:t>that Party A (or Party A’s Guarantor if Party A is required to provide a Guaranty) shall have senior unsecured long-term debt unsupported by third party credit enhancement that is related by S&amp;P below “</w:t>
      </w:r>
      <w:r>
        <w:rPr>
          <w:u w:val="single"/>
        </w:rPr>
        <w:t>BBB-</w:t>
      </w:r>
      <w:r>
        <w:rPr/>
        <w:t>“ or its equivalent or by Moody’s below “</w:t>
      </w:r>
      <w:r>
        <w:rPr>
          <w:u w:val="single"/>
        </w:rPr>
        <w:t>Baa3</w:t>
      </w:r>
      <w:r>
        <w:rPr/>
        <w:t xml:space="preserve">” or its equivalent; </w:t>
      </w:r>
      <w:r>
        <w:rPr>
          <w:u w:val="single"/>
        </w:rPr>
        <w:t>provided, however</w:t>
      </w:r>
      <w:r>
        <w:rPr/>
        <w:t>, that if Party A (or its Guarantor) has no such unsecured long-term senior debt that has been rated by either S&amp;P or Moody’s or both, then the commercial paper rating of Party A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ind w:start="720" w:end="0"/>
        <w:jc w:val="both"/>
        <w:rPr/>
      </w:pPr>
      <w:r>
        <w:rPr/>
        <w:tab/>
        <w:t>(b)  with respect to Party B, (check as applicable).</w:t>
      </w:r>
    </w:p>
    <w:p>
      <w:pPr>
        <w:pStyle w:val="Normal"/>
        <w:jc w:val="both"/>
        <w:rPr/>
      </w:pPr>
      <w:r>
        <w:rPr/>
      </w:r>
    </w:p>
    <w:p>
      <w:pPr>
        <w:pStyle w:val="Normal"/>
        <w:ind w:hanging="720" w:start="2160" w:end="0"/>
        <w:jc w:val="both"/>
        <w:rPr/>
      </w:pPr>
      <w:r>
        <w:rPr/>
        <w:t>[____]</w:t>
        <w:tab/>
        <w:t>that Party B (or Party B’s Guarantor if Party B is required to provide a Guaranty) shall have senior unsecured long-term debt unsupported by third party credit enhancement that is rated by S&amp;P below “</w:t>
      </w:r>
      <w:r>
        <w:rPr>
          <w:u w:val="single"/>
        </w:rPr>
        <w:t>BBB</w:t>
        <w:noBreakHyphen/>
      </w:r>
      <w:r>
        <w:rPr/>
        <w:t>“ or its equivalent or by Moody’s below “</w:t>
      </w:r>
      <w:r>
        <w:rPr>
          <w:u w:val="single"/>
        </w:rPr>
        <w:t>Baa3</w:t>
      </w:r>
      <w:r>
        <w:rPr/>
        <w:t xml:space="preserve">” or its equivalent; </w:t>
      </w:r>
      <w:r>
        <w:rPr>
          <w:u w:val="single"/>
        </w:rPr>
        <w:t>provided, however</w:t>
      </w:r>
      <w:r>
        <w:rPr>
          <w:i/>
        </w:rPr>
        <w:t>,</w:t>
      </w:r>
      <w:r>
        <w:rPr/>
        <w:t xml:space="preserve"> that if Party B (or Party B’s Guarantor) has no such unsecured long-term senior debt that has been rated by either S&amp;P or Moody’s or both, then the commercial paper rating of Party B (or its Guarantor) shall be rated below “</w:t>
      </w:r>
      <w:r>
        <w:rPr>
          <w:u w:val="single"/>
        </w:rPr>
        <w:t>A-2</w:t>
      </w:r>
      <w:r>
        <w:rPr/>
        <w:t>” or its equivalent by S&amp;P and below “</w:t>
      </w:r>
      <w:r>
        <w:rPr>
          <w:u w:val="single"/>
        </w:rPr>
        <w:t>prime 2</w:t>
      </w:r>
      <w:r>
        <w:rPr/>
        <w:t>” or its equivalent by Moody’s.</w:t>
      </w:r>
    </w:p>
    <w:p>
      <w:pPr>
        <w:pStyle w:val="Normal"/>
        <w:jc w:val="both"/>
        <w:rPr/>
      </w:pPr>
      <w:r>
        <w:rPr/>
      </w:r>
    </w:p>
    <w:p>
      <w:pPr>
        <w:pStyle w:val="Normal"/>
        <w:ind w:hanging="720" w:start="2160" w:end="0"/>
        <w:jc w:val="both"/>
        <w:rPr/>
      </w:pPr>
      <w:r>
        <w:rPr/>
        <w:t>[____]</w:t>
        <w:tab/>
        <w:t xml:space="preserve">(other) </w:t>
      </w:r>
      <w:r>
        <w:rPr>
          <w:u w:val="single"/>
        </w:rPr>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tab/>
      </w:r>
      <w:r>
        <w:rPr>
          <w:b/>
          <w:i/>
        </w:rPr>
        <w:t>“Minimum Transfer Amount”</w:t>
      </w:r>
      <w:r>
        <w:rPr/>
        <w:t xml:space="preserve"> means $</w:t>
      </w:r>
      <w:r>
        <w:rPr>
          <w:u w:val="single"/>
        </w:rPr>
        <w:tab/>
        <w:tab/>
        <w:tab/>
        <w:tab/>
      </w:r>
      <w:r>
        <w:rPr/>
        <w:t>.</w:t>
      </w:r>
    </w:p>
    <w:p>
      <w:pPr>
        <w:pStyle w:val="Normal"/>
        <w:jc w:val="both"/>
        <w:rPr/>
      </w:pPr>
      <w:r>
        <w:rPr/>
      </w:r>
    </w:p>
    <w:p>
      <w:pPr>
        <w:pStyle w:val="Normal"/>
        <w:jc w:val="both"/>
        <w:rPr/>
      </w:pPr>
      <w:r>
        <w:rPr/>
        <w:tab/>
      </w:r>
      <w:r>
        <w:rPr>
          <w:b/>
          <w:i/>
        </w:rPr>
        <w:t>“Near Term Payable Amount”</w:t>
      </w:r>
      <w:r>
        <w:rPr/>
        <w:t xml:space="preserve"> with respect to a Party at any time means the sum of (i) any amounts then due and not yet paid by such Party in respect of deliveries of Wholesale Electricity to such Party pursuant to this Agreement prior to the current calendar month, (ii) the amount payable by such Party in respect of deliveries of Wholesale Electricity to such Party pursuant to this Agreement during the current calendar month (assuming full performance by the Seller under each Transaction for which deliveries are scheduled in the current calendar month) and (iii) from and after the ______ day of each calendar month, the amount payable by such Party in respect of deliveries of Wholesale Electricity to such Party pursuant to this Agreement during the next calendar month (assuming full performance by the Seller under each Transaction for which deliveries are scheduled during such calendar month).  For purposes of clause (iii) of the preceding sentence in cases where the purchase price from time to time is determined by reference to an index or spot market price, the aggregate purchase price to be paid by the Buyer shall be calculated as if such price were the price for the relevant period on the date of such calculation, if available, or the current price on the date of calculation if otherwise.</w:t>
      </w:r>
    </w:p>
    <w:p>
      <w:pPr>
        <w:pStyle w:val="Normal"/>
        <w:jc w:val="both"/>
        <w:rPr/>
      </w:pPr>
      <w:r>
        <w:rPr/>
      </w:r>
    </w:p>
    <w:p>
      <w:pPr>
        <w:pStyle w:val="Normal"/>
        <w:jc w:val="both"/>
        <w:rPr/>
      </w:pPr>
      <w:r>
        <w:rPr/>
        <w:tab/>
      </w:r>
      <w:r>
        <w:rPr>
          <w:b/>
          <w:i/>
        </w:rPr>
        <w:t>“Net Near Term Payable Amount”</w:t>
      </w:r>
      <w:r>
        <w:rPr/>
        <w:t xml:space="preserve"> with respect to a Party at any time means the greater of (i) zero and (ii) the amount equal to (a) the Near Term Payable Amount of such Party at such time minus (b) the Near Term Payable Amount of the other Party at such time.</w:t>
      </w:r>
    </w:p>
    <w:p>
      <w:pPr>
        <w:pStyle w:val="Normal"/>
        <w:jc w:val="both"/>
        <w:rPr/>
      </w:pPr>
      <w:r>
        <w:rPr/>
      </w:r>
    </w:p>
    <w:p>
      <w:pPr>
        <w:pStyle w:val="Normal"/>
        <w:jc w:val="both"/>
        <w:rPr/>
      </w:pPr>
      <w:r>
        <w:rPr/>
        <w:tab/>
      </w:r>
      <w:r>
        <w:rPr>
          <w:b/>
          <w:i/>
        </w:rPr>
        <w:t>“Obligations”</w:t>
      </w:r>
      <w:r>
        <w:rPr/>
        <w:t xml:space="preserve"> of a Party means all present and future obligations of such Party under the Agreement.</w:t>
      </w:r>
    </w:p>
    <w:p>
      <w:pPr>
        <w:pStyle w:val="Normal"/>
        <w:jc w:val="both"/>
        <w:rPr>
          <w:u w:val="single"/>
        </w:rPr>
      </w:pPr>
      <w:r>
        <w:rPr/>
        <w:tab/>
      </w:r>
      <w:r>
        <w:rPr>
          <w:b/>
          <w:i/>
        </w:rPr>
        <w:t xml:space="preserve">“Posted Collateral” </w:t>
      </w:r>
      <w:r>
        <w:rPr/>
        <w:t xml:space="preserve">is defined in </w:t>
      </w:r>
      <w:r>
        <w:rPr>
          <w:u w:val="single"/>
        </w:rPr>
        <w:t>Paragraph 4</w:t>
      </w:r>
      <w:r>
        <w:rPr/>
        <w:t>.</w:t>
      </w:r>
    </w:p>
    <w:p>
      <w:pPr>
        <w:pStyle w:val="Normal"/>
        <w:jc w:val="both"/>
        <w:rPr>
          <w:u w:val="single"/>
        </w:rPr>
      </w:pPr>
      <w:r>
        <w:rPr>
          <w:u w:val="single"/>
        </w:rPr>
      </w:r>
    </w:p>
    <w:p>
      <w:pPr>
        <w:pStyle w:val="Normal"/>
        <w:jc w:val="both"/>
        <w:rPr>
          <w:b/>
          <w:i/>
          <w:i/>
        </w:rPr>
      </w:pPr>
      <w:r>
        <w:rPr/>
        <w:tab/>
      </w:r>
      <w:r>
        <w:rPr>
          <w:b/>
          <w:i/>
        </w:rPr>
        <w:t xml:space="preserve">“Posting Party” </w:t>
      </w:r>
      <w:r>
        <w:rPr/>
        <w:t xml:space="preserve">is defined in </w:t>
      </w:r>
      <w:r>
        <w:rPr>
          <w:u w:val="single"/>
        </w:rPr>
        <w:t>Paragraph 3</w:t>
      </w:r>
      <w:r>
        <w:rPr/>
        <w:t xml:space="preserve">. It is possible for either Party to be a Posting Party at some times and a Secured Party at other times and also possible for a Party to be both a Posting party and a Secured Party at the same time.  “Posting Party” shall mean the Party required to deliver Eligible Collateral and “Secured Party” shall mean the Party entitled to receive Eligible Collateral pursuant to </w:t>
      </w:r>
      <w:r>
        <w:rPr>
          <w:u w:val="single"/>
        </w:rPr>
        <w:t>Paragraph 3</w:t>
      </w:r>
      <w:r>
        <w:rPr/>
        <w:t xml:space="preserve"> as the context requires.  </w:t>
      </w:r>
    </w:p>
    <w:p>
      <w:pPr>
        <w:pStyle w:val="Normal"/>
        <w:jc w:val="both"/>
        <w:rPr>
          <w:b/>
          <w:i/>
          <w:i/>
        </w:rPr>
      </w:pPr>
      <w:r>
        <w:rPr>
          <w:b/>
          <w:i/>
        </w:rPr>
      </w:r>
    </w:p>
    <w:p>
      <w:pPr>
        <w:pStyle w:val="Normal"/>
        <w:jc w:val="both"/>
        <w:rPr>
          <w:u w:val="single"/>
        </w:rPr>
      </w:pPr>
      <w:r>
        <w:rPr/>
        <w:tab/>
      </w:r>
      <w:r>
        <w:rPr>
          <w:b/>
          <w:i/>
        </w:rPr>
        <w:t xml:space="preserve">“Return Amount” </w:t>
      </w:r>
      <w:r>
        <w:rPr/>
        <w:t xml:space="preserve">is defined in </w:t>
      </w:r>
      <w:r>
        <w:rPr>
          <w:u w:val="single"/>
        </w:rPr>
        <w:t>Paragraph 3</w:t>
      </w:r>
      <w:r>
        <w:rPr/>
        <w:t>.</w:t>
      </w:r>
    </w:p>
    <w:p>
      <w:pPr>
        <w:pStyle w:val="Normal"/>
        <w:jc w:val="both"/>
        <w:rPr>
          <w:u w:val="single"/>
        </w:rPr>
      </w:pPr>
      <w:r>
        <w:rPr>
          <w:u w:val="single"/>
        </w:rPr>
      </w:r>
    </w:p>
    <w:p>
      <w:pPr>
        <w:pStyle w:val="Normal"/>
        <w:jc w:val="both"/>
        <w:rPr/>
      </w:pPr>
      <w:r>
        <w:rPr/>
        <w:tab/>
      </w:r>
      <w:r>
        <w:rPr>
          <w:b/>
          <w:i/>
        </w:rPr>
        <w:t xml:space="preserve">“Secured Party” </w:t>
      </w:r>
      <w:r>
        <w:rPr/>
        <w:t xml:space="preserve">is defined in </w:t>
      </w:r>
      <w:r>
        <w:rPr>
          <w:u w:val="single"/>
        </w:rPr>
        <w:t>Paragraph 3</w:t>
      </w:r>
      <w:r>
        <w:rPr/>
        <w:t>.</w:t>
      </w:r>
    </w:p>
    <w:p>
      <w:pPr>
        <w:pStyle w:val="Normal"/>
        <w:jc w:val="both"/>
        <w:rPr/>
      </w:pPr>
      <w:r>
        <w:rPr/>
      </w:r>
    </w:p>
    <w:p>
      <w:pPr>
        <w:pStyle w:val="Normal"/>
        <w:jc w:val="both"/>
        <w:rPr/>
      </w:pPr>
      <w:r>
        <w:rPr>
          <w:b/>
        </w:rPr>
        <w:t>Paragraph 2.</w:t>
        <w:tab/>
      </w:r>
      <w:r>
        <w:rPr>
          <w:b/>
          <w:u w:val="single"/>
        </w:rPr>
        <w:t>Guaranty</w:t>
      </w:r>
      <w:r>
        <w:rPr>
          <w:b/>
        </w:rPr>
        <w:t>.</w:t>
      </w:r>
      <w:r>
        <w:rPr/>
        <w:t xml:space="preserve">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p>
    <w:p>
      <w:pPr>
        <w:pStyle w:val="Normal"/>
        <w:jc w:val="both"/>
        <w:rPr/>
      </w:pPr>
      <w:r>
        <w:rPr/>
      </w:r>
    </w:p>
    <w:p>
      <w:pPr>
        <w:pStyle w:val="Normal"/>
        <w:jc w:val="both"/>
        <w:rPr/>
      </w:pPr>
      <w:r>
        <w:rPr>
          <w:b/>
        </w:rPr>
        <w:t>Paragraph 3.</w:t>
      </w:r>
      <w:r>
        <w:rPr/>
        <w:tab/>
      </w:r>
      <w:r>
        <w:rPr>
          <w:b/>
          <w:u w:val="single"/>
        </w:rPr>
        <w:t>Collateral Requirement</w:t>
      </w:r>
      <w:r>
        <w:rPr/>
        <w:t xml:space="preserve">.  </w:t>
      </w:r>
    </w:p>
    <w:p>
      <w:pPr>
        <w:pStyle w:val="Normal"/>
        <w:jc w:val="both"/>
        <w:rPr/>
      </w:pPr>
      <w:r>
        <w:rPr/>
      </w:r>
    </w:p>
    <w:p>
      <w:pPr>
        <w:pStyle w:val="Normal"/>
        <w:jc w:val="both"/>
        <w:rPr/>
      </w:pPr>
      <w:r>
        <w:rPr/>
        <w:t>[____]</w:t>
        <w:tab/>
        <w:t xml:space="preserve">If at any time, either the Net Near Term Payable Amount or the Aggregate Exposure Amount of a Party (the </w:t>
      </w:r>
      <w:r>
        <w:rPr>
          <w:b/>
          <w:i/>
        </w:rPr>
        <w:t>“Posting Party”</w:t>
      </w:r>
      <w:r>
        <w:rPr/>
        <w:t xml:space="preserve">) is greater than the Collateral Threshold Amount of the Posting Party, then, within two (2) Business Days of written request by the other Party (the </w:t>
      </w:r>
      <w:r>
        <w:rPr>
          <w:b/>
          <w:i/>
        </w:rPr>
        <w:t>“Secured Party”</w:t>
      </w:r>
      <w:r>
        <w:rPr/>
        <w:t xml:space="preserve">) the Posting Party shall deliver to the Secured Party Eligible Collateral with an aggregate value, subject to </w:t>
      </w:r>
      <w:r>
        <w:rPr>
          <w:u w:val="single"/>
        </w:rPr>
        <w:t>Paragraph 5</w:t>
      </w:r>
      <w:r>
        <w:rPr/>
        <w:t xml:space="preserve"> (the </w:t>
      </w:r>
      <w:r>
        <w:rPr>
          <w:b/>
          <w:i/>
        </w:rPr>
        <w:t>“Delivery Amount”</w:t>
      </w:r>
      <w:r>
        <w:rPr/>
        <w:t xml:space="preserve">), such that the Collateral Threshold Amount of the Posting Party is greater than or equal to (i) the sum of the Net Near Term Payable Amount and the Aggregate Exposure Amount of the Posting Party at such time minus (ii) the aggregate value of such Eligible Collateral.  If at any time, the aggregate value of Eligible Collateral held by the Secured Party exceeds the sum of the Net Near Term Payable Amount and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w:t>
      </w:r>
      <w:r>
        <w:rPr>
          <w:u w:val="single"/>
        </w:rPr>
        <w:t>Paragraph 5</w:t>
      </w:r>
      <w:r>
        <w:rPr/>
        <w:t xml:space="preserve"> (the </w:t>
      </w:r>
      <w:r>
        <w:rPr>
          <w:b/>
          <w:i/>
        </w:rPr>
        <w:t>“Return Amount”</w:t>
      </w:r>
      <w:r>
        <w:rPr/>
        <w:t>), such that such excess is eliminated.   The Secured Party shall pay interest on cash collateral during the time such cash is held at the Overnight Federal Fund rate as published in the Wall Street Journal.</w:t>
      </w:r>
    </w:p>
    <w:p>
      <w:pPr>
        <w:pStyle w:val="Normal"/>
        <w:jc w:val="both"/>
        <w:rPr/>
      </w:pPr>
      <w:r>
        <w:rPr/>
      </w:r>
    </w:p>
    <w:p>
      <w:pPr>
        <w:pStyle w:val="Normal"/>
        <w:jc w:val="both"/>
        <w:rPr/>
      </w:pPr>
      <w:r>
        <w:rPr/>
        <w:t>[____]</w:t>
        <w:tab/>
        <w: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t>
      </w:r>
    </w:p>
    <w:p>
      <w:pPr>
        <w:pStyle w:val="Normal"/>
        <w:jc w:val="both"/>
        <w:rPr/>
      </w:pPr>
      <w:r>
        <w:rPr>
          <w:b/>
        </w:rPr>
        <w:t>Paragraph 4.</w:t>
      </w:r>
      <w:r>
        <w:rPr/>
        <w:tab/>
      </w:r>
      <w:r>
        <w:rPr>
          <w:b/>
          <w:u w:val="single"/>
        </w:rPr>
        <w:t>Security Interest</w:t>
      </w:r>
      <w:r>
        <w:rPr>
          <w:b/>
        </w:rPr>
        <w:t>.</w:t>
      </w:r>
      <w:r>
        <w:rPr/>
        <w:t xml:space="preserve">  Each Party, as Posting Party, hereby grants the other Party, as Secured Party, a first priority, continuing security interest in, lien on and right of set-off against all items delivered to or received by such Secured Party pursuant to </w:t>
      </w:r>
      <w:r>
        <w:rPr>
          <w:u w:val="single"/>
        </w:rPr>
        <w:t>Paragraph 3</w:t>
      </w:r>
      <w:r>
        <w:rPr/>
        <w:t xml:space="preserve">, including all distributions and proceeds received by Secured Party in respect thereof (collectively, the </w:t>
      </w:r>
      <w:r>
        <w:rPr>
          <w:b/>
        </w:rPr>
        <w:t>“Posted Collateral”</w:t>
      </w:r>
      <w:r>
        <w:rPr/>
        <w:t xml:space="preserve">).  Upon the return of any Posted Collateral to the Posting Party pursuant to </w:t>
      </w:r>
      <w:r>
        <w:rPr>
          <w:u w:val="single"/>
        </w:rPr>
        <w:t>Paragraph 3</w:t>
      </w:r>
      <w:r>
        <w:rPr/>
        <w:t>, the security interest in, lien on and right of set-off against such Posted Collateral in favor of Secured Party shall be released and terminate with out any further action by any Party.</w:t>
      </w:r>
    </w:p>
    <w:p>
      <w:pPr>
        <w:pStyle w:val="Normal"/>
        <w:jc w:val="both"/>
        <w:rPr/>
      </w:pPr>
      <w:r>
        <w:rPr/>
      </w:r>
    </w:p>
    <w:p>
      <w:pPr>
        <w:pStyle w:val="Normal"/>
        <w:jc w:val="both"/>
        <w:rPr/>
      </w:pPr>
      <w:r>
        <w:rPr>
          <w:b/>
        </w:rPr>
        <w:t>Paragraph 5.</w:t>
      </w:r>
      <w:r>
        <w:rPr/>
        <w:tab/>
      </w:r>
      <w:r>
        <w:rPr>
          <w:b/>
          <w:u w:val="single"/>
        </w:rPr>
        <w:t>Rounding Convention</w:t>
      </w:r>
      <w:r>
        <w:rPr/>
        <w:t xml:space="preserve">.  The amount of Eligible Collateral that is required to be delivered or maintained pursuant to </w:t>
      </w:r>
      <w:r>
        <w:rPr>
          <w:u w:val="single"/>
        </w:rPr>
        <w:t>Paragraph 3</w:t>
      </w:r>
      <w:r>
        <w:rPr/>
        <w:t xml:space="preserve"> of this Credit Support Annex shall be rounded upwards to the next integer multiple of the Minimum Transfer Amount and the amount of Eligible Collateral that is required to be returned pursuant to ______________ shall be rounded downwards to the next $_________________.</w:t>
      </w:r>
    </w:p>
    <w:p>
      <w:pPr>
        <w:pStyle w:val="Normal"/>
        <w:jc w:val="both"/>
        <w:rPr/>
      </w:pPr>
      <w:r>
        <w:rPr/>
      </w:r>
    </w:p>
    <w:p>
      <w:pPr>
        <w:pStyle w:val="Normal"/>
        <w:jc w:val="both"/>
        <w:rPr/>
      </w:pPr>
      <w:r>
        <w:rPr>
          <w:b/>
        </w:rPr>
        <w:t>Paragraph 6.</w:t>
        <w:tab/>
      </w:r>
      <w:r>
        <w:rPr>
          <w:b/>
          <w:u w:val="single"/>
        </w:rPr>
        <w:t>Care of Posted Collateral</w:t>
      </w:r>
      <w:r>
        <w:rPr>
          <w:b/>
        </w:rPr>
        <w:t xml:space="preserve">.  </w:t>
      </w:r>
      <w:r>
        <w:rPr/>
        <w:t xml:space="preserve">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p>
    <w:p>
      <w:pPr>
        <w:pStyle w:val="Normal"/>
        <w:jc w:val="both"/>
        <w:rPr/>
      </w:pPr>
      <w:r>
        <w:rPr/>
      </w:r>
    </w:p>
    <w:p>
      <w:pPr>
        <w:pStyle w:val="Normal"/>
        <w:jc w:val="both"/>
        <w:rPr/>
      </w:pPr>
      <w:r>
        <w:rPr>
          <w:b/>
        </w:rPr>
        <w:t xml:space="preserve">Paragraph 7.  </w:t>
      </w:r>
      <w:r>
        <w:rPr>
          <w:b/>
          <w:u w:val="single"/>
        </w:rPr>
        <w:t>Secured Party’s Rights and Remedies</w:t>
      </w:r>
      <w:r>
        <w:rPr>
          <w:b/>
        </w:rPr>
        <w:t>.</w:t>
      </w:r>
      <w:r>
        <w:rPr/>
        <w:t xml:space="preserve">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p>
    <w:p>
      <w:pPr>
        <w:pStyle w:val="Normal"/>
        <w:jc w:val="both"/>
        <w:rPr/>
      </w:pPr>
      <w:r>
        <w:rPr/>
      </w:r>
    </w:p>
    <w:p>
      <w:pPr>
        <w:pStyle w:val="Normal"/>
        <w:jc w:val="both"/>
        <w:rPr/>
      </w:pPr>
      <w:r>
        <w:rPr>
          <w:b/>
        </w:rPr>
        <w:t>Paragraph 8.</w:t>
        <w:tab/>
      </w:r>
      <w:r>
        <w:rPr>
          <w:b/>
          <w:u w:val="single"/>
        </w:rPr>
        <w:t>Representations</w:t>
      </w:r>
      <w:r>
        <w:rPr>
          <w:b/>
        </w:rPr>
        <w:t xml:space="preserve">.  </w:t>
      </w:r>
      <w:r>
        <w:rPr/>
        <w:t xml:space="preserve">Each Party represents to the other Party (which representations will be deemed to be repeated as of each date on which it, as the Posting Party, transfers Eligible Collateral) that:  </w:t>
      </w:r>
    </w:p>
    <w:p>
      <w:pPr>
        <w:pStyle w:val="Normal"/>
        <w:jc w:val="both"/>
        <w:rPr/>
      </w:pPr>
      <w:r>
        <w:rPr/>
      </w:r>
    </w:p>
    <w:p>
      <w:pPr>
        <w:pStyle w:val="Normal"/>
        <w:numPr>
          <w:ilvl w:val="0"/>
          <w:numId w:val="10"/>
        </w:numPr>
        <w:spacing w:before="0" w:after="240"/>
        <w:ind w:firstLine="720" w:start="0" w:end="0"/>
        <w:jc w:val="both"/>
        <w:rPr/>
      </w:pPr>
      <w:r>
        <w:rPr/>
        <w:t>it has the power to grant a security interest in and lien on the Eligible Collateral it transfers as the Posting Party and has taken all necessary actions to authorize the granting of that security interest and lien;</w:t>
      </w:r>
    </w:p>
    <w:p>
      <w:pPr>
        <w:pStyle w:val="Normal"/>
        <w:numPr>
          <w:ilvl w:val="0"/>
          <w:numId w:val="10"/>
        </w:numPr>
        <w:spacing w:before="0" w:after="240"/>
        <w:jc w:val="both"/>
        <w:rPr/>
      </w:pPr>
      <w:r>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p>
    <w:p>
      <w:pPr>
        <w:pStyle w:val="Normal"/>
        <w:numPr>
          <w:ilvl w:val="0"/>
          <w:numId w:val="10"/>
        </w:numPr>
        <w:spacing w:before="0" w:after="240"/>
        <w:jc w:val="both"/>
        <w:rPr/>
      </w:pPr>
      <w:r>
        <w:rPr/>
        <w:t>upon the transfer of any Eligible Collateral to the Secured Party under the terms of this Credit Support Annex, the Secured party will have a valid and first priority security interest therein; and</w:t>
      </w:r>
    </w:p>
    <w:p>
      <w:pPr>
        <w:pStyle w:val="Normal"/>
        <w:numPr>
          <w:ilvl w:val="0"/>
          <w:numId w:val="10"/>
        </w:numPr>
        <w:spacing w:before="0" w:after="240"/>
        <w:jc w:val="both"/>
        <w:rPr/>
      </w:pPr>
      <w:r>
        <w:rPr/>
        <w:t xml:space="preserve">the performance by it or its obligations under this Credit Support Annex will not result in the creation of any security interest, lien or other encumbrance on any Posted Collateral other than the security interest and lien created hereunder.  </w:t>
      </w:r>
    </w:p>
    <w:p>
      <w:pPr>
        <w:pStyle w:val="Normal"/>
        <w:spacing w:before="0" w:after="240"/>
        <w:jc w:val="both"/>
        <w:rPr/>
      </w:pPr>
      <w:r>
        <w:rPr>
          <w:b/>
        </w:rPr>
        <w:t>Paragraph 9.</w:t>
        <w:tab/>
      </w:r>
      <w:r>
        <w:rPr>
          <w:b/>
          <w:u w:val="single"/>
        </w:rPr>
        <w:t>Expenses</w:t>
      </w:r>
      <w:r>
        <w:rPr>
          <w:b/>
        </w:rPr>
        <w:t xml:space="preserve">.  </w:t>
      </w:r>
      <w:r>
        <w:rPr/>
        <w:t>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p>
    <w:p>
      <w:pPr>
        <w:pStyle w:val="Normal"/>
        <w:spacing w:before="0" w:after="240"/>
        <w:jc w:val="both"/>
        <w:rPr/>
      </w:pPr>
      <w:r>
        <w:rPr>
          <w:b/>
        </w:rPr>
        <w:t xml:space="preserve">Paragraph 10.  </w:t>
      </w:r>
      <w:r>
        <w:rPr>
          <w:b/>
          <w:u w:val="single"/>
        </w:rPr>
        <w:t>Other Obligations</w:t>
      </w:r>
      <w:r>
        <w:rPr>
          <w:b/>
        </w:rPr>
        <w:t xml:space="preserve">. </w:t>
      </w:r>
      <w:r>
        <w:rPr/>
        <w:t xml:space="preserve">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r>
        <w:br w:type="page"/>
      </w:r>
    </w:p>
    <w:p>
      <w:pPr>
        <w:pStyle w:val="Normal"/>
        <w:rPr/>
      </w:pPr>
      <w:r>
        <w:rPr/>
        <w:t xml:space="preserve"> </w:t>
      </w:r>
    </w:p>
    <w:p>
      <w:pPr>
        <w:pStyle w:val="Subheading1"/>
        <w:rPr/>
      </w:pPr>
      <w:bookmarkStart w:id="39" w:name="__RefHeading___Toc453144143"/>
      <w:bookmarkEnd w:id="39"/>
      <w:r>
        <w:rPr/>
        <w:t>EXHIBIT D - ERCOT ENERGY TRANSACTION CONFIRMATION</w:t>
      </w:r>
    </w:p>
    <w:p>
      <w:pPr>
        <w:pStyle w:val="Normal"/>
        <w:jc w:val="center"/>
        <w:rPr>
          <w:sz w:val="18"/>
        </w:rPr>
      </w:pPr>
      <w:r>
        <w:rPr>
          <w:b/>
          <w:sz w:val="18"/>
        </w:rPr>
        <w:t>(In accordance with the ERCOT Wholesale Electricity Enabling Agreement)</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tabs>
          <w:tab w:val="left" w:pos="1440" w:leader="none"/>
          <w:tab w:val="left" w:pos="5580" w:leader="none"/>
        </w:tabs>
        <w:rPr>
          <w:rFonts w:ascii="Arial" w:hAnsi="Arial" w:cs="Arial"/>
          <w:sz w:val="16"/>
        </w:rPr>
      </w:pPr>
      <w:r>
        <w:rPr>
          <w:rFonts w:cs="Arial" w:ascii="Arial" w:hAnsi="Arial"/>
          <w:sz w:val="16"/>
        </w:rPr>
        <w:t>Trans Mode Date:</w:t>
        <w:tab/>
      </w:r>
      <w:r>
        <w:rPr>
          <w:rFonts w:cs="Arial" w:ascii="Arial" w:hAnsi="Arial"/>
          <w:sz w:val="16"/>
          <w:u w:val="single"/>
        </w:rPr>
        <w:t>                                                                           </w:t>
      </w:r>
      <w:r>
        <w:rPr>
          <w:rFonts w:cs="Arial" w:ascii="Arial" w:hAnsi="Arial"/>
          <w:sz w:val="16"/>
        </w:rPr>
        <w:t xml:space="preserve">         ERCOT Trans #</w:t>
        <w:tab/>
      </w:r>
      <w:r>
        <w:rPr>
          <w:rFonts w:cs="Arial" w:ascii="Arial" w:hAnsi="Arial"/>
          <w:sz w:val="16"/>
          <w:u w:val="single"/>
        </w:rPr>
        <w:t>                                                              </w:t>
      </w:r>
    </w:p>
    <w:p>
      <w:pPr>
        <w:pStyle w:val="Normal"/>
        <w:tabs>
          <w:tab w:val="left" w:pos="144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Seller</w:t>
        <w:tab/>
      </w:r>
      <w:r>
        <w:rPr>
          <w:rFonts w:cs="Arial" w:ascii="Arial" w:hAnsi="Arial"/>
          <w:sz w:val="16"/>
          <w:u w:val="single"/>
        </w:rPr>
        <w:t xml:space="preserve">                                                  </w:t>
        <w:tab/>
        <w:t> </w:t>
      </w:r>
      <w:r>
        <w:rPr>
          <w:rFonts w:cs="Arial" w:ascii="Arial" w:hAnsi="Arial"/>
          <w:sz w:val="16"/>
        </w:rPr>
        <w:tab/>
        <w:t xml:space="preserve">Buyer  </w:t>
      </w:r>
      <w:r>
        <w:rPr>
          <w:rFonts w:cs="Arial" w:ascii="Arial" w:hAnsi="Arial"/>
          <w:sz w:val="16"/>
          <w:u w:val="single"/>
        </w:rPr>
        <w:t>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Attn:</w:t>
        <w:tab/>
      </w:r>
      <w:r>
        <w:rPr>
          <w:rFonts w:cs="Arial" w:ascii="Arial" w:hAnsi="Arial"/>
          <w:sz w:val="16"/>
          <w:u w:val="single"/>
        </w:rPr>
        <w:t>                      </w:t>
        <w:tab/>
        <w:tab/>
        <w:t> </w:t>
      </w:r>
      <w:r>
        <w:rPr>
          <w:rFonts w:cs="Arial" w:ascii="Arial" w:hAnsi="Arial"/>
          <w:sz w:val="16"/>
        </w:rPr>
        <w:t xml:space="preserve">        Attn: </w:t>
      </w:r>
      <w:r>
        <w:rPr>
          <w:rFonts w:cs="Arial" w:ascii="Arial" w:hAnsi="Arial"/>
          <w:sz w:val="16"/>
          <w:u w:val="single"/>
        </w:rPr>
        <w:t>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pPr>
      <w:r>
        <w:rPr>
          <w:rFonts w:cs="Arial" w:ascii="Arial" w:hAnsi="Arial"/>
          <w:sz w:val="16"/>
        </w:rPr>
        <w:t xml:space="preserve">E Mail: </w:t>
      </w:r>
      <w:r>
        <w:rPr>
          <w:rFonts w:cs="Arial" w:ascii="Arial" w:hAnsi="Arial"/>
          <w:sz w:val="16"/>
          <w:u w:val="single"/>
        </w:rPr>
        <w:tab/>
        <w:t xml:space="preserve">                    </w:t>
        <w:tab/>
      </w:r>
      <w:r>
        <w:rPr>
          <w:rFonts w:cs="Arial" w:ascii="Arial" w:hAnsi="Arial"/>
          <w:sz w:val="16"/>
        </w:rPr>
        <w:t xml:space="preserve">          E Mail:</w:t>
      </w:r>
      <w:r>
        <w:rPr>
          <w:rFonts w:cs="Arial" w:ascii="Arial" w:hAnsi="Arial"/>
          <w:sz w:val="16"/>
          <w:u w:val="single"/>
        </w:rPr>
        <w:tab/>
        <w:t xml:space="preserve">     </w:t>
        <w:tab/>
        <w:t xml:space="preserve">        </w:t>
        <w:tab/>
        <w:t xml:space="preserve">___                                   </w:t>
      </w:r>
    </w:p>
    <w:p>
      <w:pPr>
        <w:pStyle w:val="Normal"/>
        <w:tabs>
          <w:tab w:val="left" w:pos="450" w:leader="none"/>
          <w:tab w:val="left" w:pos="1440" w:leader="none"/>
          <w:tab w:val="left" w:pos="5130" w:leader="none"/>
          <w:tab w:val="left" w:pos="5580" w:leader="none"/>
        </w:tabs>
        <w:rPr>
          <w:rFonts w:ascii="Arial" w:hAnsi="Arial" w:cs="Arial"/>
          <w:sz w:val="16"/>
        </w:rPr>
      </w:pPr>
      <w:r>
        <w:rPr>
          <w:rFonts w:eastAsia="Arial" w:cs="Arial" w:ascii="Arial" w:hAnsi="Arial"/>
          <w:sz w:val="16"/>
          <w:u w:val="single"/>
        </w:rPr>
        <w:t xml:space="preserve">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Tele:</w:t>
        <w:tab/>
      </w:r>
      <w:r>
        <w:rPr>
          <w:rFonts w:cs="Arial" w:ascii="Arial" w:hAnsi="Arial"/>
          <w:sz w:val="16"/>
          <w:u w:val="single"/>
        </w:rPr>
        <w:t>                                                24 Hr:                                        </w:t>
      </w:r>
      <w:r>
        <w:rPr>
          <w:rFonts w:cs="Arial" w:ascii="Arial" w:hAnsi="Arial"/>
          <w:sz w:val="16"/>
        </w:rPr>
        <w:tab/>
        <w:t xml:space="preserve">      </w:t>
        <w:tab/>
        <w:t xml:space="preserve">Tele: </w:t>
      </w:r>
      <w:r>
        <w:rPr>
          <w:rFonts w:cs="Arial" w:ascii="Arial" w:hAnsi="Arial"/>
          <w:sz w:val="16"/>
          <w:u w:val="single"/>
        </w:rPr>
        <w:t>                                             24 Hr: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Fax:</w:t>
        <w:tab/>
      </w:r>
      <w:r>
        <w:rPr>
          <w:rFonts w:cs="Arial" w:ascii="Arial" w:hAnsi="Arial"/>
          <w:sz w:val="16"/>
          <w:u w:val="single"/>
        </w:rPr>
        <w:t>                                                24 Hr:                                       </w:t>
      </w:r>
      <w:r>
        <w:rPr>
          <w:rFonts w:cs="Arial" w:ascii="Arial" w:hAnsi="Arial"/>
          <w:sz w:val="16"/>
        </w:rPr>
        <w:tab/>
        <w:t xml:space="preserve">          Fax: </w:t>
      </w:r>
      <w:r>
        <w:rPr>
          <w:rFonts w:cs="Arial" w:ascii="Arial" w:hAnsi="Arial"/>
          <w:sz w:val="16"/>
          <w:u w:val="single"/>
        </w:rPr>
        <w:t>                                           24 Hr:                                       </w:t>
      </w:r>
    </w:p>
    <w:p>
      <w:pPr>
        <w:pStyle w:val="Normal"/>
        <w:tabs>
          <w:tab w:val="left" w:pos="450" w:leader="none"/>
          <w:tab w:val="left" w:pos="1440" w:leader="none"/>
          <w:tab w:val="left" w:pos="5130" w:leader="none"/>
          <w:tab w:val="left" w:pos="5580" w:leader="none"/>
        </w:tabs>
        <w:rPr>
          <w:rFonts w:ascii="Arial" w:hAnsi="Arial" w:eastAsia="Arial" w:cs="Arial"/>
          <w:sz w:val="16"/>
        </w:rPr>
      </w:pPr>
      <w:r>
        <w:rPr>
          <w:rFonts w:eastAsia="Arial" w:cs="Arial" w:ascii="Arial" w:hAnsi="Arial"/>
          <w:sz w:val="16"/>
        </w:rPr>
        <w:t xml:space="preserve"> </w:t>
      </w:r>
    </w:p>
    <w:p>
      <w:pPr>
        <w:pStyle w:val="Normal"/>
        <w:tabs>
          <w:tab w:val="left" w:pos="450" w:leader="none"/>
          <w:tab w:val="left" w:pos="1440" w:leader="none"/>
          <w:tab w:val="left" w:pos="5130" w:leader="none"/>
          <w:tab w:val="left" w:pos="5580" w:leader="none"/>
        </w:tabs>
        <w:rPr>
          <w:rFonts w:ascii="Arial" w:hAnsi="Arial" w:cs="Arial"/>
          <w:sz w:val="16"/>
        </w:rPr>
      </w:pPr>
      <w:r>
        <w:rPr>
          <w:rFonts w:cs="Arial" w:ascii="Arial" w:hAnsi="Arial"/>
          <w:sz w:val="16"/>
        </w:rPr>
        <w:t>Ref #</w:t>
        <w:tab/>
      </w:r>
      <w:r>
        <w:rPr>
          <w:rFonts w:cs="Arial" w:ascii="Arial" w:hAnsi="Arial"/>
          <w:sz w:val="16"/>
          <w:u w:val="single"/>
        </w:rPr>
        <w:t xml:space="preserve">                                                                                                </w:t>
      </w:r>
      <w:r>
        <w:rPr>
          <w:rFonts w:cs="Arial" w:ascii="Arial" w:hAnsi="Arial"/>
          <w:sz w:val="16"/>
        </w:rPr>
        <w:tab/>
        <w:t xml:space="preserve">      </w:t>
        <w:tab/>
        <w:t xml:space="preserve"> Ref #  </w:t>
      </w:r>
      <w:r>
        <w:rPr>
          <w:rFonts w:cs="Arial" w:ascii="Arial" w:hAnsi="Arial"/>
          <w:sz w:val="16"/>
          <w:u w:val="single"/>
        </w:rPr>
        <w:t>                                                                                        </w:t>
      </w:r>
    </w:p>
    <w:p>
      <w:pPr>
        <w:pStyle w:val="Normal"/>
        <w:tabs>
          <w:tab w:val="left" w:pos="1440" w:leader="none"/>
          <w:tab w:val="left" w:pos="5130" w:leader="none"/>
          <w:tab w:val="left" w:pos="5580" w:leader="none"/>
        </w:tabs>
        <w:rPr>
          <w:rFonts w:ascii="Arial" w:hAnsi="Arial" w:eastAsia="Arial" w:cs="Arial"/>
          <w:sz w:val="16"/>
        </w:rPr>
      </w:pPr>
      <w:r>
        <w:rPr>
          <w:rFonts w:eastAsia="Arial" w:cs="Arial" w:ascii="Arial" w:hAnsi="Arial"/>
          <w:sz w:val="16"/>
        </w:rPr>
        <w:t xml:space="preserve"> </w:t>
      </w:r>
    </w:p>
    <w:p>
      <w:pPr>
        <w:pStyle w:val="Normal"/>
        <w:tabs>
          <w:tab w:val="left" w:pos="1440" w:leader="none"/>
          <w:tab w:val="left" w:pos="5130" w:leader="none"/>
          <w:tab w:val="left" w:pos="5580" w:leader="none"/>
        </w:tabs>
        <w:rPr>
          <w:rFonts w:ascii="Arial" w:hAnsi="Arial" w:cs="Arial"/>
          <w:sz w:val="16"/>
        </w:rPr>
      </w:pPr>
      <w:r>
        <w:rPr>
          <w:rFonts w:cs="Arial" w:ascii="Arial" w:hAnsi="Arial"/>
          <w:sz w:val="16"/>
        </w:rPr>
        <w:t xml:space="preserve">Broker (if any) </w:t>
      </w:r>
      <w:r>
        <w:rPr>
          <w:rFonts w:cs="Arial" w:ascii="Arial" w:hAnsi="Arial"/>
          <w:sz w:val="16"/>
          <w:u w:val="single"/>
        </w:rPr>
        <w:t xml:space="preserve">                                                                                    </w:t>
      </w:r>
      <w:r>
        <w:rPr>
          <w:rFonts w:cs="Arial" w:ascii="Arial" w:hAnsi="Arial"/>
          <w:sz w:val="16"/>
        </w:rPr>
        <w:tab/>
        <w:t xml:space="preserve">     </w:t>
        <w:tab/>
        <w:t xml:space="preserve"> Broker (if any) </w:t>
      </w:r>
      <w:r>
        <w:rPr>
          <w:rFonts w:cs="Arial" w:ascii="Arial" w:hAnsi="Arial"/>
          <w:sz w:val="16"/>
          <w:u w:val="single"/>
        </w:rPr>
        <w:t xml:space="preserve">                                                                              </w:t>
      </w:r>
    </w:p>
    <w:p>
      <w:pPr>
        <w:pStyle w:val="Normal"/>
        <w:tabs>
          <w:tab w:val="clear" w:pos="1440"/>
          <w:tab w:val="left" w:pos="5130" w:leader="none"/>
        </w:tabs>
        <w:rPr>
          <w:rFonts w:ascii="Arial" w:hAnsi="Arial" w:eastAsia="Arial" w:cs="Arial"/>
          <w:sz w:val="18"/>
        </w:rPr>
      </w:pPr>
      <w:r>
        <w:rPr>
          <w:rFonts w:eastAsia="Arial" w:cs="Arial" w:ascii="Arial" w:hAnsi="Arial"/>
          <w:sz w:val="18"/>
        </w:rPr>
        <w:t xml:space="preserve"> </w:t>
      </w:r>
    </w:p>
    <w:p>
      <w:pPr>
        <w:pStyle w:val="Normal"/>
        <w:tabs>
          <w:tab w:val="clear" w:pos="1440"/>
          <w:tab w:val="left" w:pos="5400" w:leader="none"/>
        </w:tabs>
        <w:rPr/>
      </w:pPr>
      <w:r>
        <w:rPr>
          <w:rFonts w:cs="Arial" w:ascii="Arial" w:hAnsi="Arial"/>
          <w:sz w:val="18"/>
        </w:rPr>
        <w:t xml:space="preserve">Energy Type </w:t>
      </w:r>
      <w:r>
        <w:rPr>
          <w:rFonts w:cs="Arial" w:ascii="Arial" w:hAnsi="Arial"/>
          <w:u w:val="single"/>
        </w:rPr>
        <w:t>                                                                            </w:t>
      </w:r>
      <w:r>
        <w:rPr>
          <w:rFonts w:cs="Arial" w:ascii="Arial" w:hAnsi="Arial"/>
        </w:rPr>
        <w:tab/>
        <w:t xml:space="preserve">     </w:t>
      </w:r>
      <w:r>
        <w:rPr>
          <w:rFonts w:cs="Arial" w:ascii="Arial" w:hAnsi="Arial"/>
          <w:sz w:val="18"/>
        </w:rPr>
        <w:t>Contract Price</w:t>
      </w:r>
      <w:r>
        <w:rPr>
          <w:rFonts w:cs="Arial" w:ascii="Arial" w:hAnsi="Arial"/>
        </w:rPr>
        <w:t xml:space="preserve"> </w:t>
      </w:r>
      <w:r>
        <w:rPr>
          <w:rFonts w:cs="Arial" w:ascii="Arial" w:hAnsi="Arial"/>
          <w:sz w:val="18"/>
        </w:rPr>
        <w:t xml:space="preserve">$ </w:t>
      </w:r>
      <w:r>
        <w:rPr>
          <w:rFonts w:cs="Arial" w:ascii="Arial" w:hAnsi="Arial"/>
          <w:sz w:val="18"/>
          <w:u w:val="single"/>
        </w:rPr>
        <w:t>                                                          </w:t>
      </w:r>
      <w:r>
        <w:rPr>
          <w:rFonts w:cs="Arial" w:ascii="Arial" w:hAnsi="Arial"/>
          <w:sz w:val="18"/>
        </w:rPr>
        <w:t>/MWH</w:t>
      </w:r>
    </w:p>
    <w:p>
      <w:pPr>
        <w:pStyle w:val="Normal"/>
        <w:tabs>
          <w:tab w:val="clear" w:pos="1440"/>
          <w:tab w:val="left" w:pos="810" w:leader="none"/>
        </w:tabs>
        <w:rPr/>
      </w:pPr>
      <w:r>
        <w:rPr>
          <w:rFonts w:eastAsia="Arial" w:cs="Arial" w:ascii="Arial" w:hAnsi="Arial"/>
        </w:rPr>
        <w:t xml:space="preserve">               </w:t>
      </w:r>
      <w:r>
        <w:rPr>
          <w:rFonts w:cs="Arial" w:ascii="Arial" w:hAnsi="Arial"/>
          <w:b/>
          <w:sz w:val="16"/>
        </w:rPr>
        <w:t>U</w:t>
      </w:r>
      <w:r>
        <w:rPr>
          <w:rFonts w:cs="Arial" w:ascii="Arial" w:hAnsi="Arial"/>
          <w:sz w:val="16"/>
        </w:rPr>
        <w:t xml:space="preserve">nplanned or </w:t>
      </w:r>
      <w:r>
        <w:rPr>
          <w:rFonts w:cs="Arial" w:ascii="Arial" w:hAnsi="Arial"/>
          <w:b/>
          <w:sz w:val="16"/>
        </w:rPr>
        <w:t>P</w:t>
      </w:r>
      <w:r>
        <w:rPr>
          <w:rFonts w:cs="Arial" w:ascii="Arial" w:hAnsi="Arial"/>
          <w:sz w:val="16"/>
        </w:rPr>
        <w:t xml:space="preserve">lanned </w:t>
      </w:r>
      <w:r>
        <w:rPr>
          <w:rFonts w:cs="Arial" w:ascii="Arial" w:hAnsi="Arial"/>
          <w:b/>
          <w:sz w:val="16"/>
        </w:rPr>
        <w:t>A</w:t>
      </w:r>
      <w:r>
        <w:rPr>
          <w:rFonts w:cs="Arial" w:ascii="Arial" w:hAnsi="Arial"/>
          <w:sz w:val="16"/>
        </w:rPr>
        <w:t>,</w:t>
      </w:r>
      <w:r>
        <w:rPr>
          <w:rFonts w:cs="Arial" w:ascii="Arial" w:hAnsi="Arial"/>
          <w:b/>
          <w:sz w:val="16"/>
        </w:rPr>
        <w:t>B</w:t>
      </w:r>
      <w:r>
        <w:rPr>
          <w:rFonts w:cs="Arial" w:ascii="Arial" w:hAnsi="Arial"/>
          <w:sz w:val="16"/>
        </w:rPr>
        <w:t>,</w:t>
      </w:r>
      <w:r>
        <w:rPr>
          <w:rFonts w:cs="Arial" w:ascii="Arial" w:hAnsi="Arial"/>
          <w:b/>
          <w:sz w:val="16"/>
        </w:rPr>
        <w:t>C</w:t>
      </w:r>
      <w:r>
        <w:rPr>
          <w:rFonts w:cs="Arial" w:ascii="Arial" w:hAnsi="Arial"/>
          <w:sz w:val="16"/>
        </w:rPr>
        <w:t>,</w:t>
      </w:r>
      <w:r>
        <w:rPr>
          <w:rFonts w:cs="Arial" w:ascii="Arial" w:hAnsi="Arial"/>
          <w:b/>
          <w:sz w:val="16"/>
        </w:rPr>
        <w:t>D</w:t>
      </w:r>
      <w:r>
        <w:rPr>
          <w:rFonts w:cs="Arial" w:ascii="Arial" w:hAnsi="Arial"/>
          <w:sz w:val="16"/>
        </w:rPr>
        <w:t>, G, etc.</w:t>
      </w:r>
    </w:p>
    <w:p>
      <w:pPr>
        <w:pStyle w:val="Normal"/>
        <w:rPr>
          <w:rFonts w:ascii="Arial" w:hAnsi="Arial" w:cs="Arial"/>
          <w:sz w:val="16"/>
        </w:rPr>
      </w:pPr>
      <w:r>
        <w:rPr>
          <w:rFonts w:cs="Arial" w:ascii="Arial" w:hAnsi="Arial"/>
          <w:sz w:val="16"/>
        </w:rPr>
      </w:r>
    </w:p>
    <w:p>
      <w:pPr>
        <w:pStyle w:val="Normal"/>
        <w:tabs>
          <w:tab w:val="clear" w:pos="1440"/>
          <w:tab w:val="left" w:pos="810" w:leader="none"/>
        </w:tabs>
        <w:rPr/>
      </w:pPr>
      <w:r>
        <w:rPr>
          <w:rFonts w:cs="Arial" w:ascii="Arial" w:hAnsi="Arial"/>
          <w:sz w:val="18"/>
        </w:rPr>
        <w:t>Unplanned Transmission Type</w:t>
        <w:tab/>
      </w:r>
      <w:r>
        <w:rPr>
          <w:rFonts w:cs="Arial" w:ascii="Arial" w:hAnsi="Arial"/>
          <w:sz w:val="18"/>
          <w:u w:val="single"/>
        </w:rPr>
        <w:t>                                             </w:t>
      </w:r>
      <w:r>
        <w:rPr>
          <w:rFonts w:cs="Arial" w:ascii="Arial" w:hAnsi="Arial"/>
          <w:sz w:val="18"/>
        </w:rPr>
        <w:t xml:space="preserve">          Delivery Rate </w:t>
      </w:r>
      <w:r>
        <w:rPr>
          <w:rFonts w:cs="Arial" w:ascii="Arial" w:hAnsi="Arial"/>
          <w:sz w:val="18"/>
          <w:u w:val="single"/>
        </w:rPr>
        <w:t>                                                                 </w:t>
      </w:r>
      <w:r>
        <w:rPr>
          <w:rFonts w:cs="Arial" w:ascii="Arial" w:hAnsi="Arial"/>
          <w:sz w:val="18"/>
        </w:rPr>
        <w:t>MW</w:t>
      </w:r>
    </w:p>
    <w:p>
      <w:pPr>
        <w:pStyle w:val="Normal"/>
        <w:tabs>
          <w:tab w:val="clear" w:pos="1440"/>
          <w:tab w:val="left" w:pos="810" w:leader="none"/>
        </w:tabs>
        <w:rPr/>
      </w:pPr>
      <w:r>
        <w:rPr>
          <w:rFonts w:cs="Arial" w:ascii="Arial" w:hAnsi="Arial"/>
        </w:rPr>
        <w:tab/>
      </w:r>
      <w:r>
        <w:rPr>
          <w:rFonts w:cs="Arial" w:ascii="Arial" w:hAnsi="Arial"/>
          <w:b/>
          <w:sz w:val="16"/>
        </w:rPr>
        <w:t>Und</w:t>
      </w:r>
      <w:r>
        <w:rPr>
          <w:rFonts w:cs="Arial" w:ascii="Arial" w:hAnsi="Arial"/>
          <w:sz w:val="16"/>
        </w:rPr>
        <w:t xml:space="preserve">elivered, </w:t>
      </w:r>
      <w:r>
        <w:rPr>
          <w:rFonts w:cs="Arial" w:ascii="Arial" w:hAnsi="Arial"/>
          <w:b/>
          <w:sz w:val="16"/>
        </w:rPr>
        <w:t>Del</w:t>
      </w:r>
      <w:r>
        <w:rPr>
          <w:rFonts w:cs="Arial" w:ascii="Arial" w:hAnsi="Arial"/>
          <w:sz w:val="16"/>
        </w:rPr>
        <w:t xml:space="preserve">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ontingent</w:t>
      </w:r>
    </w:p>
    <w:p>
      <w:pPr>
        <w:pStyle w:val="Normal"/>
        <w:rPr>
          <w:rFonts w:ascii="Arial" w:hAnsi="Arial" w:cs="Arial"/>
          <w:sz w:val="18"/>
        </w:rPr>
      </w:pPr>
      <w:r>
        <w:rPr>
          <w:rFonts w:cs="Arial" w:ascii="Arial" w:hAnsi="Arial"/>
          <w:sz w:val="18"/>
        </w:rPr>
      </w:r>
    </w:p>
    <w:p>
      <w:pPr>
        <w:pStyle w:val="Normal"/>
        <w:rPr/>
      </w:pPr>
      <w:r>
        <w:rPr>
          <w:rFonts w:cs="Arial" w:ascii="Arial" w:hAnsi="Arial"/>
          <w:sz w:val="18"/>
        </w:rPr>
        <w:t>Delivery Point</w:t>
        <w:tab/>
      </w:r>
      <w:r>
        <w:rPr>
          <w:rFonts w:cs="Arial" w:ascii="Arial" w:hAnsi="Arial"/>
          <w:sz w:val="18"/>
          <w:u w:val="single"/>
        </w:rPr>
        <w:t>                                                                         </w:t>
      </w:r>
      <w:r>
        <w:rPr>
          <w:rFonts w:cs="Arial" w:ascii="Arial" w:hAnsi="Arial"/>
          <w:sz w:val="18"/>
        </w:rPr>
        <w:t xml:space="preserve">          Contract Quantity </w:t>
      </w:r>
      <w:r>
        <w:rPr>
          <w:rFonts w:cs="Arial" w:ascii="Arial" w:hAnsi="Arial"/>
          <w:sz w:val="18"/>
          <w:u w:val="single"/>
        </w:rPr>
        <w:t xml:space="preserve">                                                          </w:t>
      </w:r>
      <w:r>
        <w:rPr>
          <w:rFonts w:cs="Arial" w:ascii="Arial" w:hAnsi="Arial"/>
          <w:sz w:val="18"/>
        </w:rPr>
        <w:t>MWH</w:t>
      </w:r>
    </w:p>
    <w:p>
      <w:pPr>
        <w:pStyle w:val="Normal"/>
        <w:ind w:start="720" w:end="0"/>
        <w:rPr>
          <w:rFonts w:ascii="Arial" w:hAnsi="Arial" w:cs="Arial"/>
        </w:rPr>
      </w:pPr>
      <w:r>
        <w:rPr>
          <w:rFonts w:cs="Arial" w:ascii="Arial" w:hAnsi="Arial"/>
          <w:sz w:val="16"/>
        </w:rPr>
        <w:t>(ATC/Control Area/Undelivered)</w:t>
      </w:r>
    </w:p>
    <w:p>
      <w:pPr>
        <w:pStyle w:val="Normal"/>
        <w:ind w:start="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ISO Transaction Requestor </w:t>
      </w:r>
      <w:r>
        <w:rPr>
          <w:rFonts w:cs="Arial" w:ascii="Arial" w:hAnsi="Arial"/>
          <w:sz w:val="18"/>
          <w:u w:val="single"/>
        </w:rPr>
        <w:t>                                             </w:t>
      </w:r>
      <w:r>
        <w:rPr>
          <w:rFonts w:cs="Arial" w:ascii="Arial" w:hAnsi="Arial"/>
          <w:sz w:val="18"/>
        </w:rPr>
        <w:t xml:space="preserve">     Source ATC </w:t>
      </w:r>
      <w:r>
        <w:rPr>
          <w:rFonts w:cs="Arial" w:ascii="Arial" w:hAnsi="Arial"/>
          <w:sz w:val="18"/>
          <w:u w:val="single"/>
        </w:rPr>
        <w:t>                                  </w:t>
      </w:r>
      <w:r>
        <w:rPr>
          <w:rFonts w:cs="Arial" w:ascii="Arial" w:hAnsi="Arial"/>
          <w:sz w:val="18"/>
        </w:rPr>
        <w:t xml:space="preserve">     Sink ATC </w:t>
      </w:r>
      <w:r>
        <w:rPr>
          <w:rFonts w:cs="Arial" w:ascii="Arial" w:hAnsi="Arial"/>
          <w:sz w:val="18"/>
          <w:u w:val="single"/>
        </w:rPr>
        <w:t>                                    </w:t>
      </w:r>
    </w:p>
    <w:p>
      <w:pPr>
        <w:pStyle w:val="Normal"/>
        <w:ind w:start="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Period of Delivery</w:t>
      </w:r>
    </w:p>
    <w:p>
      <w:pPr>
        <w:pStyle w:val="Normal"/>
        <w:ind w:firstLine="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Start Date   </w:t>
      </w:r>
      <w:r>
        <w:rPr>
          <w:rFonts w:cs="Arial" w:ascii="Arial" w:hAnsi="Arial"/>
          <w:sz w:val="18"/>
          <w:u w:val="single"/>
        </w:rPr>
        <w:t xml:space="preserve">                                                                                  </w:t>
      </w:r>
      <w:r>
        <w:rPr>
          <w:rFonts w:cs="Arial" w:ascii="Arial" w:hAnsi="Arial"/>
          <w:sz w:val="18"/>
        </w:rPr>
        <w:t xml:space="preserve">       </w:t>
        <w:tab/>
        <w:t xml:space="preserve">End Date   </w:t>
      </w:r>
      <w:r>
        <w:rPr>
          <w:rFonts w:cs="Arial" w:ascii="Arial" w:hAnsi="Arial"/>
          <w:sz w:val="18"/>
          <w:u w:val="single"/>
        </w:rPr>
        <w:t>                                                                          </w:t>
      </w:r>
    </w:p>
    <w:p>
      <w:pPr>
        <w:pStyle w:val="Normal"/>
        <w:ind w:firstLine="72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Start Time (hour ending) </w:t>
      </w:r>
      <w:r>
        <w:rPr>
          <w:rFonts w:cs="Arial" w:ascii="Arial" w:hAnsi="Arial"/>
          <w:sz w:val="18"/>
          <w:u w:val="single"/>
        </w:rPr>
        <w:t>                                                              </w:t>
      </w:r>
      <w:r>
        <w:rPr>
          <w:rFonts w:cs="Arial" w:ascii="Arial" w:hAnsi="Arial"/>
          <w:sz w:val="18"/>
        </w:rPr>
        <w:t xml:space="preserve">            End Time (hour ending)</w:t>
      </w:r>
      <w:r>
        <w:rPr>
          <w:rFonts w:cs="Arial" w:ascii="Arial" w:hAnsi="Arial"/>
          <w:sz w:val="18"/>
          <w:u w:val="single"/>
        </w:rPr>
        <w:t xml:space="preserve">         </w:t>
        <w:tab/>
        <w:t xml:space="preserve">                                   </w:t>
      </w:r>
    </w:p>
    <w:p>
      <w:pPr>
        <w:pStyle w:val="Normal"/>
        <w:ind w:firstLine="720" w:end="0"/>
        <w:rPr>
          <w:rFonts w:ascii="Arial" w:hAnsi="Arial" w:cs="Arial"/>
          <w:sz w:val="18"/>
        </w:rPr>
      </w:pPr>
      <w:r>
        <w:rPr>
          <w:rFonts w:cs="Arial" w:ascii="Arial" w:hAnsi="Arial"/>
          <w:sz w:val="18"/>
        </w:rPr>
      </w:r>
    </w:p>
    <w:p>
      <w:pPr>
        <w:pStyle w:val="Normal"/>
        <w:rPr/>
      </w:pPr>
      <w:r>
        <w:rPr>
          <w:rFonts w:cs="Arial" w:ascii="Arial" w:hAnsi="Arial"/>
          <w:sz w:val="18"/>
        </w:rPr>
        <w:t>Deliver Schedule</w:t>
        <w:tab/>
      </w:r>
      <w:r>
        <w:rPr>
          <w:rFonts w:cs="Arial" w:ascii="Arial" w:hAnsi="Arial"/>
          <w:sz w:val="18"/>
          <w:u w:val="single"/>
        </w:rPr>
        <w:t xml:space="preserve">                                           </w:t>
        <w:tab/>
        <w:t xml:space="preserve">                </w:t>
      </w:r>
      <w:r>
        <w:rPr>
          <w:rFonts w:cs="Arial" w:ascii="Arial" w:hAnsi="Arial"/>
          <w:sz w:val="18"/>
        </w:rPr>
        <w:t xml:space="preserve"> (1X16, 5X16, 7X24, etc.; for split and variable schedules see Notes)</w:t>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Ancillary Services Responsibility</w:t>
      </w:r>
    </w:p>
    <w:p>
      <w:pPr>
        <w:pStyle w:val="Normal"/>
        <w:ind w:firstLine="720" w:end="0"/>
        <w:rPr>
          <w:rFonts w:ascii="Arial" w:hAnsi="Arial" w:cs="Arial"/>
          <w:sz w:val="18"/>
        </w:rPr>
      </w:pPr>
      <w:r>
        <w:rPr>
          <w:rFonts w:cs="Arial" w:ascii="Arial" w:hAnsi="Arial"/>
          <w:sz w:val="18"/>
        </w:rPr>
      </w:r>
    </w:p>
    <w:p>
      <w:pPr>
        <w:pStyle w:val="Normal"/>
        <w:rPr>
          <w:rFonts w:ascii="Arial" w:hAnsi="Arial" w:cs="Arial"/>
        </w:rPr>
      </w:pPr>
      <w:r>
        <w:rPr>
          <w:rFonts w:cs="Arial" w:ascii="Arial" w:hAnsi="Arial"/>
          <w:sz w:val="18"/>
        </w:rPr>
        <w:t>Transmission Losses*</w:t>
      </w:r>
      <w:r>
        <w:rPr>
          <w:rFonts w:cs="Arial" w:ascii="Arial" w:hAnsi="Arial"/>
        </w:rPr>
        <w:t xml:space="preserve">  </w:t>
      </w:r>
      <w:r>
        <w:rPr>
          <w:rFonts w:cs="Arial" w:ascii="Arial" w:hAnsi="Arial"/>
          <w:u w:val="single"/>
        </w:rPr>
        <w:t> </w:t>
        <w:tab/>
        <w:t xml:space="preserve">                                             </w:t>
      </w:r>
      <w:r>
        <w:rPr>
          <w:rFonts w:cs="Arial" w:ascii="Arial" w:hAnsi="Arial"/>
        </w:rPr>
        <w:tab/>
      </w:r>
      <w:r>
        <w:rPr>
          <w:rFonts w:cs="Arial" w:ascii="Arial" w:hAnsi="Arial"/>
          <w:sz w:val="18"/>
        </w:rPr>
        <w:t>Generator Schedule Imbalance</w:t>
      </w:r>
      <w:r>
        <w:rPr>
          <w:rFonts w:cs="Arial" w:ascii="Arial" w:hAnsi="Arial"/>
        </w:rPr>
        <w:t xml:space="preserve"> </w:t>
      </w:r>
      <w:r>
        <w:rPr>
          <w:rFonts w:cs="Arial" w:ascii="Arial" w:hAnsi="Arial"/>
          <w:u w:val="single"/>
        </w:rPr>
        <w:t xml:space="preserve">  </w:t>
        <w:tab/>
        <w:t xml:space="preserve">                                    </w:t>
      </w:r>
    </w:p>
    <w:p>
      <w:pPr>
        <w:pStyle w:val="Normal"/>
        <w:ind w:firstLine="720" w:end="0"/>
        <w:rPr>
          <w:rFonts w:ascii="Arial" w:hAnsi="Arial" w:cs="Arial"/>
          <w:sz w:val="18"/>
        </w:rPr>
      </w:pPr>
      <w:r>
        <w:rPr>
          <w:rFonts w:cs="Arial" w:ascii="Arial" w:hAnsi="Arial"/>
          <w:sz w:val="18"/>
        </w:rPr>
      </w:r>
    </w:p>
    <w:p>
      <w:pPr>
        <w:pStyle w:val="Normal"/>
        <w:rPr/>
      </w:pPr>
      <w:r>
        <w:rPr>
          <w:rFonts w:cs="Arial" w:ascii="Arial" w:hAnsi="Arial"/>
          <w:sz w:val="18"/>
        </w:rPr>
        <w:t xml:space="preserve">Control Area Scheduling Fees* </w:t>
      </w:r>
      <w:r>
        <w:rPr>
          <w:rFonts w:cs="Arial" w:ascii="Arial" w:hAnsi="Arial"/>
          <w:sz w:val="18"/>
          <w:u w:val="single"/>
        </w:rPr>
        <w:t>                   </w:t>
        <w:tab/>
        <w:t>                   </w:t>
      </w:r>
      <w:r>
        <w:rPr>
          <w:rFonts w:cs="Arial" w:ascii="Arial" w:hAnsi="Arial"/>
          <w:sz w:val="18"/>
        </w:rPr>
        <w:t xml:space="preserve">         Scheduled Backup </w:t>
      </w:r>
      <w:r>
        <w:rPr>
          <w:rFonts w:cs="Arial" w:ascii="Arial" w:hAnsi="Arial"/>
          <w:sz w:val="18"/>
          <w:u w:val="single"/>
        </w:rPr>
        <w:t xml:space="preserve">         </w:t>
        <w:tab/>
        <w:t xml:space="preserve">                                     </w:t>
      </w:r>
    </w:p>
    <w:p>
      <w:pPr>
        <w:pStyle w:val="Normal"/>
        <w:rPr>
          <w:rFonts w:ascii="Arial" w:hAnsi="Arial" w:cs="Arial"/>
          <w:sz w:val="18"/>
          <w:u w:val="single"/>
        </w:rPr>
      </w:pPr>
      <w:r>
        <w:rPr>
          <w:rFonts w:cs="Arial" w:ascii="Arial" w:hAnsi="Arial"/>
          <w:sz w:val="18"/>
          <w:u w:val="single"/>
        </w:rPr>
      </w:r>
    </w:p>
    <w:p>
      <w:pPr>
        <w:pStyle w:val="Normal"/>
        <w:rPr/>
      </w:pPr>
      <w:r>
        <w:rPr>
          <w:rFonts w:cs="Arial" w:ascii="Arial" w:hAnsi="Arial"/>
          <w:sz w:val="18"/>
        </w:rPr>
        <w:t>ISO Scheduling Fee*</w:t>
      </w:r>
      <w:r>
        <w:rPr>
          <w:rFonts w:cs="Arial" w:ascii="Arial" w:hAnsi="Arial"/>
          <w:sz w:val="18"/>
          <w:u w:val="single"/>
        </w:rPr>
        <w:t>                                                    </w:t>
        <w:tab/>
        <w:t xml:space="preserve">                  </w:t>
      </w:r>
      <w:r>
        <w:rPr>
          <w:rFonts w:cs="Arial" w:ascii="Arial" w:hAnsi="Arial"/>
          <w:sz w:val="18"/>
        </w:rPr>
        <w:t xml:space="preserve">       </w:t>
        <w:tab/>
        <w:t>Automatic Backup</w:t>
      </w:r>
      <w:r>
        <w:rPr>
          <w:rFonts w:cs="Arial" w:ascii="Arial" w:hAnsi="Arial"/>
          <w:sz w:val="18"/>
          <w:u w:val="single"/>
        </w:rPr>
        <w:t xml:space="preserve">           </w:t>
        <w:tab/>
        <w:t xml:space="preserve">                                     </w:t>
      </w:r>
    </w:p>
    <w:p>
      <w:pPr>
        <w:pStyle w:val="Normal"/>
        <w:rPr>
          <w:rFonts w:ascii="Arial" w:hAnsi="Arial" w:cs="Arial"/>
          <w:sz w:val="18"/>
          <w:u w:val="single"/>
        </w:rPr>
      </w:pPr>
      <w:r>
        <w:rPr>
          <w:rFonts w:cs="Arial" w:ascii="Arial" w:hAnsi="Arial"/>
          <w:sz w:val="18"/>
          <w:u w:val="single"/>
        </w:rPr>
      </w:r>
    </w:p>
    <w:p>
      <w:pPr>
        <w:pStyle w:val="Normal"/>
        <w:rPr/>
      </w:pPr>
      <w:r>
        <w:rPr>
          <w:rFonts w:cs="Arial" w:ascii="Arial" w:hAnsi="Arial"/>
          <w:sz w:val="18"/>
        </w:rPr>
        <w:t xml:space="preserve">Spinning Reserve (for A) </w:t>
      </w:r>
      <w:r>
        <w:rPr>
          <w:rFonts w:cs="Arial" w:ascii="Arial" w:hAnsi="Arial"/>
          <w:sz w:val="18"/>
          <w:u w:val="single"/>
        </w:rPr>
        <w:tab/>
        <w:tab/>
        <w:t xml:space="preserve">                   </w:t>
      </w:r>
      <w:r>
        <w:rPr>
          <w:rFonts w:cs="Arial" w:ascii="Arial" w:hAnsi="Arial"/>
          <w:sz w:val="18"/>
        </w:rPr>
        <w:t xml:space="preserve">         Spinning Reserve (for A) </w:t>
      </w:r>
      <w:r>
        <w:rPr>
          <w:rFonts w:cs="Arial" w:ascii="Arial" w:hAnsi="Arial"/>
          <w:sz w:val="18"/>
          <w:u w:val="single"/>
        </w:rPr>
        <w:tab/>
        <w:t xml:space="preserve">           </w:t>
        <w:tab/>
        <w:t>____</w:t>
      </w:r>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Load Schedule Imbalance</w:t>
        <w:tab/>
      </w:r>
      <w:r>
        <w:rPr>
          <w:rFonts w:cs="Arial" w:ascii="Arial" w:hAnsi="Arial"/>
          <w:sz w:val="18"/>
          <w:u w:val="single"/>
        </w:rPr>
        <w:t>                                               </w:t>
      </w:r>
      <w:r>
        <w:rPr>
          <w:rFonts w:cs="Arial" w:ascii="Arial" w:hAnsi="Arial"/>
          <w:sz w:val="18"/>
        </w:rPr>
        <w:t xml:space="preserve">         Emergency Energy</w:t>
      </w:r>
      <w:r>
        <w:rPr>
          <w:rFonts w:cs="Arial" w:ascii="Arial" w:hAnsi="Arial"/>
          <w:sz w:val="18"/>
          <w:u w:val="single"/>
        </w:rPr>
        <w:t>                                                                </w:t>
      </w:r>
    </w:p>
    <w:p>
      <w:pPr>
        <w:pStyle w:val="Normal"/>
        <w:ind w:firstLine="720" w:end="0"/>
        <w:rPr>
          <w:rFonts w:ascii="Arial" w:hAnsi="Arial" w:cs="Arial"/>
          <w:sz w:val="18"/>
        </w:rPr>
      </w:pPr>
      <w:r>
        <w:rPr>
          <w:rFonts w:cs="Arial" w:ascii="Arial" w:hAnsi="Arial"/>
          <w:sz w:val="18"/>
        </w:rPr>
      </w:r>
    </w:p>
    <w:p>
      <w:pPr>
        <w:pStyle w:val="Normal"/>
        <w:rPr>
          <w:rFonts w:ascii="Arial" w:hAnsi="Arial" w:cs="Arial"/>
        </w:rPr>
      </w:pPr>
      <w:r>
        <w:rPr>
          <w:rFonts w:cs="Arial" w:ascii="Arial" w:hAnsi="Arial"/>
          <w:sz w:val="18"/>
        </w:rPr>
        <w:t xml:space="preserve">* </w:t>
      </w:r>
      <w:r>
        <w:rPr>
          <w:rFonts w:cs="Arial" w:ascii="Arial" w:hAnsi="Arial"/>
          <w:sz w:val="16"/>
        </w:rPr>
        <w:t xml:space="preserve">for </w:t>
      </w:r>
      <w:r>
        <w:rPr>
          <w:rFonts w:cs="Arial" w:ascii="Arial" w:hAnsi="Arial"/>
          <w:b/>
          <w:sz w:val="16"/>
        </w:rPr>
        <w:t>Und</w:t>
      </w:r>
      <w:r>
        <w:rPr>
          <w:rFonts w:cs="Arial" w:ascii="Arial" w:hAnsi="Arial"/>
          <w:sz w:val="16"/>
        </w:rPr>
        <w:t xml:space="preserve">elivered, or </w:t>
      </w:r>
      <w:r>
        <w:rPr>
          <w:rFonts w:cs="Arial" w:ascii="Arial" w:hAnsi="Arial"/>
          <w:b/>
          <w:sz w:val="16"/>
        </w:rPr>
        <w:t>T</w:t>
      </w:r>
      <w:r>
        <w:rPr>
          <w:rFonts w:cs="Arial" w:ascii="Arial" w:hAnsi="Arial"/>
          <w:sz w:val="16"/>
        </w:rPr>
        <w:t xml:space="preserve">ransmission </w:t>
      </w:r>
      <w:r>
        <w:rPr>
          <w:rFonts w:cs="Arial" w:ascii="Arial" w:hAnsi="Arial"/>
          <w:b/>
          <w:sz w:val="16"/>
        </w:rPr>
        <w:t>C</w:t>
      </w:r>
      <w:r>
        <w:rPr>
          <w:rFonts w:cs="Arial" w:ascii="Arial" w:hAnsi="Arial"/>
          <w:sz w:val="16"/>
        </w:rPr>
        <w:t xml:space="preserve">ontingent (Transmission Types) these fees generally belong to Buyer, for </w:t>
      </w:r>
      <w:r>
        <w:rPr>
          <w:rFonts w:cs="Arial" w:ascii="Arial" w:hAnsi="Arial"/>
          <w:b/>
          <w:sz w:val="16"/>
        </w:rPr>
        <w:t>Del</w:t>
      </w:r>
      <w:r>
        <w:rPr>
          <w:rFonts w:cs="Arial" w:ascii="Arial" w:hAnsi="Arial"/>
          <w:sz w:val="16"/>
        </w:rPr>
        <w:t>ivered to Seller</w:t>
      </w:r>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b/>
          <w:sz w:val="18"/>
          <w:u w:val="single"/>
        </w:rPr>
        <w:t>Standard Provisions for D or G schedules</w:t>
      </w:r>
    </w:p>
    <w:p>
      <w:pPr>
        <w:pStyle w:val="Normal"/>
        <w:rPr>
          <w:rFonts w:ascii="Arial" w:hAnsi="Arial" w:cs="Arial"/>
          <w:sz w:val="18"/>
        </w:rPr>
      </w:pPr>
      <w:r>
        <w:rPr>
          <w:rFonts w:cs="Arial" w:ascii="Arial" w:hAnsi="Arial"/>
          <w:sz w:val="18"/>
        </w:rPr>
        <w:t>Load Entity for G</w:t>
        <w:tab/>
      </w:r>
      <w:r>
        <w:rPr>
          <w:rFonts w:cs="Arial" w:ascii="Arial" w:hAnsi="Arial"/>
          <w:sz w:val="18"/>
          <w:u w:val="single"/>
        </w:rPr>
        <w:t xml:space="preserve">                      </w:t>
        <w:tab/>
        <w:t xml:space="preserve">                                              </w:t>
      </w:r>
    </w:p>
    <w:p>
      <w:pPr>
        <w:pStyle w:val="Normal"/>
        <w:rPr>
          <w:rFonts w:ascii="Arial" w:hAnsi="Arial" w:cs="Arial"/>
        </w:rPr>
      </w:pPr>
      <w:r>
        <w:rPr>
          <w:rFonts w:cs="Arial" w:ascii="Arial" w:hAnsi="Arial"/>
          <w:sz w:val="18"/>
        </w:rPr>
        <w:t>Unit(s) for D</w:t>
        <w:tab/>
      </w:r>
      <w:r>
        <w:rPr>
          <w:rFonts w:cs="Arial" w:ascii="Arial" w:hAnsi="Arial"/>
          <w:sz w:val="18"/>
          <w:u w:val="single"/>
        </w:rPr>
        <w:t xml:space="preserve">                       </w:t>
        <w:tab/>
        <w:tab/>
        <w:t xml:space="preserve">                  </w:t>
      </w:r>
      <w:r>
        <w:rPr>
          <w:rFonts w:cs="Arial" w:ascii="Arial" w:hAnsi="Arial"/>
          <w:sz w:val="18"/>
        </w:rPr>
        <w:tab/>
        <w:t>Specified Contingencies</w:t>
      </w:r>
      <w:r>
        <w:rPr>
          <w:rFonts w:cs="Arial" w:ascii="Arial" w:hAnsi="Arial"/>
          <w:u w:val="single"/>
        </w:rPr>
        <w:t>                                                       </w:t>
      </w:r>
    </w:p>
    <w:p>
      <w:pPr>
        <w:pStyle w:val="Normal"/>
        <w:ind w:firstLine="720" w:end="0"/>
        <w:rPr>
          <w:rFonts w:ascii="Arial" w:hAnsi="Arial" w:cs="Arial"/>
          <w:sz w:val="18"/>
        </w:rPr>
      </w:pPr>
      <w:r>
        <w:rPr>
          <w:rFonts w:cs="Arial" w:ascii="Arial" w:hAnsi="Arial"/>
          <w:sz w:val="18"/>
        </w:rPr>
      </w:r>
    </w:p>
    <w:p>
      <w:pPr>
        <w:pStyle w:val="Normal"/>
        <w:ind w:firstLine="720" w:end="0"/>
        <w:rPr/>
      </w:pPr>
      <w:r>
        <w:rPr>
          <w:rFonts w:cs="Arial" w:ascii="Arial" w:hAnsi="Arial"/>
          <w:b/>
          <w:sz w:val="18"/>
          <w:u w:val="single"/>
        </w:rPr>
        <w:t>Notes/Special Provisions</w:t>
      </w:r>
      <w:r>
        <w:rPr>
          <w:rFonts w:cs="Arial" w:ascii="Arial" w:hAnsi="Arial"/>
          <w:sz w:val="18"/>
        </w:rPr>
        <w:tab/>
        <w:tab/>
      </w:r>
    </w:p>
    <w:p>
      <w:pPr>
        <w:pStyle w:val="Normal"/>
        <w:rPr>
          <w:rFonts w:ascii="Arial" w:hAnsi="Arial" w:cs="Arial"/>
          <w:sz w:val="18"/>
        </w:rPr>
      </w:pPr>
      <w:ins w:id="442" w:author="Margaret Pemberton" w:date="1999-06-04T16:52:00Z">
        <w:r>
          <w:rPr>
            <w:rFonts w:cs="Arial" w:ascii="Arial" w:hAnsi="Arial"/>
            <w:sz w:val="18"/>
            <w:u w:val="single"/>
          </w:rPr>
          <w:t>_________________</w:t>
          <w:tab/>
          <w:tab/>
          <w:tab/>
          <w:tab/>
          <w:tab/>
          <w:tab/>
          <w:tab/>
          <w:tab/>
          <w:tab/>
          <w:tab/>
          <w:tab/>
          <w:tab/>
          <w:tab/>
          <w:tab/>
          <w:tab/>
          <w:tab/>
          <w:tab/>
          <w:tab/>
          <w:tab/>
          <w:tab/>
          <w:tab/>
          <w:tab/>
          <w:tab/>
        </w:r>
      </w:ins>
      <w:del w:id="443" w:author="Margaret Pemberton" w:date="1999-06-04T16:52:00Z">
        <w:r>
          <w:rPr>
            <w:rFonts w:cs="Arial" w:ascii="Arial" w:hAnsi="Arial"/>
            <w:sz w:val="18"/>
            <w:u w:val="single"/>
          </w:rPr>
          <w:delText xml:space="preserve">                                                                                                                                                                                                                                                                                                                                                                                                                                                                                                                                                                                                                                                                                                                                                                          </w:delText>
          <w:tab/>
        </w:r>
      </w:del>
      <w:r>
        <w:rPr>
          <w:rFonts w:cs="Arial" w:ascii="Arial" w:hAnsi="Arial"/>
          <w:sz w:val="18"/>
          <w:u w:val="single"/>
        </w:rPr>
        <w:tab/>
      </w:r>
      <w:ins w:id="444" w:author="Margaret Pemberton" w:date="1999-06-04T16:52:00Z">
        <w:r>
          <w:rPr>
            <w:rFonts w:cs="Arial" w:ascii="Arial" w:hAnsi="Arial"/>
            <w:sz w:val="18"/>
            <w:u w:val="single"/>
          </w:rPr>
          <w:tab/>
        </w:r>
      </w:ins>
      <w:r>
        <w:rPr>
          <w:rFonts w:cs="Arial" w:ascii="Arial" w:hAnsi="Arial"/>
          <w:sz w:val="18"/>
          <w:u w:val="single"/>
        </w:rPr>
        <w:tab/>
        <w:tab/>
      </w:r>
      <w:del w:id="445" w:author="Margaret Pemberton" w:date="1999-06-04T16:52:00Z">
        <w:r>
          <w:rPr>
            <w:rFonts w:cs="Arial" w:ascii="Arial" w:hAnsi="Arial"/>
            <w:sz w:val="18"/>
            <w:u w:val="single"/>
          </w:rPr>
          <w:delText xml:space="preserve">            </w:delText>
        </w:r>
      </w:del>
    </w:p>
    <w:p>
      <w:pPr>
        <w:pStyle w:val="Normal"/>
        <w:ind w:firstLine="720" w:end="0"/>
        <w:rPr>
          <w:rFonts w:ascii="Arial" w:hAnsi="Arial" w:cs="Arial"/>
          <w:sz w:val="18"/>
        </w:rPr>
      </w:pPr>
      <w:ins w:id="446" w:author="Margaret Pemberton" w:date="1999-06-04T16:52:00Z">
        <w:r>
          <w:rPr>
            <w:rFonts w:cs="Arial" w:ascii="Arial" w:hAnsi="Arial"/>
            <w:sz w:val="18"/>
          </w:rPr>
          <w:tab/>
        </w:r>
      </w:ins>
    </w:p>
    <w:p>
      <w:pPr>
        <w:pStyle w:val="Normal"/>
        <w:ind w:firstLine="720" w:end="0"/>
        <w:rPr>
          <w:rFonts w:ascii="Arial" w:hAnsi="Arial" w:cs="Arial"/>
          <w:sz w:val="18"/>
        </w:rPr>
      </w:pPr>
      <w:r>
        <w:rPr>
          <w:rFonts w:cs="Arial" w:ascii="Arial" w:hAnsi="Arial"/>
          <w:sz w:val="18"/>
        </w:rPr>
      </w:r>
    </w:p>
    <w:p>
      <w:pPr>
        <w:pStyle w:val="Normal"/>
        <w:ind w:firstLine="720" w:end="0"/>
        <w:rPr>
          <w:rFonts w:ascii="Arial" w:hAnsi="Arial" w:cs="Arial"/>
          <w:sz w:val="18"/>
        </w:rPr>
      </w:pPr>
      <w:r>
        <w:rPr>
          <w:rFonts w:cs="Arial" w:ascii="Arial" w:hAnsi="Arial"/>
          <w:sz w:val="18"/>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sz w:val="16"/>
              </w:rPr>
              <w:t xml:space="preserve">This </w:t>
            </w:r>
            <w:ins w:id="447" w:author="Preferred Customer" w:date="1999-06-04T16:03:00Z">
              <w:r>
                <w:rPr>
                  <w:rFonts w:cs="Arial" w:ascii="Arial" w:hAnsi="Arial"/>
                  <w:sz w:val="16"/>
                </w:rPr>
                <w:t xml:space="preserve">Transaction </w:t>
              </w:r>
            </w:ins>
            <w:r>
              <w:rPr>
                <w:rFonts w:cs="Arial" w:ascii="Arial" w:hAnsi="Arial"/>
                <w:sz w:val="16"/>
              </w:rPr>
              <w:t xml:space="preserve">Confirmation or any </w:t>
            </w:r>
            <w:ins w:id="448" w:author="Preferred Customer" w:date="1999-06-04T16:03:00Z">
              <w:r>
                <w:rPr>
                  <w:rFonts w:cs="Arial" w:ascii="Arial" w:hAnsi="Arial"/>
                  <w:sz w:val="16"/>
                </w:rPr>
                <w:t xml:space="preserve">Transaction </w:t>
              </w:r>
            </w:ins>
            <w:r>
              <w:rPr>
                <w:rFonts w:cs="Arial" w:ascii="Arial" w:hAnsi="Arial"/>
                <w:sz w:val="16"/>
              </w:rPr>
              <w:t xml:space="preserve">Confirmation substantially in the form of this </w:t>
            </w:r>
            <w:ins w:id="449" w:author="Preferred Customer" w:date="1999-06-04T16:03:00Z">
              <w:r>
                <w:rPr>
                  <w:rFonts w:cs="Arial" w:ascii="Arial" w:hAnsi="Arial"/>
                  <w:sz w:val="16"/>
                </w:rPr>
                <w:t xml:space="preserve">Transaction </w:t>
              </w:r>
            </w:ins>
            <w:r>
              <w:rPr>
                <w:rFonts w:cs="Arial" w:ascii="Arial" w:hAnsi="Arial"/>
                <w:sz w:val="16"/>
              </w:rPr>
              <w:t xml:space="preserve">Confirmation shall be performed in accordance with the ERCOT WHOLESALE ELECTRICITY </w:t>
            </w:r>
            <w:del w:id="450" w:author="Preferred Customer" w:date="1999-06-04T16:04:00Z">
              <w:r>
                <w:rPr>
                  <w:rFonts w:cs="Arial" w:ascii="Arial" w:hAnsi="Arial"/>
                  <w:sz w:val="16"/>
                </w:rPr>
                <w:delText>MASTER</w:delText>
              </w:r>
            </w:del>
            <w:ins w:id="451" w:author="Preferred Customer" w:date="1999-06-04T16:04:00Z">
              <w:r>
                <w:rPr>
                  <w:rFonts w:cs="Arial" w:ascii="Arial" w:hAnsi="Arial"/>
                  <w:sz w:val="16"/>
                </w:rPr>
                <w:t>ENABLING</w:t>
              </w:r>
            </w:ins>
            <w:r>
              <w:rPr>
                <w:rFonts w:cs="Arial" w:ascii="Arial" w:hAnsi="Arial"/>
                <w:sz w:val="16"/>
              </w:rPr>
              <w:t xml:space="preserve"> AGREEMENT (the “Agreement”).  As stated in the Agreement, Parties shall have two </w:t>
            </w:r>
            <w:ins w:id="452" w:author="Preferred Customer" w:date="1999-06-04T16:04:00Z">
              <w:r>
                <w:rPr>
                  <w:rFonts w:cs="Arial" w:ascii="Arial" w:hAnsi="Arial"/>
                  <w:sz w:val="16"/>
                </w:rPr>
                <w:t xml:space="preserve">(2) </w:t>
              </w:r>
            </w:ins>
            <w:del w:id="453" w:author="Preferred Customer" w:date="1999-06-04T16:04:00Z">
              <w:r>
                <w:rPr>
                  <w:rFonts w:cs="Arial" w:ascii="Arial" w:hAnsi="Arial"/>
                  <w:sz w:val="16"/>
                </w:rPr>
                <w:delText>b</w:delText>
              </w:r>
            </w:del>
            <w:ins w:id="454" w:author="Preferred Customer" w:date="1999-06-04T16:04:00Z">
              <w:r>
                <w:rPr>
                  <w:rFonts w:cs="Arial" w:ascii="Arial" w:hAnsi="Arial"/>
                  <w:sz w:val="16"/>
                </w:rPr>
                <w:t>B</w:t>
              </w:r>
            </w:ins>
            <w:r>
              <w:rPr>
                <w:rFonts w:cs="Arial" w:ascii="Arial" w:hAnsi="Arial"/>
                <w:sz w:val="16"/>
              </w:rPr>
              <w:t xml:space="preserve">usiness </w:t>
            </w:r>
            <w:del w:id="455" w:author="Preferred Customer" w:date="1999-06-04T16:04:00Z">
              <w:r>
                <w:rPr>
                  <w:rFonts w:cs="Arial" w:ascii="Arial" w:hAnsi="Arial"/>
                  <w:sz w:val="16"/>
                </w:rPr>
                <w:delText>d</w:delText>
              </w:r>
            </w:del>
            <w:ins w:id="456" w:author="Preferred Customer" w:date="1999-06-04T16:04:00Z">
              <w:r>
                <w:rPr>
                  <w:rFonts w:cs="Arial" w:ascii="Arial" w:hAnsi="Arial"/>
                  <w:sz w:val="16"/>
                </w:rPr>
                <w:t>D</w:t>
              </w:r>
            </w:ins>
            <w:r>
              <w:rPr>
                <w:rFonts w:cs="Arial" w:ascii="Arial" w:hAnsi="Arial"/>
                <w:sz w:val="16"/>
              </w:rPr>
              <w:t xml:space="preserve">ays from the receipt of this transmittal for signature and acceptance by returning via fax or to object to its terms.  If receiving Party does not object, in accordance with the terms of the Agreement, the </w:t>
            </w:r>
            <w:ins w:id="457" w:author="Preferred Customer" w:date="1999-06-04T16:04:00Z">
              <w:r>
                <w:rPr>
                  <w:rFonts w:cs="Arial" w:ascii="Arial" w:hAnsi="Arial"/>
                  <w:sz w:val="16"/>
                </w:rPr>
                <w:t xml:space="preserve">Transaction </w:t>
              </w:r>
            </w:ins>
            <w:r>
              <w:rPr>
                <w:rFonts w:cs="Arial" w:ascii="Arial" w:hAnsi="Arial"/>
                <w:sz w:val="16"/>
              </w:rPr>
              <w:t>Confirmation is deemed accepted and final.</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Seller  </w:t>
      </w:r>
      <w:ins w:id="458" w:author="Preferred Customer" w:date="1999-06-04T16:20:00Z">
        <w:r>
          <w:rPr>
            <w:rFonts w:cs="Arial" w:ascii="Arial" w:hAnsi="Arial"/>
            <w:sz w:val="18"/>
          </w:rPr>
          <w:t xml:space="preserve">___________________________________________    </w:t>
        </w:r>
      </w:ins>
      <w:del w:id="459" w:author="Preferred Customer" w:date="1999-06-04T16:20:00Z">
        <w:r>
          <w:rPr>
            <w:rFonts w:cs="Arial" w:ascii="Arial" w:hAnsi="Arial"/>
            <w:sz w:val="18"/>
            <w:u w:val="single"/>
          </w:rPr>
          <w:delText>          </w:delText>
        </w:r>
      </w:del>
      <w:del w:id="460" w:author="Preferred Customer" w:date="1999-06-04T16:16:00Z">
        <w:r>
          <w:rPr>
            <w:rFonts w:cs="Arial" w:ascii="Arial" w:hAnsi="Arial"/>
            <w:sz w:val="18"/>
            <w:u w:val="single"/>
          </w:rPr>
          <w:delText xml:space="preserve">     </w:delText>
        </w:r>
      </w:del>
      <w:del w:id="461" w:author="Preferred Customer" w:date="1999-06-04T16:20:00Z">
        <w:r>
          <w:rPr>
            <w:rFonts w:cs="Arial" w:ascii="Arial" w:hAnsi="Arial"/>
            <w:sz w:val="18"/>
            <w:u w:val="single"/>
          </w:rPr>
          <w:delText>           </w:delText>
        </w:r>
      </w:del>
      <w:del w:id="462" w:author="Preferred Customer" w:date="1999-06-04T16:16:00Z">
        <w:r>
          <w:rPr>
            <w:rFonts w:cs="Arial" w:ascii="Arial" w:hAnsi="Arial"/>
            <w:sz w:val="18"/>
            <w:u w:val="single"/>
          </w:rPr>
          <w:delText xml:space="preserve"> </w:delText>
        </w:r>
      </w:del>
      <w:del w:id="463" w:author="Preferred Customer" w:date="1999-06-04T16:20:00Z">
        <w:r>
          <w:rPr>
            <w:rFonts w:cs="Arial" w:ascii="Arial" w:hAnsi="Arial"/>
            <w:sz w:val="18"/>
            <w:u w:val="single"/>
          </w:rPr>
          <w:delText>         </w:delText>
          <w:tab/>
          <w:delText>        </w:delText>
        </w:r>
      </w:del>
      <w:del w:id="464" w:author="Preferred Customer" w:date="1999-06-04T16:16:00Z">
        <w:r>
          <w:rPr>
            <w:rFonts w:cs="Arial" w:ascii="Arial" w:hAnsi="Arial"/>
            <w:sz w:val="18"/>
            <w:u w:val="single"/>
          </w:rPr>
          <w:delText xml:space="preserve">     </w:delText>
        </w:r>
      </w:del>
      <w:del w:id="465" w:author="Preferred Customer" w:date="1999-06-04T16:20:00Z">
        <w:r>
          <w:rPr>
            <w:rFonts w:cs="Arial" w:ascii="Arial" w:hAnsi="Arial"/>
            <w:sz w:val="18"/>
            <w:u w:val="single"/>
          </w:rPr>
          <w:delText>                         </w:delText>
        </w:r>
      </w:del>
      <w:del w:id="466" w:author="Preferred Customer" w:date="1999-06-04T16:20:00Z">
        <w:r>
          <w:rPr>
            <w:rFonts w:cs="Arial" w:ascii="Arial" w:hAnsi="Arial"/>
            <w:sz w:val="18"/>
          </w:rPr>
          <w:delText xml:space="preserve">   </w:delText>
        </w:r>
      </w:del>
      <w:r>
        <w:rPr>
          <w:rFonts w:cs="Arial" w:ascii="Arial" w:hAnsi="Arial"/>
          <w:sz w:val="18"/>
        </w:rPr>
        <w:t>Buyer</w:t>
      </w:r>
      <w:ins w:id="467" w:author="Preferred Customer" w:date="1999-06-04T16:21:00Z">
        <w:r>
          <w:rPr>
            <w:rFonts w:cs="Arial" w:ascii="Arial" w:hAnsi="Arial"/>
            <w:sz w:val="18"/>
            <w:u w:val="single"/>
          </w:rPr>
          <w:t xml:space="preserve">   ___________________________________________________</w:t>
        </w:r>
      </w:ins>
      <w:del w:id="468" w:author="Preferred Customer" w:date="1999-06-04T16:21:00Z">
        <w:r>
          <w:rPr>
            <w:rFonts w:cs="Arial" w:ascii="Arial" w:hAnsi="Arial"/>
            <w:sz w:val="18"/>
            <w:u w:val="single"/>
          </w:rPr>
          <w:delText>                </w:delText>
        </w:r>
      </w:del>
      <w:del w:id="469" w:author="Preferred Customer" w:date="1999-06-04T16:16:00Z">
        <w:r>
          <w:rPr>
            <w:rFonts w:cs="Arial" w:ascii="Arial" w:hAnsi="Arial"/>
            <w:sz w:val="18"/>
            <w:u w:val="single"/>
          </w:rPr>
          <w:delText xml:space="preserve">   </w:delText>
        </w:r>
      </w:del>
      <w:del w:id="470" w:author="Preferred Customer" w:date="1999-06-04T16:21:00Z">
        <w:r>
          <w:rPr>
            <w:rFonts w:cs="Arial" w:ascii="Arial" w:hAnsi="Arial"/>
            <w:sz w:val="18"/>
            <w:u w:val="single"/>
          </w:rPr>
          <w:delText>       </w:delText>
          <w:tab/>
          <w:delText>                  </w:delText>
        </w:r>
      </w:del>
      <w:del w:id="471" w:author="Preferred Customer" w:date="1999-06-04T16:17:00Z">
        <w:r>
          <w:rPr>
            <w:rFonts w:cs="Arial" w:ascii="Arial" w:hAnsi="Arial"/>
            <w:sz w:val="18"/>
            <w:u w:val="single"/>
          </w:rPr>
          <w:delText xml:space="preserve">                       </w:delText>
        </w:r>
      </w:del>
      <w:del w:id="472" w:author="Preferred Customer" w:date="1999-06-04T16:21:00Z">
        <w:r>
          <w:rPr>
            <w:rFonts w:cs="Arial" w:ascii="Arial" w:hAnsi="Arial"/>
            <w:sz w:val="18"/>
            <w:u w:val="single"/>
          </w:rPr>
          <w:delText>                     </w:delText>
        </w:r>
      </w:del>
      <w:del w:id="473" w:author="Preferred Customer" w:date="1999-06-04T16:07:00Z">
        <w:r>
          <w:rPr>
            <w:rFonts w:cs="Arial" w:ascii="Arial" w:hAnsi="Arial"/>
            <w:sz w:val="18"/>
            <w:u w:val="single"/>
          </w:rPr>
          <w:delText>      </w:delText>
        </w:r>
      </w:del>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By</w:t>
      </w:r>
      <w:ins w:id="474" w:author="Preferred Customer" w:date="1999-06-04T16:21:00Z">
        <w:r>
          <w:rPr>
            <w:rFonts w:cs="Arial" w:ascii="Arial" w:hAnsi="Arial"/>
            <w:sz w:val="18"/>
          </w:rPr>
          <w:t xml:space="preserve">       ___________________________________________</w:t>
        </w:r>
      </w:ins>
      <w:del w:id="475" w:author="Preferred Customer" w:date="1999-06-04T16:21:00Z">
        <w:r>
          <w:rPr>
            <w:rFonts w:cs="Arial" w:ascii="Arial" w:hAnsi="Arial"/>
            <w:sz w:val="18"/>
          </w:rPr>
          <w:delText xml:space="preserve">        </w:delText>
        </w:r>
      </w:del>
      <w:del w:id="476" w:author="Preferred Customer" w:date="1999-06-04T16:21:00Z">
        <w:r>
          <w:rPr>
            <w:rFonts w:cs="Arial" w:ascii="Arial" w:hAnsi="Arial"/>
            <w:sz w:val="18"/>
            <w:u w:val="single"/>
          </w:rPr>
          <w:delText>                </w:delText>
        </w:r>
      </w:del>
      <w:del w:id="477" w:author="Preferred Customer" w:date="1999-06-04T16:17:00Z">
        <w:r>
          <w:rPr>
            <w:rFonts w:cs="Arial" w:ascii="Arial" w:hAnsi="Arial"/>
            <w:sz w:val="18"/>
            <w:u w:val="single"/>
          </w:rPr>
          <w:delText xml:space="preserve"> </w:delText>
        </w:r>
      </w:del>
      <w:del w:id="478" w:author="Preferred Customer" w:date="1999-06-04T16:21:00Z">
        <w:r>
          <w:rPr>
            <w:rFonts w:cs="Arial" w:ascii="Arial" w:hAnsi="Arial"/>
            <w:sz w:val="18"/>
            <w:u w:val="single"/>
          </w:rPr>
          <w:delText>                        </w:delText>
        </w:r>
      </w:del>
      <w:del w:id="479" w:author="Preferred Customer" w:date="1999-06-04T16:17:00Z">
        <w:r>
          <w:rPr>
            <w:rFonts w:cs="Arial" w:ascii="Arial" w:hAnsi="Arial"/>
            <w:sz w:val="18"/>
            <w:u w:val="single"/>
          </w:rPr>
          <w:tab/>
          <w:delText xml:space="preserve">  </w:delText>
        </w:r>
      </w:del>
      <w:del w:id="480" w:author="Preferred Customer" w:date="1999-06-04T16:21:00Z">
        <w:r>
          <w:rPr>
            <w:rFonts w:cs="Arial" w:ascii="Arial" w:hAnsi="Arial"/>
            <w:sz w:val="18"/>
            <w:u w:val="single"/>
          </w:rPr>
          <w:delText>                               </w:delText>
        </w:r>
      </w:del>
      <w:del w:id="481" w:author="Preferred Customer" w:date="1999-06-04T16:05:00Z">
        <w:r>
          <w:rPr>
            <w:rFonts w:cs="Arial" w:ascii="Arial" w:hAnsi="Arial"/>
            <w:sz w:val="18"/>
            <w:u w:val="single"/>
          </w:rPr>
          <w:delText>    </w:delText>
        </w:r>
      </w:del>
      <w:r>
        <w:rPr>
          <w:rFonts w:cs="Arial" w:ascii="Arial" w:hAnsi="Arial"/>
          <w:sz w:val="18"/>
        </w:rPr>
        <w:t xml:space="preserve">    By</w:t>
      </w:r>
      <w:ins w:id="482" w:author="Preferred Customer" w:date="1999-06-04T16:22:00Z">
        <w:r>
          <w:rPr>
            <w:rFonts w:cs="Arial" w:ascii="Arial" w:hAnsi="Arial"/>
            <w:sz w:val="18"/>
            <w:u w:val="single"/>
          </w:rPr>
          <w:t xml:space="preserve">    _____________________________________________________</w:t>
        </w:r>
      </w:ins>
      <w:del w:id="483" w:author="Preferred Customer" w:date="1999-06-04T16:22:00Z">
        <w:r>
          <w:rPr>
            <w:rFonts w:cs="Arial" w:ascii="Arial" w:hAnsi="Arial"/>
            <w:sz w:val="18"/>
            <w:u w:val="single"/>
          </w:rPr>
          <w:delText>                                </w:delText>
        </w:r>
      </w:del>
      <w:del w:id="484" w:author="Preferred Customer" w:date="1999-06-04T16:17:00Z">
        <w:r>
          <w:rPr>
            <w:rFonts w:cs="Arial" w:ascii="Arial" w:hAnsi="Arial"/>
            <w:sz w:val="18"/>
            <w:u w:val="single"/>
          </w:rPr>
          <w:delText xml:space="preserve">  </w:delText>
        </w:r>
      </w:del>
      <w:del w:id="485" w:author="Preferred Customer" w:date="1999-06-04T16:22:00Z">
        <w:r>
          <w:rPr>
            <w:rFonts w:cs="Arial" w:ascii="Arial" w:hAnsi="Arial"/>
            <w:sz w:val="18"/>
            <w:u w:val="single"/>
          </w:rPr>
          <w:delText> </w:delText>
          <w:tab/>
          <w:tab/>
          <w:delText>                                    </w:delText>
        </w:r>
      </w:del>
      <w:del w:id="486" w:author="Preferred Customer" w:date="1999-06-04T16:07:00Z">
        <w:r>
          <w:rPr>
            <w:rFonts w:cs="Arial" w:ascii="Arial" w:hAnsi="Arial"/>
            <w:sz w:val="18"/>
            <w:u w:val="single"/>
          </w:rPr>
          <w:delText>    </w:delText>
        </w:r>
      </w:del>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Name</w:t>
      </w:r>
      <w:ins w:id="487" w:author="Preferred Customer" w:date="1999-06-04T16:22:00Z">
        <w:r>
          <w:rPr>
            <w:rFonts w:cs="Arial" w:ascii="Arial" w:hAnsi="Arial"/>
            <w:sz w:val="18"/>
          </w:rPr>
          <w:t xml:space="preserve">  ___________________________________________</w:t>
        </w:r>
      </w:ins>
      <w:del w:id="488" w:author="Preferred Customer" w:date="1999-06-04T16:22:00Z">
        <w:r>
          <w:rPr>
            <w:rFonts w:cs="Arial" w:ascii="Arial" w:hAnsi="Arial"/>
            <w:sz w:val="18"/>
          </w:rPr>
          <w:delText xml:space="preserve">   </w:delText>
        </w:r>
      </w:del>
      <w:del w:id="489" w:author="Preferred Customer" w:date="1999-06-04T16:22:00Z">
        <w:r>
          <w:rPr>
            <w:rFonts w:cs="Arial" w:ascii="Arial" w:hAnsi="Arial"/>
            <w:sz w:val="18"/>
            <w:u w:val="single"/>
          </w:rPr>
          <w:delText>              </w:delText>
        </w:r>
      </w:del>
      <w:del w:id="490" w:author="Preferred Customer" w:date="1999-06-04T16:17:00Z">
        <w:r>
          <w:rPr>
            <w:rFonts w:cs="Arial" w:ascii="Arial" w:hAnsi="Arial"/>
            <w:sz w:val="18"/>
            <w:u w:val="single"/>
          </w:rPr>
          <w:delText xml:space="preserve"> </w:delText>
        </w:r>
      </w:del>
      <w:del w:id="491" w:author="Preferred Customer" w:date="1999-06-04T16:22:00Z">
        <w:r>
          <w:rPr>
            <w:rFonts w:cs="Arial" w:ascii="Arial" w:hAnsi="Arial"/>
            <w:sz w:val="18"/>
            <w:u w:val="single"/>
          </w:rPr>
          <w:delText>                          </w:delText>
        </w:r>
      </w:del>
      <w:del w:id="492" w:author="Preferred Customer" w:date="1999-06-04T16:17:00Z">
        <w:r>
          <w:rPr>
            <w:rFonts w:cs="Arial" w:ascii="Arial" w:hAnsi="Arial"/>
            <w:sz w:val="18"/>
            <w:u w:val="single"/>
          </w:rPr>
          <w:tab/>
          <w:delText xml:space="preserve">   </w:delText>
        </w:r>
      </w:del>
      <w:del w:id="493" w:author="Preferred Customer" w:date="1999-06-04T16:22:00Z">
        <w:r>
          <w:rPr>
            <w:rFonts w:cs="Arial" w:ascii="Arial" w:hAnsi="Arial"/>
            <w:sz w:val="18"/>
            <w:u w:val="single"/>
          </w:rPr>
          <w:delText>                            </w:delText>
        </w:r>
      </w:del>
      <w:del w:id="494" w:author="Preferred Customer" w:date="1999-06-04T16:19:00Z">
        <w:r>
          <w:rPr>
            <w:rFonts w:cs="Arial" w:ascii="Arial" w:hAnsi="Arial"/>
            <w:sz w:val="18"/>
            <w:u w:val="single"/>
          </w:rPr>
          <w:delText xml:space="preserve"> </w:delText>
        </w:r>
      </w:del>
      <w:del w:id="495" w:author="Preferred Customer" w:date="1999-06-04T16:22:00Z">
        <w:r>
          <w:rPr>
            <w:rFonts w:cs="Arial" w:ascii="Arial" w:hAnsi="Arial"/>
            <w:sz w:val="18"/>
            <w:u w:val="single"/>
          </w:rPr>
          <w:delText> </w:delText>
        </w:r>
      </w:del>
      <w:del w:id="496" w:author="Preferred Customer" w:date="1999-06-04T16:05:00Z">
        <w:r>
          <w:rPr>
            <w:rFonts w:cs="Arial" w:ascii="Arial" w:hAnsi="Arial"/>
            <w:sz w:val="18"/>
            <w:u w:val="single"/>
          </w:rPr>
          <w:delText>    </w:delText>
        </w:r>
      </w:del>
      <w:r>
        <w:rPr>
          <w:rFonts w:cs="Arial" w:ascii="Arial" w:hAnsi="Arial"/>
          <w:sz w:val="18"/>
        </w:rPr>
        <w:t xml:space="preserve">    Name</w:t>
      </w:r>
      <w:ins w:id="497" w:author="Preferred Customer" w:date="1999-06-04T16:23:00Z">
        <w:r>
          <w:rPr>
            <w:rFonts w:cs="Arial" w:ascii="Arial" w:hAnsi="Arial"/>
            <w:sz w:val="18"/>
            <w:u w:val="single"/>
          </w:rPr>
          <w:t>____________________________________________________</w:t>
        </w:r>
      </w:ins>
      <w:del w:id="498" w:author="Preferred Customer" w:date="1999-06-04T16:23:00Z">
        <w:r>
          <w:rPr>
            <w:rFonts w:cs="Arial" w:ascii="Arial" w:hAnsi="Arial"/>
            <w:sz w:val="18"/>
          </w:rPr>
          <w:delText xml:space="preserve">   </w:delText>
        </w:r>
      </w:del>
      <w:del w:id="499" w:author="Preferred Customer" w:date="1999-06-04T16:23:00Z">
        <w:r>
          <w:rPr>
            <w:rFonts w:cs="Arial" w:ascii="Arial" w:hAnsi="Arial"/>
            <w:sz w:val="18"/>
            <w:u w:val="single"/>
          </w:rPr>
          <w:delText>                 </w:delText>
          <w:tab/>
          <w:delText>            </w:delText>
        </w:r>
      </w:del>
      <w:del w:id="500" w:author="Preferred Customer" w:date="1999-06-04T16:17:00Z">
        <w:r>
          <w:rPr>
            <w:rFonts w:cs="Arial" w:ascii="Arial" w:hAnsi="Arial"/>
            <w:sz w:val="18"/>
            <w:u w:val="single"/>
          </w:rPr>
          <w:delText xml:space="preserve">                  </w:delText>
        </w:r>
      </w:del>
      <w:del w:id="501" w:author="Preferred Customer" w:date="1999-06-04T16:23:00Z">
        <w:r>
          <w:rPr>
            <w:rFonts w:cs="Arial" w:ascii="Arial" w:hAnsi="Arial"/>
            <w:sz w:val="18"/>
            <w:u w:val="single"/>
          </w:rPr>
          <w:delText>                                 </w:delText>
        </w:r>
      </w:del>
      <w:del w:id="502" w:author="Preferred Customer" w:date="1999-06-04T16:07:00Z">
        <w:r>
          <w:rPr>
            <w:rFonts w:cs="Arial" w:ascii="Arial" w:hAnsi="Arial"/>
            <w:sz w:val="18"/>
            <w:u w:val="single"/>
          </w:rPr>
          <w:delText>     </w:delText>
        </w:r>
      </w:del>
    </w:p>
    <w:p>
      <w:pPr>
        <w:pStyle w:val="Normal"/>
        <w:rPr>
          <w:rFonts w:ascii="Arial" w:hAnsi="Arial" w:cs="Arial"/>
          <w:sz w:val="18"/>
        </w:rPr>
      </w:pPr>
      <w:r>
        <w:rPr>
          <w:rFonts w:cs="Arial" w:ascii="Arial" w:hAnsi="Arial"/>
          <w:sz w:val="18"/>
        </w:rPr>
      </w:r>
    </w:p>
    <w:p>
      <w:pPr>
        <w:pStyle w:val="Normal"/>
        <w:rPr>
          <w:rFonts w:ascii="Arial" w:hAnsi="Arial" w:cs="Arial"/>
          <w:sz w:val="18"/>
          <w:u w:val="single"/>
        </w:rPr>
      </w:pPr>
      <w:r>
        <w:rPr>
          <w:rFonts w:cs="Arial" w:ascii="Arial" w:hAnsi="Arial"/>
          <w:sz w:val="18"/>
        </w:rPr>
        <w:t xml:space="preserve">Title     </w:t>
      </w:r>
      <w:ins w:id="503" w:author="Preferred Customer" w:date="1999-06-04T16:23:00Z">
        <w:r>
          <w:rPr>
            <w:rFonts w:cs="Arial" w:ascii="Arial" w:hAnsi="Arial"/>
            <w:sz w:val="18"/>
          </w:rPr>
          <w:t>___________________________________________</w:t>
        </w:r>
      </w:ins>
      <w:r>
        <w:rPr>
          <w:rFonts w:cs="Arial" w:ascii="Arial" w:hAnsi="Arial"/>
          <w:sz w:val="18"/>
        </w:rPr>
        <w:t xml:space="preserve"> </w:t>
      </w:r>
      <w:del w:id="504" w:author="Preferred Customer" w:date="1999-06-04T16:23:00Z">
        <w:r>
          <w:rPr>
            <w:rFonts w:cs="Arial" w:ascii="Arial" w:hAnsi="Arial"/>
            <w:sz w:val="18"/>
            <w:u w:val="single"/>
          </w:rPr>
          <w:delText>              </w:delText>
        </w:r>
      </w:del>
      <w:del w:id="505" w:author="Preferred Customer" w:date="1999-06-04T16:17:00Z">
        <w:r>
          <w:rPr>
            <w:rFonts w:cs="Arial" w:ascii="Arial" w:hAnsi="Arial"/>
            <w:sz w:val="18"/>
            <w:u w:val="single"/>
          </w:rPr>
          <w:delText xml:space="preserve">  </w:delText>
        </w:r>
      </w:del>
      <w:del w:id="506" w:author="Preferred Customer" w:date="1999-06-04T16:23:00Z">
        <w:r>
          <w:rPr>
            <w:rFonts w:cs="Arial" w:ascii="Arial" w:hAnsi="Arial"/>
            <w:sz w:val="18"/>
            <w:u w:val="single"/>
          </w:rPr>
          <w:delText>                               </w:delText>
        </w:r>
      </w:del>
      <w:del w:id="507" w:author="Preferred Customer" w:date="1999-06-04T16:17:00Z">
        <w:r>
          <w:rPr>
            <w:rFonts w:cs="Arial" w:ascii="Arial" w:hAnsi="Arial"/>
            <w:sz w:val="18"/>
            <w:u w:val="single"/>
          </w:rPr>
          <w:delText xml:space="preserve">       </w:delText>
        </w:r>
      </w:del>
      <w:del w:id="508" w:author="Preferred Customer" w:date="1999-06-04T16:23:00Z">
        <w:r>
          <w:rPr>
            <w:rFonts w:cs="Arial" w:ascii="Arial" w:hAnsi="Arial"/>
            <w:sz w:val="18"/>
            <w:u w:val="single"/>
          </w:rPr>
          <w:delText>                 </w:delText>
        </w:r>
      </w:del>
      <w:del w:id="509" w:author="Preferred Customer" w:date="1999-06-04T16:05:00Z">
        <w:r>
          <w:rPr>
            <w:rFonts w:cs="Arial" w:ascii="Arial" w:hAnsi="Arial"/>
            <w:sz w:val="18"/>
            <w:u w:val="single"/>
          </w:rPr>
          <w:delText>     </w:delText>
        </w:r>
      </w:del>
      <w:del w:id="510" w:author="Preferred Customer" w:date="1999-06-04T16:23:00Z">
        <w:r>
          <w:rPr>
            <w:rFonts w:cs="Arial" w:ascii="Arial" w:hAnsi="Arial"/>
            <w:sz w:val="18"/>
            <w:u w:val="single"/>
          </w:rPr>
          <w:delText>   </w:delText>
        </w:r>
      </w:del>
      <w:del w:id="511" w:author="Preferred Customer" w:date="1999-06-04T16:05:00Z">
        <w:r>
          <w:rPr>
            <w:rFonts w:cs="Arial" w:ascii="Arial" w:hAnsi="Arial"/>
            <w:sz w:val="18"/>
            <w:u w:val="single"/>
          </w:rPr>
          <w:delText> </w:delText>
        </w:r>
      </w:del>
      <w:del w:id="512" w:author="Preferred Customer" w:date="1999-06-04T16:23:00Z">
        <w:r>
          <w:rPr>
            <w:rFonts w:cs="Arial" w:ascii="Arial" w:hAnsi="Arial"/>
            <w:sz w:val="18"/>
            <w:u w:val="single"/>
          </w:rPr>
          <w:delText> </w:delText>
        </w:r>
      </w:del>
      <w:r>
        <w:rPr>
          <w:rFonts w:cs="Arial" w:ascii="Arial" w:hAnsi="Arial"/>
          <w:sz w:val="18"/>
        </w:rPr>
        <w:t xml:space="preserve">  </w:t>
      </w:r>
      <w:ins w:id="513" w:author="Preferred Customer" w:date="1999-06-04T16:05:00Z">
        <w:r>
          <w:rPr>
            <w:rFonts w:cs="Arial" w:ascii="Arial" w:hAnsi="Arial"/>
            <w:sz w:val="18"/>
          </w:rPr>
          <w:t xml:space="preserve"> </w:t>
        </w:r>
      </w:ins>
      <w:del w:id="514" w:author="Preferred Customer" w:date="1999-06-04T16:23:00Z">
        <w:r>
          <w:rPr>
            <w:rFonts w:cs="Arial" w:ascii="Arial" w:hAnsi="Arial"/>
            <w:sz w:val="18"/>
          </w:rPr>
          <w:delText xml:space="preserve"> </w:delText>
        </w:r>
      </w:del>
      <w:r>
        <w:rPr>
          <w:rFonts w:cs="Arial" w:ascii="Arial" w:hAnsi="Arial"/>
          <w:sz w:val="18"/>
        </w:rPr>
        <w:t>Title</w:t>
      </w:r>
      <w:del w:id="515" w:author="Preferred Customer" w:date="1999-06-04T16:23:00Z">
        <w:r>
          <w:rPr>
            <w:rFonts w:cs="Arial" w:ascii="Arial" w:hAnsi="Arial"/>
            <w:sz w:val="18"/>
          </w:rPr>
          <w:delText xml:space="preserve">  </w:delText>
        </w:r>
      </w:del>
      <w:ins w:id="516" w:author="Preferred Customer" w:date="1999-06-04T16:23:00Z">
        <w:r>
          <w:rPr>
            <w:rFonts w:cs="Arial" w:ascii="Arial" w:hAnsi="Arial"/>
            <w:sz w:val="18"/>
            <w:u w:val="single"/>
          </w:rPr>
          <w:t>_____________________________________________________</w:t>
        </w:r>
      </w:ins>
      <w:del w:id="517" w:author="Preferred Customer" w:date="1999-06-04T16:23:00Z">
        <w:r>
          <w:rPr>
            <w:rFonts w:cs="Arial" w:ascii="Arial" w:hAnsi="Arial"/>
            <w:sz w:val="18"/>
          </w:rPr>
          <w:delText xml:space="preserve"> </w:delText>
        </w:r>
      </w:del>
      <w:del w:id="518" w:author="Preferred Customer" w:date="1999-06-04T16:23:00Z">
        <w:r>
          <w:rPr>
            <w:rFonts w:cs="Arial" w:ascii="Arial" w:hAnsi="Arial"/>
            <w:sz w:val="18"/>
            <w:u w:val="single"/>
          </w:rPr>
          <w:delText>            </w:delText>
        </w:r>
      </w:del>
      <w:del w:id="519" w:author="Preferred Customer" w:date="1999-06-04T16:17:00Z">
        <w:r>
          <w:rPr>
            <w:rFonts w:cs="Arial" w:ascii="Arial" w:hAnsi="Arial"/>
            <w:sz w:val="18"/>
            <w:u w:val="single"/>
          </w:rPr>
          <w:delText xml:space="preserve">  </w:delText>
        </w:r>
      </w:del>
      <w:del w:id="520" w:author="Preferred Customer" w:date="1999-06-04T16:23:00Z">
        <w:r>
          <w:rPr>
            <w:rFonts w:cs="Arial" w:ascii="Arial" w:hAnsi="Arial"/>
            <w:sz w:val="18"/>
            <w:u w:val="single"/>
          </w:rPr>
          <w:delText>          </w:delText>
          <w:tab/>
          <w:delText>                              </w:delText>
        </w:r>
      </w:del>
      <w:del w:id="521" w:author="Preferred Customer" w:date="1999-06-04T16:17:00Z">
        <w:r>
          <w:rPr>
            <w:rFonts w:cs="Arial" w:ascii="Arial" w:hAnsi="Arial"/>
            <w:sz w:val="18"/>
            <w:u w:val="single"/>
          </w:rPr>
          <w:delText xml:space="preserve">                       </w:delText>
        </w:r>
      </w:del>
      <w:del w:id="522" w:author="Preferred Customer" w:date="1999-06-04T16:23:00Z">
        <w:r>
          <w:rPr>
            <w:rFonts w:cs="Arial" w:ascii="Arial" w:hAnsi="Arial"/>
            <w:sz w:val="18"/>
            <w:u w:val="single"/>
          </w:rPr>
          <w:delText>           </w:delText>
        </w:r>
      </w:del>
      <w:del w:id="523" w:author="Preferred Customer" w:date="1999-06-04T16:07:00Z">
        <w:r>
          <w:rPr>
            <w:rFonts w:cs="Arial" w:ascii="Arial" w:hAnsi="Arial"/>
            <w:sz w:val="18"/>
            <w:u w:val="single"/>
          </w:rPr>
          <w:delText>    </w:delText>
        </w:r>
      </w:del>
    </w:p>
    <w:p>
      <w:pPr>
        <w:pStyle w:val="Normal"/>
        <w:rPr>
          <w:rFonts w:ascii="Arial" w:hAnsi="Arial" w:cs="Arial"/>
          <w:sz w:val="18"/>
          <w:u w:val="single"/>
        </w:rPr>
      </w:pPr>
      <w:r>
        <w:rPr>
          <w:rFonts w:cs="Arial" w:ascii="Arial" w:hAnsi="Arial"/>
          <w:sz w:val="18"/>
          <w:u w:val="single"/>
        </w:rPr>
      </w:r>
    </w:p>
    <w:p>
      <w:pPr>
        <w:pStyle w:val="Normal"/>
        <w:rPr>
          <w:rFonts w:ascii="Arial" w:hAnsi="Arial" w:cs="Arial"/>
          <w:sz w:val="18"/>
        </w:rPr>
      </w:pPr>
      <w:r>
        <w:rPr>
          <w:rFonts w:cs="Arial" w:ascii="Arial" w:hAnsi="Arial"/>
          <w:sz w:val="18"/>
        </w:rPr>
        <w:t>Date Signed</w:t>
        <w:tab/>
      </w:r>
      <w:r>
        <w:rPr>
          <w:rFonts w:cs="Arial" w:ascii="Arial" w:hAnsi="Arial"/>
          <w:sz w:val="18"/>
          <w:u w:val="single"/>
        </w:rPr>
        <w:tab/>
      </w:r>
      <w:del w:id="524" w:author="Preferred Customer" w:date="1999-06-04T16:17:00Z">
        <w:r>
          <w:rPr>
            <w:rFonts w:cs="Arial" w:ascii="Arial" w:hAnsi="Arial"/>
            <w:sz w:val="18"/>
            <w:u w:val="single"/>
          </w:rPr>
          <w:delText xml:space="preserve">   </w:delText>
        </w:r>
      </w:del>
      <w:r>
        <w:rPr>
          <w:rFonts w:cs="Arial" w:ascii="Arial" w:hAnsi="Arial"/>
          <w:sz w:val="18"/>
          <w:u w:val="single"/>
        </w:rPr>
        <w:t>_____________</w:t>
      </w:r>
      <w:del w:id="525" w:author="Preferred Customer" w:date="1999-06-04T16:17:00Z">
        <w:r>
          <w:rPr>
            <w:rFonts w:cs="Arial" w:ascii="Arial" w:hAnsi="Arial"/>
            <w:sz w:val="18"/>
            <w:u w:val="single"/>
          </w:rPr>
          <w:delText xml:space="preserve">  </w:delText>
        </w:r>
      </w:del>
      <w:ins w:id="526" w:author="Preferred Customer" w:date="1999-06-04T16:05:00Z">
        <w:r>
          <w:rPr>
            <w:rFonts w:cs="Arial" w:ascii="Arial" w:hAnsi="Arial"/>
            <w:sz w:val="18"/>
            <w:u w:val="single"/>
          </w:rPr>
          <w:t>_____</w:t>
        </w:r>
      </w:ins>
      <w:ins w:id="527" w:author="Preferred Customer" w:date="1999-06-04T16:24:00Z">
        <w:r>
          <w:rPr>
            <w:rFonts w:cs="Arial" w:ascii="Arial" w:hAnsi="Arial"/>
            <w:sz w:val="18"/>
            <w:u w:val="single"/>
          </w:rPr>
          <w:t>_</w:t>
        </w:r>
      </w:ins>
      <w:ins w:id="528" w:author="Preferred Customer" w:date="1999-06-04T16:05:00Z">
        <w:r>
          <w:rPr>
            <w:rFonts w:cs="Arial" w:ascii="Arial" w:hAnsi="Arial"/>
            <w:sz w:val="18"/>
            <w:u w:val="single"/>
          </w:rPr>
          <w:t>_</w:t>
        </w:r>
      </w:ins>
      <w:del w:id="529" w:author="Preferred Customer" w:date="1999-06-04T16:06:00Z">
        <w:r>
          <w:rPr>
            <w:rFonts w:cs="Arial" w:ascii="Arial" w:hAnsi="Arial"/>
            <w:sz w:val="18"/>
            <w:u w:val="single"/>
          </w:rPr>
          <w:delText xml:space="preserve">     </w:delText>
        </w:r>
      </w:del>
      <w:r>
        <w:rPr>
          <w:rFonts w:cs="Arial" w:ascii="Arial" w:hAnsi="Arial"/>
          <w:sz w:val="18"/>
          <w:u w:val="single"/>
        </w:rPr>
        <w:t xml:space="preserve"> </w:t>
      </w:r>
      <w:r>
        <w:rPr>
          <w:rFonts w:cs="Arial" w:ascii="Arial" w:hAnsi="Arial"/>
          <w:sz w:val="18"/>
        </w:rPr>
        <w:t xml:space="preserve">    Date </w:t>
      </w:r>
      <w:del w:id="530" w:author="Preferred Customer" w:date="1999-06-04T16:25:00Z">
        <w:r>
          <w:rPr>
            <w:rFonts w:cs="Arial" w:ascii="Arial" w:hAnsi="Arial"/>
            <w:sz w:val="18"/>
          </w:rPr>
          <w:delText>S</w:delText>
        </w:r>
      </w:del>
      <w:ins w:id="531" w:author="Preferred Customer" w:date="1999-06-04T16:25:00Z">
        <w:r>
          <w:rPr>
            <w:rFonts w:cs="Arial" w:ascii="Arial" w:hAnsi="Arial"/>
            <w:sz w:val="18"/>
          </w:rPr>
          <w:t>S</w:t>
        </w:r>
      </w:ins>
      <w:r>
        <w:rPr>
          <w:rFonts w:cs="Arial" w:ascii="Arial" w:hAnsi="Arial"/>
          <w:sz w:val="18"/>
        </w:rPr>
        <w:t>igned</w:t>
      </w:r>
      <w:del w:id="532" w:author="Preferred Customer" w:date="1999-06-04T16:17:00Z">
        <w:r>
          <w:rPr>
            <w:rFonts w:cs="Arial" w:ascii="Arial" w:hAnsi="Arial"/>
            <w:sz w:val="18"/>
          </w:rPr>
          <w:delText xml:space="preserve"> </w:delText>
        </w:r>
      </w:del>
      <w:ins w:id="533" w:author="Preferred Customer" w:date="1999-06-04T16:06:00Z">
        <w:r>
          <w:rPr>
            <w:rFonts w:cs="Arial" w:ascii="Arial" w:hAnsi="Arial"/>
            <w:sz w:val="18"/>
            <w:u w:val="single"/>
          </w:rPr>
          <w:t>_________________________________________</w:t>
        </w:r>
      </w:ins>
      <w:ins w:id="534" w:author="Preferred Customer" w:date="1999-06-04T16:24:00Z">
        <w:r>
          <w:rPr>
            <w:rFonts w:cs="Arial" w:ascii="Arial" w:hAnsi="Arial"/>
            <w:sz w:val="18"/>
            <w:u w:val="single"/>
          </w:rPr>
          <w:t>___</w:t>
        </w:r>
      </w:ins>
      <w:ins w:id="535" w:author="Preferred Customer" w:date="1999-06-04T16:06:00Z">
        <w:r>
          <w:rPr>
            <w:rFonts w:cs="Arial" w:ascii="Arial" w:hAnsi="Arial"/>
            <w:sz w:val="18"/>
            <w:u w:val="single"/>
          </w:rPr>
          <w:t>__</w:t>
        </w:r>
      </w:ins>
      <w:del w:id="536" w:author="Preferred Customer" w:date="1999-06-04T16:06:00Z">
        <w:r>
          <w:rPr>
            <w:rFonts w:cs="Arial" w:ascii="Arial" w:hAnsi="Arial"/>
            <w:sz w:val="18"/>
          </w:rPr>
          <w:delText xml:space="preserve">  </w:delText>
        </w:r>
      </w:del>
      <w:del w:id="537" w:author="Preferred Customer" w:date="1999-06-04T16:06:00Z">
        <w:r>
          <w:rPr>
            <w:rFonts w:cs="Arial" w:ascii="Arial" w:hAnsi="Arial"/>
            <w:sz w:val="18"/>
            <w:u w:val="single"/>
          </w:rPr>
          <w:tab/>
          <w:delText xml:space="preserve">___________________________________         </w:delText>
        </w:r>
      </w:del>
    </w:p>
    <w:p>
      <w:pPr>
        <w:pStyle w:val="Header"/>
        <w:tabs>
          <w:tab w:val="clear" w:pos="4320"/>
          <w:tab w:val="clear" w:pos="8640"/>
        </w:tabs>
        <w:rPr>
          <w:rFonts w:ascii="Arial" w:hAnsi="Arial" w:cs="Arial"/>
          <w:sz w:val="18"/>
        </w:rPr>
      </w:pPr>
      <w:r>
        <w:rPr>
          <w:rFonts w:cs="Arial" w:ascii="Arial" w:hAnsi="Arial"/>
          <w:sz w:val="18"/>
        </w:rPr>
      </w:r>
    </w:p>
    <w:sectPr>
      <w:headerReference w:type="default" r:id="rId12"/>
      <w:headerReference w:type="first" r:id="rId13"/>
      <w:footerReference w:type="default" r:id="rId14"/>
      <w:footerReference w:type="first" r:id="rId15"/>
      <w:type w:val="nextPage"/>
      <w:pgSz w:w="12240" w:h="15840"/>
      <w:pgMar w:left="720" w:right="720" w:gutter="0" w:header="720" w:top="99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b/>
        <w:smallCaps/>
        <w:sz w:val="16"/>
      </w:rPr>
    </w:pPr>
    <w:r>
      <w:rPr>
        <w:b/>
        <w:smallCap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smallCaps/>
        <w:sz w:val="16"/>
        <w:ins w:id="230" w:author="Preferred Customer" w:date="1999-06-04T16:41:00Z"/>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2">
              <wp:simplePos x="0" y="0"/>
              <wp:positionH relativeFrom="page">
                <wp:posOffset>3841115</wp:posOffset>
              </wp:positionH>
              <wp:positionV relativeFrom="paragraph">
                <wp:posOffset>53340</wp:posOffset>
              </wp:positionV>
              <wp:extent cx="355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556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p>
    <w:pPr>
      <w:pStyle w:val="Footer"/>
      <w:rPr>
        <w:smallCaps/>
        <w:sz w:val="16"/>
      </w:rPr>
    </w:pPr>
    <w:ins w:id="231" w:author="Preferred Customer" w:date="1999-06-04T16:41:00Z">
      <w:r>
        <w:rPr>
          <w:smallCaps/>
          <w:sz w:val="16"/>
        </w:rPr>
        <w:t>6/4/99</w:t>
      </w:r>
    </w:ins>
  </w:p>
  <w:p>
    <w:pPr>
      <w:pStyle w:val="Footer"/>
      <w:jc w:val="center"/>
      <w:rPr>
        <w:smallCaps/>
        <w:sz w:val="16"/>
      </w:rPr>
    </w:pPr>
    <w:r>
      <w:rPr>
        <w:smallCap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4">
              <wp:simplePos x="0" y="0"/>
              <wp:positionH relativeFrom="page">
                <wp:posOffset>3841115</wp:posOffset>
              </wp:positionH>
              <wp:positionV relativeFrom="paragraph">
                <wp:posOffset>53340</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mallCaps/>
        <w:sz w:val="16"/>
      </w:rPr>
    </w:pPr>
    <w:r>
      <w:rPr>
        <w:smallCaps/>
        <w:sz w:val="16"/>
      </w:rPr>
      <w:t>6/4/99</w:t>
    </w:r>
  </w:p>
  <w:p>
    <w:pPr>
      <w:pStyle w:val="Footer"/>
      <w:jc w:val="center"/>
      <w:rPr>
        <w:smallCaps/>
        <w:sz w:val="16"/>
      </w:rPr>
    </w:pPr>
    <w:r>
      <w:rPr>
        <w:smallCaps/>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mallCaps/>
        <w:sz w:val="16"/>
      </w:rPr>
    </w:pPr>
    <w:r>
      <w:rPr>
        <w:b/>
        <w:smallCaps/>
        <w:sz w:val="16"/>
      </w:rPr>
    </w:r>
  </w:p>
  <w:p>
    <w:pPr>
      <w:pStyle w:val="Footer"/>
      <w:rPr/>
    </w:pPr>
    <w:r>
      <w:rPr>
        <w:sz w:val="16"/>
      </w:rPr>
      <w:t xml:space="preserve">ERCOT </w:t>
    </w:r>
    <w:r>
      <w:rPr>
        <w:smallCaps/>
        <w:sz w:val="16"/>
      </w:rPr>
      <w:t>Wholesale Electricity Enabling Agreement</w:t>
    </w:r>
    <w:r>
      <mc:AlternateContent>
        <mc:Choice Requires="wps">
          <w:drawing>
            <wp:anchor behindDoc="0" distT="0" distB="0" distL="0" distR="0" simplePos="0" locked="0" layoutInCell="0" allowOverlap="1" relativeHeight="32">
              <wp:simplePos x="0" y="0"/>
              <wp:positionH relativeFrom="page">
                <wp:posOffset>3841115</wp:posOffset>
              </wp:positionH>
              <wp:positionV relativeFrom="paragraph">
                <wp:posOffset>53340</wp:posOffset>
              </wp:positionV>
              <wp:extent cx="1276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4.2pt;mso-position-vertical-relative:text;margin-left:302.45pt;mso-position-horizontal-relative:page">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p>
    <w:pPr>
      <w:pStyle w:val="Footer"/>
      <w:rPr>
        <w:smallCaps/>
        <w:sz w:val="16"/>
      </w:rPr>
    </w:pPr>
    <w:r>
      <w:rPr>
        <w:smallCaps/>
        <w:sz w:val="16"/>
      </w:rPr>
      <w:t>6/4/99</w:t>
    </w:r>
  </w:p>
  <w:p>
    <w:pPr>
      <w:pStyle w:val="Footer"/>
      <w:jc w:val="center"/>
      <w:rPr>
        <w:smallCaps/>
        <w:sz w:val="16"/>
      </w:rPr>
    </w:pPr>
    <w:r>
      <w:rPr>
        <w:smallCaps/>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del w:id="225" w:author="Preferred Customer" w:date="1999-06-04T16:32:00Z"/>
      </w:rPr>
    </w:pPr>
    <w:del w:id="224" w:author="Preferred Customer" w:date="1999-06-04T16:32:00Z">
      <w:r>
        <w:rPr/>
        <w:delText>VERSION #9</w:delText>
      </w:r>
    </w:del>
  </w:p>
  <w:p>
    <w:pPr>
      <w:pStyle w:val="Header"/>
      <w:jc w:val="end"/>
      <w:rPr/>
    </w:pPr>
    <w:del w:id="226" w:author="Preferred Customer" w:date="1999-06-04T16:32:00Z">
      <w:r>
        <w:rPr/>
        <w:delText>5</w:delText>
      </w:r>
    </w:del>
    <w:del w:id="227" w:author="Preferred Customer" w:date="1999-06-04T16:40:00Z">
      <w:r>
        <w:rPr/>
        <w:delText>/</w:delText>
      </w:r>
    </w:del>
    <w:del w:id="228" w:author="Preferred Customer" w:date="1999-06-04T16:32:00Z">
      <w:r>
        <w:rPr/>
        <w:delText>26</w:delText>
      </w:r>
    </w:del>
    <w:del w:id="229" w:author="Preferred Customer" w:date="1999-06-04T16:40:00Z">
      <w:r>
        <w:rPr/>
        <w:delText>/99</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VERSION #9</w:t>
    </w:r>
  </w:p>
  <w:p>
    <w:pPr>
      <w:pStyle w:val="Header"/>
      <w:jc w:val="end"/>
      <w:rPr/>
    </w:pPr>
    <w:r>
      <w:rPr/>
      <w:t>5/26/99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del w:id="539" w:author="Preferred Customer" w:date="1999-06-04T16:32:00Z"/>
      </w:rPr>
    </w:pPr>
    <w:del w:id="538" w:author="Preferred Customer" w:date="1999-06-04T16:32:00Z">
      <w:r>
        <w:rPr/>
        <w:delText>VERSION #9</w:delText>
      </w:r>
    </w:del>
  </w:p>
  <w:p>
    <w:pPr>
      <w:pStyle w:val="Header"/>
      <w:jc w:val="end"/>
      <w:rPr/>
    </w:pPr>
    <w:del w:id="540" w:author="Preferred Customer" w:date="1999-06-04T16:32:00Z">
      <w:r>
        <w:rPr/>
        <w:delText>5</w:delText>
      </w:r>
    </w:del>
    <w:del w:id="541" w:author="Preferred Customer" w:date="1999-06-04T16:42:00Z">
      <w:r>
        <w:rPr/>
        <w:delText>/</w:delText>
      </w:r>
    </w:del>
    <w:del w:id="542" w:author="Preferred Customer" w:date="1999-06-04T16:32:00Z">
      <w:r>
        <w:rPr/>
        <w:delText>26</w:delText>
      </w:r>
    </w:del>
    <w:del w:id="543" w:author="Preferred Customer" w:date="1999-06-04T16:42:00Z">
      <w:r>
        <w:rPr/>
        <w:delText>/99</w:delText>
      </w:r>
    </w:del>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rPr/>
    </w:lvl>
    <w:lvl w:ilvl="1">
      <w:start w:val="5"/>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7"/>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5"/>
      <w:numFmt w:val="decimal"/>
      <w:lvlText w:val="%1"/>
      <w:lvlJc w:val="start"/>
      <w:pPr>
        <w:tabs>
          <w:tab w:val="num" w:pos="360"/>
        </w:tabs>
        <w:ind w:start="360" w:hanging="360"/>
      </w:pPr>
      <w:rPr/>
    </w:lvl>
    <w:lvl w:ilvl="1">
      <w:start w:val="5"/>
      <w:numFmt w:val="decimal"/>
      <w:lvlText w:val="%2.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2"/>
      <w:numFmt w:val="decimal"/>
      <w:lvlText w:val="%1"/>
      <w:lvlJc w:val="start"/>
      <w:pPr>
        <w:tabs>
          <w:tab w:val="num" w:pos="360"/>
        </w:tabs>
        <w:ind w:start="360" w:hanging="360"/>
      </w:pPr>
      <w:rPr/>
    </w:lvl>
    <w:lvl w:ilvl="1">
      <w:start w:val="3"/>
      <w:numFmt w:val="decimal"/>
      <w:lvlText w:val="%2.1"/>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360"/>
        </w:tabs>
        <w:ind w:start="360" w:hanging="360"/>
      </w:pPr>
      <w:rPr>
        <w:i w:val="false"/>
        <w:b w:val="false"/>
      </w:rPr>
    </w:lvl>
    <w:lvl w:ilvl="1">
      <w:start w:val="4"/>
      <w:numFmt w:val="decimal"/>
      <w:lvlText w:val="%2.1"/>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1"/>
      <w:numFmt w:val="upperLetter"/>
      <w:lvlText w:val="%1."/>
      <w:lvlJc w:val="start"/>
      <w:pPr>
        <w:tabs>
          <w:tab w:val="num" w:pos="360"/>
        </w:tabs>
        <w:ind w:start="360" w:hanging="360"/>
      </w:pPr>
    </w:lvl>
  </w:abstractNum>
  <w:abstractNum w:abstractNumId="9">
    <w:lvl w:ilvl="0">
      <w:start w:val="4"/>
      <w:numFmt w:val="decimal"/>
      <w:lvlText w:val="%1"/>
      <w:lvlJc w:val="start"/>
      <w:pPr>
        <w:tabs>
          <w:tab w:val="num" w:pos="360"/>
        </w:tabs>
        <w:ind w:start="360" w:hanging="360"/>
      </w:pPr>
      <w:rPr>
        <w:i w:val="false"/>
        <w:b w:val="false"/>
      </w:rPr>
    </w:lvl>
    <w:lvl w:ilvl="1">
      <w:start w:val="4"/>
      <w:numFmt w:val="decimal"/>
      <w:lvlText w:val="%2.2"/>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1"/>
      <w:numFmt w:val="lowerRoman"/>
      <w:lvlText w:val="(%1)"/>
      <w:lvlJc w:val="start"/>
      <w:pPr>
        <w:tabs>
          <w:tab w:val="num" w:pos="1440"/>
        </w:tabs>
        <w:ind w:start="1440" w:hanging="720"/>
      </w:pPr>
      <w:rPr/>
    </w:lvl>
  </w:abstractNum>
  <w:abstractNum w:abstractNumId="11">
    <w:lvl w:ilvl="0">
      <w:start w:val="5"/>
      <w:numFmt w:val="decimal"/>
      <w:lvlText w:val="%1"/>
      <w:lvlJc w:val="start"/>
      <w:pPr>
        <w:tabs>
          <w:tab w:val="num" w:pos="360"/>
        </w:tabs>
        <w:ind w:start="360" w:hanging="360"/>
      </w:pPr>
      <w:rPr/>
    </w:lvl>
    <w:lvl w:ilvl="1">
      <w:start w:val="5"/>
      <w:numFmt w:val="decimal"/>
      <w:lvlText w:val="%2.5"/>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20"/>
      <w:numFmt w:val="decimal"/>
      <w:lvlText w:val="%1"/>
      <w:lvlJc w:val="start"/>
      <w:pPr>
        <w:tabs>
          <w:tab w:val="num" w:pos="360"/>
        </w:tabs>
        <w:ind w:start="360" w:hanging="360"/>
      </w:pPr>
      <w:rPr/>
    </w:lvl>
    <w:lvl w:ilvl="1">
      <w:start w:val="20"/>
      <w:numFmt w:val="decimal"/>
      <w:lvlText w:val="%2.14"/>
      <w:lvlJc w:val="start"/>
      <w:pPr>
        <w:tabs>
          <w:tab w:val="num" w:pos="144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9"/>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20"/>
      <w:numFmt w:val="decimal"/>
      <w:lvlText w:val="%1"/>
      <w:lvlJc w:val="start"/>
      <w:pPr>
        <w:tabs>
          <w:tab w:val="num" w:pos="420"/>
        </w:tabs>
        <w:ind w:start="420" w:hanging="420"/>
      </w:pPr>
      <w:rPr/>
    </w:lvl>
    <w:lvl w:ilvl="1">
      <w:start w:val="9"/>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
    <w:lvl w:ilvl="0">
      <w:start w:val="1"/>
      <w:numFmt w:val="lowerLetter"/>
      <w:lvlText w:val="(%1)"/>
      <w:lvlJc w:val="start"/>
      <w:pPr>
        <w:tabs>
          <w:tab w:val="num" w:pos="1830"/>
        </w:tabs>
        <w:ind w:start="1830" w:hanging="390"/>
      </w:pPr>
      <w:rPr/>
    </w:lvl>
  </w:abstractNum>
  <w:abstractNum w:abstractNumId="17">
    <w:lvl w:ilvl="0">
      <w:start w:val="5"/>
      <w:numFmt w:val="decimal"/>
      <w:lvlText w:val="%1"/>
      <w:lvlJc w:val="start"/>
      <w:pPr>
        <w:tabs>
          <w:tab w:val="num" w:pos="360"/>
        </w:tabs>
        <w:ind w:start="360" w:hanging="360"/>
      </w:pPr>
      <w:rPr/>
    </w:lvl>
    <w:lvl w:ilvl="1">
      <w:start w:val="5"/>
      <w:numFmt w:val="decimal"/>
      <w:lvlText w:val="%2.4"/>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8">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4"/>
      <w:numFmt w:val="decimal"/>
      <w:lvlText w:val=""/>
      <w:lvlJc w:val="start"/>
      <w:pPr>
        <w:ind w:start="360" w:hanging="360"/>
      </w:pPr>
      <w:rPr>
        <w:rFonts w:ascii="Symbol" w:hAnsi="Symbol" w:cs="Symbol"/>
      </w:rPr>
    </w:lvl>
  </w:abstractNum>
  <w:abstractNum w:abstractNumId="20">
    <w:lvl w:ilvl="0">
      <w:start w:val="4"/>
      <w:numFmt w:val="none"/>
      <w:suff w:val="nothing"/>
      <w:lvlText w:val="5"/>
      <w:lvlJc w:val="start"/>
      <w:pPr>
        <w:tabs>
          <w:tab w:val="num" w:pos="360"/>
        </w:tabs>
        <w:ind w:start="360" w:hanging="360"/>
      </w:pPr>
      <w:rPr>
        <w:i w:val="false"/>
        <w:b w:val="false"/>
      </w:rPr>
    </w:lvl>
    <w:lvl w:ilvl="1">
      <w:start w:val="5"/>
      <w:numFmt w:val="decimal"/>
      <w:lvlText w:val="%2.3"/>
      <w:lvlJc w:val="start"/>
      <w:pPr>
        <w:tabs>
          <w:tab w:val="num" w:pos="1080"/>
        </w:tabs>
        <w:ind w:start="1080" w:hanging="36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75"/>
  <w:revisionView w:insDel="0" w:formatting="0"/>
  <w:trackRevisions/>
  <w:defaultTabStop w:val="144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both"/>
      <w:outlineLvl w:val="0"/>
    </w:pPr>
    <w:rPr>
      <w:rFonts w:ascii="Times New Roman Bold" w:hAnsi="Times New Roman Bold" w:cs="Times New Roman Bold"/>
      <w:b/>
      <w:kern w:val="2"/>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b w:val="false"/>
      <w:i w:val="fals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b w:val="false"/>
      <w:i w:val="false"/>
      <w:sz w:val="24"/>
      <w:u w:val="none"/>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Times New Roman Bold" w:hAnsi="Times New Roman Bold" w:cs="BauerBodoni-Bold;Arial Rounded MT Bold"/>
      <w:b/>
      <w:i w:val="false"/>
      <w:sz w:val="24"/>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b w:val="false"/>
      <w:i w:val="false"/>
    </w:rPr>
  </w:style>
  <w:style w:type="character" w:styleId="WW8Num49z2">
    <w:name w:val="WW8Num49z2"/>
    <w:qFormat/>
    <w:rPr/>
  </w:style>
  <w:style w:type="character" w:styleId="WW8Num50z0">
    <w:name w:val="WW8Num50z0"/>
    <w:qFormat/>
    <w:rPr/>
  </w:style>
  <w:style w:type="character" w:styleId="WW8Num51z0">
    <w:name w:val="WW8Num51z0"/>
    <w:qFormat/>
    <w:rPr>
      <w:b w:val="false"/>
      <w:i w:val="false"/>
    </w:rPr>
  </w:style>
  <w:style w:type="character" w:styleId="WW8Num51z2">
    <w:name w:val="WW8Num51z2"/>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val="false"/>
      <w:i w:val="false"/>
    </w:rPr>
  </w:style>
  <w:style w:type="character" w:styleId="WW8Num64z2">
    <w:name w:val="WW8Num64z2"/>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b w:val="false"/>
      <w:i w:val="false"/>
    </w:rPr>
  </w:style>
  <w:style w:type="character" w:styleId="WW8Num78z1">
    <w:name w:val="WW8Num78z1"/>
    <w:qFormat/>
    <w:rPr/>
  </w:style>
  <w:style w:type="character" w:styleId="WW8Num79z0">
    <w:name w:val="WW8Num79z0"/>
    <w:qFormat/>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style>
  <w:style w:type="character" w:styleId="WW8Num85z1">
    <w:name w:val="WW8Num85z1"/>
    <w:qFormat/>
    <w:rPr>
      <w:b w:val="false"/>
      <w:i w:val="fals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2z1">
    <w:name w:val="WW8Num92z1"/>
    <w:qFormat/>
    <w:rPr>
      <w:b w:val="false"/>
      <w:i w:val="false"/>
    </w:rPr>
  </w:style>
  <w:style w:type="character" w:styleId="WW8Num93z0">
    <w:name w:val="WW8Num93z0"/>
    <w:qFormat/>
    <w:rPr/>
  </w:style>
  <w:style w:type="character" w:styleId="WW8Num93z1">
    <w:name w:val="WW8Num93z1"/>
    <w:qFormat/>
    <w:rPr>
      <w:b w:val="false"/>
      <w:i w:val="false"/>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style>
  <w:style w:type="character" w:styleId="WW8Num99z0">
    <w:name w:val="WW8Num99z0"/>
    <w:qFormat/>
    <w:rPr>
      <w:b w:val="false"/>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7z1">
    <w:name w:val="WW8Num107z1"/>
    <w:qFormat/>
    <w:rPr>
      <w:b w:val="false"/>
      <w:i w:val="false"/>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0z1">
    <w:name w:val="WW8Num110z1"/>
    <w:qFormat/>
    <w:rPr>
      <w:b w:val="false"/>
      <w:i w:val="false"/>
    </w:rPr>
  </w:style>
  <w:style w:type="character" w:styleId="WW8Num111z0">
    <w:name w:val="WW8Num111z0"/>
    <w:qFormat/>
    <w:rPr>
      <w:rFonts w:ascii="Times New Roman" w:hAnsi="Times New Roman" w:cs="Times New Roman"/>
      <w:b w:val="false"/>
      <w:i w:val="false"/>
      <w:sz w:val="24"/>
      <w:u w:val="none"/>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b w:val="false"/>
      <w:i w:val="false"/>
      <w:sz w:val="24"/>
      <w:u w:val="none"/>
    </w:rPr>
  </w:style>
  <w:style w:type="character" w:styleId="WW8Num115z0">
    <w:name w:val="WW8Num115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2z1">
    <w:name w:val="WW8Num122z1"/>
    <w:qFormat/>
    <w:rPr>
      <w:b w:val="false"/>
      <w:i w:val="false"/>
    </w:rPr>
  </w:style>
  <w:style w:type="character" w:styleId="WW8Num123z0">
    <w:name w:val="WW8Num123z0"/>
    <w:qFormat/>
    <w:rPr>
      <w:rFonts w:ascii="Times New Roman" w:hAnsi="Times New Roman" w:cs="Times New Roman"/>
      <w:b w:val="false"/>
      <w:i w:val="false"/>
      <w:sz w:val="24"/>
      <w:u w:val="none"/>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b w:val="false"/>
      <w:i w:val="false"/>
    </w:rPr>
  </w:style>
  <w:style w:type="character" w:styleId="WW8Num144z2">
    <w:name w:val="WW8Num144z2"/>
    <w:qFormat/>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b w:val="false"/>
      <w:i w:val="false"/>
    </w:rPr>
  </w:style>
  <w:style w:type="character" w:styleId="WW8Num164z2">
    <w:name w:val="WW8Num164z2"/>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1z0">
    <w:name w:val="WW8Num171z0"/>
    <w:qFormat/>
    <w:rPr/>
  </w:style>
  <w:style w:type="character" w:styleId="WW8Num172z0">
    <w:name w:val="WW8Num172z0"/>
    <w:qFormat/>
    <w:rPr/>
  </w:style>
  <w:style w:type="character" w:styleId="WW8NumSt4z0">
    <w:name w:val="WW8NumSt4z0"/>
    <w:qFormat/>
    <w:rPr>
      <w:rFonts w:ascii="Times New Roman" w:hAnsi="Times New Roman" w:cs="Times New Roman"/>
      <w:b w:val="false"/>
      <w:i w:val="false"/>
      <w:sz w:val="24"/>
      <w:u w:val="none"/>
    </w:rPr>
  </w:style>
  <w:style w:type="character" w:styleId="WW8NumSt175z0">
    <w:name w:val="WW8NumSt175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outtext">
    <w:name w:val="outtext"/>
    <w:basedOn w:val="DefaultParagraphFont"/>
    <w:qFormat/>
    <w:rPr>
      <w:color w:val="00000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Style11">
    <w:name w:val="Style1"/>
    <w:basedOn w:val="Heading1"/>
    <w:next w:val="TOC2"/>
    <w:qFormat/>
    <w:pPr>
      <w:numPr>
        <w:ilvl w:val="0"/>
        <w:numId w:val="0"/>
      </w:numPr>
      <w:outlineLvl w:val="9"/>
    </w:pPr>
    <w:rPr>
      <w:rFonts w:ascii="Times New Roman" w:hAnsi="Times New Roman" w:cs="Times New Roman"/>
    </w:rPr>
  </w:style>
  <w:style w:type="paragraph" w:styleId="TOC2">
    <w:name w:val="toc 2"/>
    <w:basedOn w:val="Normal"/>
    <w:next w:val="Normal"/>
    <w:pPr>
      <w:tabs>
        <w:tab w:val="clear" w:pos="1440"/>
        <w:tab w:val="right" w:pos="10790" w:leader="dot"/>
      </w:tabs>
      <w:ind w:hanging="0" w:start="432" w:end="0"/>
      <w:jc w:val="both"/>
    </w:pPr>
    <w:rPr>
      <w:rFonts w:ascii="Times New Roman Bold" w:hAnsi="Times New Roman Bold" w:cs="Times New Roman Bold"/>
      <w:b/>
      <w:sz w:val="24"/>
      <w:lang w:val="en-CA"/>
    </w:rPr>
  </w:style>
  <w:style w:type="paragraph" w:styleId="TOC1">
    <w:name w:val="toc 1"/>
    <w:basedOn w:val="Normal"/>
    <w:pPr>
      <w:tabs>
        <w:tab w:val="clear" w:pos="1440"/>
        <w:tab w:val="right" w:pos="8630" w:leader="dot"/>
      </w:tabs>
      <w:ind w:hanging="0" w:start="187" w:end="0"/>
      <w:jc w:val="both"/>
    </w:pPr>
    <w:rPr>
      <w:b/>
      <w:sz w:val="24"/>
      <w:lang w:val="en-CA"/>
    </w:rPr>
  </w:style>
  <w:style w:type="paragraph" w:styleId="TOC9">
    <w:name w:val="toc 9"/>
    <w:basedOn w:val="Normal"/>
    <w:next w:val="Normal"/>
    <w:pPr>
      <w:ind w:hanging="0" w:start="1600" w:end="0"/>
    </w:pPr>
    <w:rPr/>
  </w:style>
  <w:style w:type="paragraph" w:styleId="Footer">
    <w:name w:val="footer"/>
    <w:basedOn w:val="Normal"/>
    <w:pPr>
      <w:tabs>
        <w:tab w:val="clear" w:pos="1440"/>
        <w:tab w:val="center" w:pos="4320" w:leader="none"/>
        <w:tab w:val="right" w:pos="8640" w:leader="none"/>
      </w:tabs>
    </w:pPr>
    <w:rPr/>
  </w:style>
  <w:style w:type="paragraph" w:styleId="TOC3">
    <w:name w:val="toc 3"/>
    <w:basedOn w:val="Normal"/>
    <w:next w:val="Normal"/>
    <w:pPr>
      <w:tabs>
        <w:tab w:val="clear" w:pos="1440"/>
        <w:tab w:val="left" w:pos="990" w:leader="none"/>
        <w:tab w:val="right" w:pos="10260" w:leader="dot"/>
      </w:tabs>
      <w:ind w:hanging="0" w:start="576" w:end="0"/>
      <w:jc w:val="both"/>
    </w:pPr>
    <w:rPr>
      <w:rFonts w:ascii="Times New Roman Bold" w:hAnsi="Times New Roman Bold" w:cs="Times New Roman Bold"/>
      <w:b/>
      <w:sz w:val="22"/>
      <w:u w:val="single"/>
      <w:lang w:val="en-CA"/>
    </w:rPr>
  </w:style>
  <w:style w:type="paragraph" w:styleId="Subheading1">
    <w:name w:val="Subheading 1"/>
    <w:basedOn w:val="BodyText"/>
    <w:qFormat/>
    <w:pPr>
      <w:tabs>
        <w:tab w:val="clear" w:pos="1440"/>
        <w:tab w:val="left" w:pos="2700" w:leader="none"/>
        <w:tab w:val="left" w:pos="5220" w:leader="none"/>
        <w:tab w:val="left" w:pos="5940" w:leader="none"/>
      </w:tabs>
      <w:spacing w:before="0" w:after="20"/>
      <w:ind w:hanging="0" w:start="900" w:end="720"/>
      <w:jc w:val="center"/>
    </w:pPr>
    <w:rPr>
      <w:b/>
      <w:sz w:val="24"/>
    </w:rPr>
  </w:style>
  <w:style w:type="paragraph" w:styleId="BodyText2">
    <w:name w:val="Body Text 2"/>
    <w:basedOn w:val="Normal"/>
    <w:qFormat/>
    <w:pPr>
      <w:spacing w:lineRule="auto" w:line="480"/>
      <w:ind w:hanging="0" w:start="720" w:end="0"/>
      <w:jc w:val="both"/>
    </w:pPr>
    <w:rPr>
      <w:sz w:val="24"/>
    </w:rPr>
  </w:style>
  <w:style w:type="paragraph" w:styleId="BodyTextIndent">
    <w:name w:val="Body Text Indent"/>
    <w:basedOn w:val="Normal"/>
    <w:pPr>
      <w:tabs>
        <w:tab w:val="clear" w:pos="1440"/>
        <w:tab w:val="left" w:pos="-1440" w:leader="none"/>
      </w:tabs>
      <w:spacing w:lineRule="auto" w:line="360"/>
      <w:ind w:firstLine="720" w:start="0" w:end="0"/>
      <w:jc w:val="both"/>
    </w:pPr>
    <w:rPr>
      <w:sz w:val="24"/>
    </w:rPr>
  </w:style>
  <w:style w:type="paragraph" w:styleId="Subheading2">
    <w:name w:val="Subheading 2"/>
    <w:basedOn w:val="BodyText2"/>
    <w:qFormat/>
    <w:pPr>
      <w:ind w:hanging="0" w:start="0" w:end="0"/>
    </w:pPr>
    <w:rPr/>
  </w:style>
  <w:style w:type="paragraph" w:styleId="BodyTextIndent2">
    <w:name w:val="Body Text Indent 2"/>
    <w:basedOn w:val="Normal"/>
    <w:qFormat/>
    <w:pPr>
      <w:keepNext w:val="true"/>
      <w:keepLines/>
      <w:spacing w:lineRule="auto" w:line="480"/>
      <w:ind w:firstLine="720" w:start="0" w:end="0"/>
      <w:jc w:val="both"/>
    </w:pPr>
    <w:rPr/>
  </w:style>
  <w:style w:type="paragraph" w:styleId="TOC4">
    <w:name w:val="toc 4"/>
    <w:basedOn w:val="Normal"/>
    <w:next w:val="Normal"/>
    <w:pPr>
      <w:ind w:hanging="0" w:start="605" w:end="605"/>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1999-06-04T16:55:00Z</dcterms:created>
  <dc:creator>University Health Services</dc:creator>
  <dc:description/>
  <dc:language>en-CA</dc:language>
  <cp:lastModifiedBy>Margaret Pemberton</cp:lastModifiedBy>
  <cp:lastPrinted>1999-06-04T16:39:00Z</cp:lastPrinted>
  <dcterms:modified xsi:type="dcterms:W3CDTF">1999-06-04T19:24:00Z</dcterms:modified>
  <cp:revision>20</cp:revision>
  <dc:subject/>
  <dc:title>ERCOT WHOLESALE ENABLING AGREEMENT</dc:title>
</cp:coreProperties>
</file>