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NOTICE OF CHANGE OF INFORMATION</w:t>
      </w:r>
    </w:p>
    <w:p>
      <w:pPr>
        <w:pStyle w:val="Normal"/>
        <w:jc w:val="center"/>
        <w:rPr>
          <w:b/>
          <w:sz w:val="28"/>
        </w:rPr>
      </w:pPr>
      <w:r>
        <w:rPr>
          <w:b/>
          <w:sz w:val="28"/>
        </w:rPr>
      </w:r>
    </w:p>
    <w:p>
      <w:pPr>
        <w:pStyle w:val="Subtitle"/>
        <w:rPr>
          <w:b/>
          <w:sz w:val="24"/>
        </w:rPr>
      </w:pPr>
      <w:r>
        <w:rPr>
          <w:b/>
          <w:sz w:val="24"/>
        </w:rPr>
        <w:t>Procedures for Changes or Additions to Market Participant Information</w:t>
      </w:r>
    </w:p>
    <w:p>
      <w:pPr>
        <w:pStyle w:val="Normal"/>
        <w:rPr>
          <w:b/>
          <w:sz w:val="24"/>
        </w:rPr>
      </w:pPr>
      <w:r>
        <w:rPr>
          <w:b/>
          <w:sz w:val="24"/>
        </w:rPr>
      </w:r>
    </w:p>
    <w:p>
      <w:pPr>
        <w:pStyle w:val="BodyText"/>
        <w:rPr/>
      </w:pPr>
      <w:r>
        <w:rPr/>
        <w:t>A Market Participant must update, amend and/or correct the information originally submitted to ERCOT during the registration process using the format in this Notice.  The Market Participant must submit all changes or additional information to:</w:t>
      </w:r>
    </w:p>
    <w:p>
      <w:pPr>
        <w:pStyle w:val="Normal"/>
        <w:rPr/>
      </w:pPr>
      <w:r>
        <w:rPr/>
      </w:r>
    </w:p>
    <w:p>
      <w:pPr>
        <w:pStyle w:val="Normal"/>
        <w:jc w:val="center"/>
        <w:rPr/>
      </w:pPr>
      <w:r>
        <w:rPr/>
        <w:t>Electric Reliability Council of Texas, Inc.</w:t>
      </w:r>
    </w:p>
    <w:p>
      <w:pPr>
        <w:pStyle w:val="Normal"/>
        <w:jc w:val="center"/>
        <w:rPr/>
      </w:pPr>
      <w:r>
        <w:rPr/>
        <w:t>Attention: Market Participant Registration</w:t>
      </w:r>
    </w:p>
    <w:p>
      <w:pPr>
        <w:pStyle w:val="Normal"/>
        <w:jc w:val="center"/>
        <w:rPr/>
      </w:pPr>
      <w:r>
        <w:rPr/>
        <w:t>2705 West Lake Drive</w:t>
      </w:r>
    </w:p>
    <w:p>
      <w:pPr>
        <w:pStyle w:val="Normal"/>
        <w:jc w:val="center"/>
        <w:rPr/>
      </w:pPr>
      <w:r>
        <w:rPr/>
        <w:t>Taylor, Texas 76574</w:t>
      </w:r>
    </w:p>
    <w:p>
      <w:pPr>
        <w:pStyle w:val="Normal"/>
        <w:jc w:val="center"/>
        <w:rPr/>
      </w:pPr>
      <w:r>
        <w:rPr/>
        <w:t>Fax:  512/248-3886</w:t>
      </w:r>
    </w:p>
    <w:p>
      <w:pPr>
        <w:pStyle w:val="Normal"/>
        <w:rPr/>
      </w:pPr>
      <w:r>
        <w:rPr/>
      </w:r>
    </w:p>
    <w:p>
      <w:pPr>
        <w:pStyle w:val="BodyText"/>
        <w:rPr/>
      </w:pPr>
      <w:r>
        <w:rPr/>
        <w:t>The Market Participant must notify ERCOT of any change to the information on an application that it has previously submitted to ERCOT, or any additional information, at least 30 days before the change will take effect.  ERCOT will send a written acknowledgement of receipt of the changes within five (5) business days of receipt.  The receipt shall be sent to the address on file with ERCOT or the address specified in the notice of change received by ERCOT.</w:t>
      </w:r>
    </w:p>
    <w:p>
      <w:pPr>
        <w:pStyle w:val="Normal"/>
        <w:rPr/>
      </w:pPr>
      <w:r>
        <w:rPr/>
      </w:r>
    </w:p>
    <w:p>
      <w:pPr>
        <w:pStyle w:val="Normal"/>
        <w:rPr/>
      </w:pPr>
      <w:r>
        <w:rPr/>
      </w:r>
    </w:p>
    <w:p>
      <w:pPr>
        <w:pStyle w:val="Normal"/>
        <w:rPr/>
      </w:pPr>
      <w:r>
        <w:rPr/>
        <w:t xml:space="preserve">Prior Information: </w:t>
      </w:r>
    </w:p>
    <w:p>
      <w:pPr>
        <w:pStyle w:val="Normal"/>
        <w:rPr/>
      </w:pPr>
      <w:r>
        <w:rPr/>
      </w:r>
    </w:p>
    <w:p>
      <w:pPr>
        <w:pStyle w:val="Normal"/>
        <w:rPr>
          <w:b/>
        </w:rPr>
      </w:pPr>
      <w:r>
        <w:rPr>
          <w:b/>
        </w:rPr>
        <w:t>Application for Registration as a Resource</w:t>
      </w:r>
    </w:p>
    <w:p>
      <w:pPr>
        <w:pStyle w:val="Normal"/>
        <w:rPr/>
      </w:pPr>
      <w:r>
        <w:rPr/>
      </w:r>
    </w:p>
    <w:p>
      <w:pPr>
        <w:pStyle w:val="Heading1"/>
        <w:ind w:hanging="0" w:start="0"/>
        <w:rPr/>
      </w:pPr>
      <w:r>
        <w:rPr/>
        <w:t>Part B-Scheduling Information</w:t>
      </w:r>
    </w:p>
    <w:p>
      <w:pPr>
        <w:pStyle w:val="Normal"/>
        <w:rPr>
          <w:b/>
        </w:rPr>
      </w:pPr>
      <w:r>
        <w:rPr>
          <w:b/>
        </w:rPr>
      </w:r>
    </w:p>
    <w:p>
      <w:pPr>
        <w:pStyle w:val="Normal"/>
        <w:numPr>
          <w:ilvl w:val="0"/>
          <w:numId w:val="2"/>
        </w:numPr>
        <w:rPr>
          <w:b/>
        </w:rPr>
      </w:pPr>
      <w:r>
        <w:rPr>
          <w:b/>
        </w:rPr>
        <w:t>Qualified Scheduling Entity (QSE)</w:t>
      </w:r>
    </w:p>
    <w:p>
      <w:pPr>
        <w:pStyle w:val="Normal"/>
        <w:ind w:start="720" w:end="0"/>
        <w:rPr/>
      </w:pPr>
      <w:r>
        <w:rPr/>
        <w:t>QSE Name: American Electric Power Service Corporation</w:t>
        <w:tab/>
        <w:tab/>
      </w:r>
    </w:p>
    <w:p>
      <w:pPr>
        <w:pStyle w:val="Normal"/>
        <w:ind w:start="720" w:end="0"/>
        <w:rPr/>
      </w:pPr>
      <w:r>
        <w:rPr/>
        <w:t xml:space="preserve">Title: </w:t>
      </w:r>
    </w:p>
    <w:p>
      <w:pPr>
        <w:pStyle w:val="Normal"/>
        <w:ind w:start="720" w:end="0"/>
        <w:rPr/>
      </w:pPr>
      <w:r>
        <w:rPr/>
        <w:t>Address: One Riverside Plaza, Columbus, OH 43215-2373</w:t>
      </w:r>
    </w:p>
    <w:p>
      <w:pPr>
        <w:pStyle w:val="Normal"/>
        <w:ind w:start="720" w:end="0"/>
        <w:rPr/>
      </w:pPr>
      <w:r>
        <w:rPr/>
        <w:t>Telephone:</w:t>
        <w:tab/>
        <w:tab/>
        <w:tab/>
        <w:tab/>
        <w:t>Fax:</w:t>
      </w:r>
    </w:p>
    <w:p>
      <w:pPr>
        <w:pStyle w:val="Normal"/>
        <w:ind w:start="720" w:end="0"/>
        <w:rPr/>
      </w:pPr>
      <w:r>
        <w:rPr/>
        <w:t>E-mail Address:</w:t>
      </w:r>
    </w:p>
    <w:p>
      <w:pPr>
        <w:pStyle w:val="Normal"/>
        <w:ind w:start="720" w:end="0"/>
        <w:rPr/>
      </w:pPr>
      <w:r>
        <w:rPr/>
      </w:r>
      <w:r>
        <w:br w:type="page"/>
      </w:r>
    </w:p>
    <w:p>
      <w:pPr>
        <w:pStyle w:val="Normal"/>
        <w:rPr/>
      </w:pPr>
      <w:r>
        <w:rPr/>
      </w:r>
    </w:p>
    <w:p>
      <w:pPr>
        <w:pStyle w:val="Heading1"/>
        <w:ind w:hanging="0" w:start="0"/>
        <w:rPr>
          <w:b w:val="false"/>
        </w:rPr>
      </w:pPr>
      <w:r>
        <w:rPr>
          <w:b w:val="false"/>
        </w:rPr>
        <w:t>New Information:</w:t>
      </w:r>
    </w:p>
    <w:p>
      <w:pPr>
        <w:pStyle w:val="Heading1"/>
        <w:ind w:hanging="0" w:start="0"/>
        <w:rPr>
          <w:b w:val="false"/>
        </w:rPr>
      </w:pPr>
      <w:r>
        <w:rPr>
          <w:b w:val="false"/>
        </w:rPr>
      </w:r>
    </w:p>
    <w:p>
      <w:pPr>
        <w:pStyle w:val="Heading1"/>
        <w:ind w:hanging="0" w:start="0"/>
        <w:rPr/>
      </w:pPr>
      <w:r>
        <w:rPr/>
        <w:t xml:space="preserve"> </w:t>
      </w:r>
      <w:r>
        <w:rPr/>
        <w:t>Application for Registration as a Resource</w:t>
      </w:r>
    </w:p>
    <w:p>
      <w:pPr>
        <w:pStyle w:val="Heading1"/>
        <w:ind w:hanging="0" w:start="0"/>
        <w:rPr/>
      </w:pPr>
      <w:r>
        <w:rPr/>
      </w:r>
    </w:p>
    <w:p>
      <w:pPr>
        <w:pStyle w:val="Heading1"/>
        <w:ind w:hanging="0" w:start="0"/>
        <w:rPr/>
      </w:pPr>
      <w:r>
        <w:rPr/>
        <w:t>Part B-Scheduling Information</w:t>
      </w:r>
    </w:p>
    <w:p>
      <w:pPr>
        <w:pStyle w:val="Normal"/>
        <w:rPr>
          <w:b/>
        </w:rPr>
      </w:pPr>
      <w:r>
        <w:rPr>
          <w:b/>
        </w:rPr>
      </w:r>
    </w:p>
    <w:p>
      <w:pPr>
        <w:pStyle w:val="Normal"/>
        <w:numPr>
          <w:ilvl w:val="0"/>
          <w:numId w:val="2"/>
        </w:numPr>
        <w:rPr>
          <w:b/>
        </w:rPr>
      </w:pPr>
      <w:r>
        <w:rPr>
          <w:b/>
        </w:rPr>
        <w:t>Qualified Scheduling Entity (QSE)</w:t>
      </w:r>
    </w:p>
    <w:p>
      <w:pPr>
        <w:pStyle w:val="Normal"/>
        <w:ind w:start="720" w:end="0"/>
        <w:rPr/>
      </w:pPr>
      <w:r>
        <w:rPr/>
        <w:t>QSE Name:</w:t>
        <w:tab/>
        <w:t>Enron Power Marketing, Inc.</w:t>
      </w:r>
    </w:p>
    <w:p>
      <w:pPr>
        <w:pStyle w:val="Normal"/>
        <w:ind w:start="720" w:end="0"/>
        <w:rPr/>
      </w:pPr>
      <w:r>
        <w:rPr/>
        <w:t xml:space="preserve">Title: </w:t>
      </w:r>
    </w:p>
    <w:p>
      <w:pPr>
        <w:pStyle w:val="Normal"/>
        <w:ind w:start="720" w:end="0"/>
        <w:rPr/>
      </w:pPr>
      <w:r>
        <w:rPr/>
        <w:t xml:space="preserve">Address: </w:t>
        <w:tab/>
        <w:t>1400 Smith Street</w:t>
      </w:r>
    </w:p>
    <w:p>
      <w:pPr>
        <w:pStyle w:val="Normal"/>
        <w:ind w:start="720" w:end="0"/>
        <w:rPr/>
      </w:pPr>
      <w:r>
        <w:rPr/>
        <w:tab/>
        <w:tab/>
        <w:t>P.O. Box 4428</w:t>
      </w:r>
    </w:p>
    <w:p>
      <w:pPr>
        <w:pStyle w:val="Normal"/>
        <w:ind w:firstLine="720" w:start="1440" w:end="0"/>
        <w:rPr/>
      </w:pPr>
      <w:r>
        <w:rPr/>
        <w:t>Houston, Texas  77210-4428</w:t>
      </w:r>
    </w:p>
    <w:p>
      <w:pPr>
        <w:pStyle w:val="Normal"/>
        <w:ind w:start="720" w:end="0"/>
        <w:rPr/>
      </w:pPr>
      <w:r>
        <w:rPr/>
        <w:t>Telephone:</w:t>
        <w:tab/>
        <w:tab/>
        <w:tab/>
        <w:tab/>
        <w:t>Fax: (713) 646-4818</w:t>
      </w:r>
    </w:p>
    <w:p>
      <w:pPr>
        <w:pStyle w:val="Normal"/>
        <w:ind w:start="720" w:end="0"/>
        <w:rPr/>
      </w:pPr>
      <w:r>
        <w:rPr/>
        <w:t>E-mail Address:</w:t>
      </w:r>
    </w:p>
    <w:p>
      <w:pPr>
        <w:pStyle w:val="Normal"/>
        <w:ind w:start="720" w:end="0"/>
        <w:rPr/>
      </w:pPr>
      <w:r>
        <w:rPr/>
      </w:r>
    </w:p>
    <w:p>
      <w:pPr>
        <w:pStyle w:val="Normal"/>
        <w:rPr/>
      </w:pPr>
      <w:r>
        <w:rPr/>
      </w:r>
    </w:p>
    <w:p>
      <w:pPr>
        <w:pStyle w:val="Normal"/>
        <w:rPr/>
      </w:pPr>
      <w:r>
        <w:rPr/>
        <w:t>Explanation and Reason for Change:</w:t>
      </w:r>
    </w:p>
    <w:p>
      <w:pPr>
        <w:pStyle w:val="Normal"/>
        <w:rPr/>
      </w:pPr>
      <w:r>
        <w:rPr/>
      </w:r>
    </w:p>
    <w:p>
      <w:pPr>
        <w:pStyle w:val="Normal"/>
        <w:jc w:val="both"/>
        <w:rPr/>
      </w:pPr>
      <w:r>
        <w:rPr/>
        <w:tab/>
        <w:t xml:space="preserve">In the Notice of Change filed on March 14, 2001 for Frontera Generation Limited Partnership no QSE was designated and Frontera Generation Limited Partnership indicated that it would notify ERCOT upon such designation.  </w:t>
      </w:r>
    </w:p>
    <w:p>
      <w:pPr>
        <w:pStyle w:val="Normal"/>
        <w:rPr/>
      </w:pPr>
      <w:r>
        <w:rPr/>
      </w:r>
    </w:p>
    <w:p>
      <w:pPr>
        <w:pStyle w:val="Normal"/>
        <w:pBdr>
          <w:bottom w:val="single" w:sz="12" w:space="1" w:color="000000"/>
        </w:pBdr>
        <w:rPr/>
      </w:pPr>
      <w:r>
        <w:rPr/>
      </w:r>
    </w:p>
    <w:p>
      <w:pPr>
        <w:pStyle w:val="Normal"/>
        <w:pBdr>
          <w:bottom w:val="single" w:sz="12" w:space="1" w:color="000000"/>
        </w:pBdr>
        <w:rPr/>
      </w:pPr>
      <w:r>
        <w:rPr/>
      </w:r>
    </w:p>
    <w:p>
      <w:pPr>
        <w:pStyle w:val="Normal"/>
        <w:rPr/>
      </w:pPr>
      <w:r>
        <w:rPr/>
      </w:r>
    </w:p>
    <w:p>
      <w:pPr>
        <w:pStyle w:val="Normal"/>
        <w:rPr/>
      </w:pPr>
      <w:r>
        <w:rPr/>
      </w:r>
    </w:p>
    <w:p>
      <w:pPr>
        <w:pStyle w:val="Normal"/>
        <w:rPr/>
      </w:pPr>
      <w:r>
        <w:rPr/>
        <w:t>Michael R. Schuyler</w:t>
      </w:r>
    </w:p>
    <w:p>
      <w:pPr>
        <w:pStyle w:val="Normal"/>
        <w:rPr/>
      </w:pPr>
      <w:r>
        <w:rPr/>
        <w:t>____________________________</w:t>
        <w:tab/>
        <w:tab/>
        <w:tab/>
        <w:t>______________________________</w:t>
      </w:r>
    </w:p>
    <w:p>
      <w:pPr>
        <w:pStyle w:val="Normal"/>
        <w:rPr>
          <w:sz w:val="20"/>
        </w:rPr>
      </w:pPr>
      <w:r>
        <w:rPr>
          <w:sz w:val="20"/>
        </w:rPr>
        <w:t>Printed Name of Authorized Representative</w:t>
        <w:tab/>
        <w:tab/>
        <w:tab/>
        <w:t>Signature of Authorized Representative</w:t>
      </w:r>
    </w:p>
    <w:p>
      <w:pPr>
        <w:pStyle w:val="Normal"/>
        <w:rPr>
          <w:sz w:val="20"/>
        </w:rPr>
      </w:pPr>
      <w:r>
        <w:rPr>
          <w:sz w:val="20"/>
        </w:rPr>
      </w:r>
    </w:p>
    <w:p>
      <w:pPr>
        <w:pStyle w:val="Normal"/>
        <w:rPr>
          <w:sz w:val="20"/>
        </w:rPr>
      </w:pPr>
      <w:r>
        <w:rPr>
          <w:sz w:val="20"/>
        </w:rPr>
      </w:r>
    </w:p>
    <w:p>
      <w:pPr>
        <w:pStyle w:val="Normal"/>
        <w:rPr/>
      </w:pPr>
      <w:r>
        <w:rPr/>
        <w:t>Vice President</w:t>
        <w:tab/>
        <w:tab/>
        <w:tab/>
        <w:tab/>
        <w:tab/>
        <w:tab/>
        <w:t>TPS TEJAS GP, LLC</w:t>
      </w:r>
    </w:p>
    <w:p>
      <w:pPr>
        <w:pStyle w:val="Normal"/>
        <w:rPr/>
      </w:pPr>
      <w:r>
        <w:rPr/>
        <w:t>_____________________________</w:t>
        <w:tab/>
        <w:tab/>
        <w:tab/>
        <w:t>______________________________</w:t>
      </w:r>
    </w:p>
    <w:p>
      <w:pPr>
        <w:pStyle w:val="Normal"/>
        <w:rPr>
          <w:sz w:val="20"/>
        </w:rPr>
      </w:pPr>
      <w:r>
        <w:rPr>
          <w:sz w:val="20"/>
        </w:rPr>
        <w:t>Title</w:t>
        <w:tab/>
        <w:tab/>
        <w:tab/>
        <w:tab/>
        <w:tab/>
        <w:tab/>
        <w:tab/>
        <w:t>Entity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b w:val="false"/>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b w:val="false"/>
    </w:rPr>
  </w:style>
  <w:style w:type="character" w:styleId="WW8Num2z0">
    <w:name w:val="WW8Num2z0"/>
    <w:qFormat/>
    <w:rPr>
      <w:b w:val="fals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sz w:val="28"/>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2001-04-17T14:15:00Z</dcterms:created>
  <dc:creator>Cheryl Moseley</dc:creator>
  <dc:description/>
  <dc:language>en-CA</dc:language>
  <cp:lastModifiedBy>Catherine Muckerman</cp:lastModifiedBy>
  <cp:lastPrinted>2001-03-14T14:08:00Z</cp:lastPrinted>
  <dcterms:modified xsi:type="dcterms:W3CDTF">2001-04-17T14:49:00Z</dcterms:modified>
  <cp:revision>3</cp:revision>
  <dc:subject/>
  <dc:title>NOTICE OF CHANGE OF INFORMATION</dc:title>
</cp:coreProperties>
</file>