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Roman 10cpi;Times New Roman" w:hAnsi="Roman 10cpi;Times New Roman" w:cs="Roman 10cpi;Times New Roman"/>
          <w:b/>
          <w:bCs/>
          <w:sz w:val="20"/>
          <w:lang w:val="en-CA" w:eastAsia="en-CA"/>
        </w:rPr>
      </w:pPr>
      <w:r>
        <w:rPr>
          <w:rFonts w:cs="Roman 10cpi;Times New Roman" w:ascii="Roman 10cpi;Times New Roman" w:hAnsi="Roman 10cpi;Times New Roman"/>
          <w:b/>
          <w:bCs/>
          <w:sz w:val="20"/>
          <w:lang w:val="en-CA" w:eastAsia="en-CA"/>
        </w:rPr>
        <w:drawing>
          <wp:anchor behindDoc="0" distT="0" distB="0" distL="114935" distR="114935" simplePos="0" locked="0" layoutInCell="0" allowOverlap="1" relativeHeight="2">
            <wp:simplePos x="0" y="0"/>
            <wp:positionH relativeFrom="column">
              <wp:posOffset>-862965</wp:posOffset>
            </wp:positionH>
            <wp:positionV relativeFrom="paragraph">
              <wp:posOffset>-797560</wp:posOffset>
            </wp:positionV>
            <wp:extent cx="2057400" cy="908050"/>
            <wp:effectExtent l="0" t="0" r="0" b="0"/>
            <wp:wrapSquare wrapText="bothSides"/>
            <wp:docPr id="1" name="T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 descr="" title=""/>
                    <pic:cNvPicPr>
                      <a:picLocks noChangeAspect="1" noChangeArrowheads="1"/>
                    </pic:cNvPicPr>
                  </pic:nvPicPr>
                  <pic:blipFill>
                    <a:blip r:embed="rId2"/>
                    <a:srcRect l="-10" t="-26" r="-10" b="-26"/>
                    <a:stretch>
                      <a:fillRect/>
                    </a:stretch>
                  </pic:blipFill>
                  <pic:spPr bwMode="auto">
                    <a:xfrm>
                      <a:off x="0" y="0"/>
                      <a:ext cx="2057400" cy="908050"/>
                    </a:xfrm>
                    <a:prstGeom prst="rect">
                      <a:avLst/>
                    </a:prstGeom>
                    <a:noFill/>
                  </pic:spPr>
                </pic:pic>
              </a:graphicData>
            </a:graphic>
          </wp:anchor>
        </w:drawing>
      </w:r>
    </w:p>
    <w:p>
      <w:pPr>
        <w:pStyle w:val="Normal"/>
        <w:rPr>
          <w:rFonts w:ascii="Roman 10cpi;Times New Roman" w:hAnsi="Roman 10cpi;Times New Roman" w:cs="Roman 10cpi;Times New Roman"/>
          <w:b/>
          <w:bCs/>
        </w:rPr>
      </w:pPr>
      <w:r>
        <w:rPr>
          <w:rFonts w:cs="Roman 10cpi;Times New Roman" w:ascii="Roman 10cpi;Times New Roman" w:hAnsi="Roman 10cpi;Times New Roman"/>
          <w:b/>
          <w:bCs/>
        </w:rPr>
      </w:r>
    </w:p>
    <w:p>
      <w:pPr>
        <w:pStyle w:val="Normal"/>
        <w:rPr>
          <w:rFonts w:ascii="Roman 10cpi;Times New Roman" w:hAnsi="Roman 10cpi;Times New Roman" w:cs="Roman 10cpi;Times New Roman"/>
          <w:b/>
          <w:bCs/>
        </w:rPr>
      </w:pPr>
      <w:r>
        <w:rPr>
          <w:rFonts w:cs="Roman 10cpi;Times New Roman" w:ascii="Roman 10cpi;Times New Roman" w:hAnsi="Roman 10cpi;Times New Roman"/>
          <w:b/>
          <w:bCs/>
        </w:rPr>
        <w:t>Feb. 12, 2001</w:t>
      </w:r>
    </w:p>
    <w:p>
      <w:pPr>
        <w:pStyle w:val="Normal"/>
        <w:rPr>
          <w:rFonts w:ascii="Roman 10cpi;Times New Roman" w:hAnsi="Roman 10cpi;Times New Roman" w:cs="Roman 10cpi;Times New Roman"/>
          <w:b/>
          <w:bCs/>
        </w:rPr>
      </w:pPr>
      <w:r>
        <w:rPr>
          <w:rFonts w:cs="Roman 10cpi;Times New Roman" w:ascii="Roman 10cpi;Times New Roman" w:hAnsi="Roman 10cpi;Times New Roman"/>
          <w:b/>
          <w:bCs/>
        </w:rPr>
      </w:r>
    </w:p>
    <w:p>
      <w:pPr>
        <w:pStyle w:val="Normal"/>
        <w:rPr>
          <w:rFonts w:ascii="Roman 10cpi;Times New Roman" w:hAnsi="Roman 10cpi;Times New Roman" w:cs="Roman 10cpi;Times New Roman"/>
          <w:sz w:val="20"/>
        </w:rPr>
      </w:pPr>
      <w:r>
        <w:rPr>
          <w:rFonts w:cs="Roman 10cpi;Times New Roman" w:ascii="Roman 10cpi;Times New Roman" w:hAnsi="Roman 10cpi;Times New Roman"/>
          <w:b/>
          <w:bCs/>
        </w:rPr>
        <w:t>TradersNews Market Commentary</w:t>
      </w:r>
      <w:r>
        <w:rPr>
          <w:rFonts w:cs="Roman 10cpi;Times New Roman" w:ascii="Roman 10cpi;Times New Roman" w:hAnsi="Roman 10cpi;Times New Roman"/>
        </w:rPr>
        <w:t xml:space="preserve">: </w:t>
      </w:r>
      <w:r>
        <w:rPr>
          <w:b/>
          <w:bCs/>
        </w:rPr>
        <w:t>ERCOT Traders Gearing Up For New Market</w:t>
      </w:r>
    </w:p>
    <w:p>
      <w:pPr>
        <w:pStyle w:val="Normal"/>
        <w:rPr>
          <w:rFonts w:ascii="Roman 10cpi;Times New Roman" w:hAnsi="Roman 10cpi;Times New Roman" w:eastAsia="Roman 10cpi;Times New Roman" w:cs="Roman 10cpi;Times New Roman"/>
          <w:sz w:val="20"/>
        </w:rPr>
      </w:pPr>
      <w:r>
        <w:rPr>
          <w:rFonts w:eastAsia="Roman 10cpi;Times New Roman" w:cs="Roman 10cpi;Times New Roman" w:ascii="Roman 10cpi;Times New Roman" w:hAnsi="Roman 10cpi;Times New Roman"/>
          <w:sz w:val="20"/>
        </w:rPr>
        <w:t xml:space="preserve">    </w:t>
      </w:r>
    </w:p>
    <w:p>
      <w:pPr>
        <w:pStyle w:val="Normal"/>
        <w:rPr>
          <w:rFonts w:ascii="Roman 10cpi;Times New Roman" w:hAnsi="Roman 10cpi;Times New Roman" w:cs="Roman 10cpi;Times New Roman"/>
        </w:rPr>
      </w:pPr>
      <w:r>
        <w:rPr>
          <w:rFonts w:eastAsia="Roman 10cpi;Times New Roman" w:cs="Roman 10cpi;Times New Roman" w:ascii="Roman 10cpi;Times New Roman" w:hAnsi="Roman 10cpi;Times New Roman"/>
        </w:rPr>
        <w:t xml:space="preserve">    </w:t>
      </w:r>
      <w:r>
        <w:rPr>
          <w:rFonts w:cs="Roman 10cpi;Times New Roman" w:ascii="Roman 10cpi;Times New Roman" w:hAnsi="Roman 10cpi;Times New Roman"/>
        </w:rPr>
        <w:t>By Suzanna LC Strangmeier</w:t>
      </w:r>
    </w:p>
    <w:p>
      <w:pPr>
        <w:pStyle w:val="Normal"/>
        <w:rPr>
          <w:b/>
          <w:bCs/>
        </w:rPr>
      </w:pPr>
      <w:r>
        <w:rPr>
          <w:rFonts w:eastAsia="Roman 10cpi;Times New Roman" w:cs="Roman 10cpi;Times New Roman" w:ascii="Roman 10cpi;Times New Roman" w:hAnsi="Roman 10cpi;Times New Roman"/>
        </w:rPr>
        <w:t xml:space="preserve">    </w:t>
      </w:r>
      <w:r>
        <w:rPr>
          <w:rFonts w:cs="Roman 10cpi;Times New Roman" w:ascii="Roman 10cpi;Times New Roman" w:hAnsi="Roman 10cpi;Times New Roman"/>
        </w:rPr>
        <w:t>TradersNews Power Markets Analyst</w:t>
      </w:r>
    </w:p>
    <w:p>
      <w:pPr>
        <w:pStyle w:val="Normal"/>
        <w:jc w:val="center"/>
        <w:rPr>
          <w:b/>
          <w:bCs/>
        </w:rPr>
      </w:pPr>
      <w:r>
        <w:rPr>
          <w:b/>
          <w:bCs/>
        </w:rPr>
      </w:r>
    </w:p>
    <w:p>
      <w:pPr>
        <w:pStyle w:val="Normal"/>
        <w:rPr/>
      </w:pPr>
      <w:r>
        <w:rPr/>
        <w:tab/>
        <w:t>HOUSTON -- The words “new market” have become all but a catchphrase of dread throughout much of the Electric Reliability Council of Texas (ERCOT). Many in ERCOT agree that requirements involved in the road to deregulation have dumped more on them than four-legged visitors do at the Houston Astrodome during the big rodeo every February.</w:t>
      </w:r>
    </w:p>
    <w:p>
      <w:pPr>
        <w:pStyle w:val="BodyTextIndent"/>
        <w:rPr/>
      </w:pPr>
      <w:r>
        <w:rPr/>
        <w:t xml:space="preserve">As the protocols begin to light up the stage for the rehearsal of a deregulated market, many participants responsible for where the rubber hits the road--hourly, daily and term traders—told </w:t>
      </w:r>
      <w:r>
        <w:rPr>
          <w:i/>
          <w:iCs/>
        </w:rPr>
        <w:t xml:space="preserve">TradersNews </w:t>
      </w:r>
      <w:r>
        <w:rPr/>
        <w:t>of their hopes and concerns for the new market.</w:t>
      </w:r>
    </w:p>
    <w:p>
      <w:pPr>
        <w:pStyle w:val="Normal"/>
        <w:rPr/>
      </w:pPr>
      <w:r>
        <w:rPr>
          <w:color w:val="FF6600"/>
        </w:rPr>
        <w:t xml:space="preserve"> </w:t>
      </w:r>
      <w:r>
        <w:rPr>
          <w:color w:val="FF6600"/>
        </w:rPr>
        <w:tab/>
      </w:r>
      <w:r>
        <w:rPr/>
        <w:t xml:space="preserve">In addition to the goal to make or at least save money while keeping the lights on, traders have other hopes for the new market: improved liquidity; leveling the playing ground; successful congestion management; manageable power prices and the development of new products. </w:t>
      </w:r>
    </w:p>
    <w:p>
      <w:pPr>
        <w:pStyle w:val="Normal"/>
        <w:ind w:firstLine="720" w:end="0"/>
        <w:rPr/>
      </w:pPr>
      <w:r>
        <w:rPr/>
        <w:t>Concerns for the new market start with players feeling pressure to conform to quickly in an uncertain and, at best, mercurial atmosphere.  Putting into practice learned or real-time experience makes for a universe in constant flux for preparation of the new market, which launches its mock trial April 1 – no joke. The pilot program swings into gear June 1.</w:t>
      </w:r>
    </w:p>
    <w:p>
      <w:pPr>
        <w:pStyle w:val="Normal"/>
        <w:ind w:firstLine="720" w:end="0"/>
        <w:rPr>
          <w:color w:val="FF6600"/>
        </w:rPr>
      </w:pPr>
      <w:r>
        <w:rPr/>
        <w:t>"I have to figure out how to do it before it starts," moaned one ERCOT trader. Wholesale buyers and sellers attending MRMs or doing “homework” said their shops sent additional personnel from various departments, such as technology, scheduling and management to training seminars.</w:t>
      </w:r>
    </w:p>
    <w:p>
      <w:pPr>
        <w:pStyle w:val="BodyTextIndent3"/>
        <w:rPr>
          <w:b w:val="false"/>
          <w:bCs w:val="false"/>
        </w:rPr>
      </w:pPr>
      <w:r>
        <w:rPr>
          <w:b w:val="false"/>
          <w:bCs w:val="false"/>
        </w:rPr>
        <w:t>There is no shortage of material available to study and re-study with each change to the new market protocols. Some shops are wading through the new library of protocols with directives to absorb "Ancillary 2001" or "Qualified Scheduling 2001." Other players reluctantly admitted to having taken short positions on such studies.</w:t>
      </w:r>
    </w:p>
    <w:p>
      <w:pPr>
        <w:pStyle w:val="Normal"/>
        <w:ind w:firstLine="720" w:end="0"/>
        <w:rPr/>
      </w:pPr>
      <w:r>
        <w:rPr/>
        <w:t xml:space="preserve"> </w:t>
      </w:r>
      <w:r>
        <w:rPr/>
        <w:t xml:space="preserve">"A lot of folks are still in the dark when it comes to understanding what ERCOT does, what the PUCT (Public Utilities Commission of Texas) does and how deregulation is going to work," said Heather Tindall, director of communications for the ERCOT ISO. </w:t>
      </w:r>
    </w:p>
    <w:p>
      <w:pPr>
        <w:pStyle w:val="BodyTextIndent"/>
        <w:rPr/>
      </w:pPr>
      <w:r>
        <w:rPr/>
        <w:t>She added that people are beginning to realize "they need to get with the program and learn all they can if they intend to be a player." A paltry 25 to 50 or so attended the first Market Readiness Meeting (MRM) in September 1999 – as compared with 610 who registered this past December.</w:t>
      </w:r>
    </w:p>
    <w:p>
      <w:pPr>
        <w:pStyle w:val="BodyTextIndent"/>
        <w:rPr/>
      </w:pPr>
      <w:r>
        <w:rPr/>
        <w:t>Other concerns for the transition yield questions by participants about current or new problems such as:  transmission, systematic debugging, possible favoritism shown by the ISO, load metering, ancillary services, unit maintenance and settlement issues.</w:t>
      </w:r>
    </w:p>
    <w:p>
      <w:pPr>
        <w:pStyle w:val="Normal"/>
        <w:rPr>
          <w:color w:val="FF6600"/>
        </w:rPr>
      </w:pPr>
      <w:r>
        <w:rPr>
          <w:color w:val="FF6600"/>
        </w:rPr>
        <w:tab/>
      </w:r>
      <w:r>
        <w:rPr/>
        <w:t>"Everyone has had to gear up so quickly; it's likely glitches will not be worked out before the startup," a trader said. Others, who revealed they felt out-of-the loop, said they were convinced that few are “loaded for bear” regarding the new market.  "'I don't know any more than you do' is what everyone is saying," one wholesaler reported.</w:t>
      </w:r>
    </w:p>
    <w:p>
      <w:pPr>
        <w:pStyle w:val="Normal"/>
        <w:ind w:firstLine="720" w:end="0"/>
        <w:rPr/>
      </w:pPr>
      <w:r>
        <w:rPr/>
        <w:t>The top of most traders’ lists would be a more level playing field and subsequent increase of liquidity. "The marketers for the first time will have the opportunity to compete one-on-one with the utilities," one said. To that end, many shops have spent considerable resources on educating employees about the new balancing energy market in order to make the most of ancillary services.</w:t>
      </w:r>
      <w:r>
        <w:rPr>
          <w:color w:val="FF6600"/>
        </w:rPr>
        <w:t xml:space="preserve"> </w:t>
      </w:r>
    </w:p>
    <w:p>
      <w:pPr>
        <w:pStyle w:val="Normal"/>
        <w:ind w:firstLine="720" w:end="0"/>
        <w:rPr/>
      </w:pPr>
      <w:r>
        <w:rPr/>
        <w:t>Kent Saathoff, director of technical operations for the ISO, pointed to the provision designed as a stimulant in Senate Bill 7 (SB7) that requires entities owning more than 20 percent of the capacity in ERCOT to auction off the excess capacity.</w:t>
      </w:r>
    </w:p>
    <w:p>
      <w:pPr>
        <w:pStyle w:val="BodyTextIndent"/>
        <w:rPr>
          <w:color w:val="FF6600"/>
        </w:rPr>
      </w:pPr>
      <w:r>
        <w:rPr/>
        <w:t xml:space="preserve">"However, it is true that market structure is based on bilateral contracts between suppliers and users, so if most energy is provided through long-term contracts, it could hamper liquidity,” Saathoff said, adding, “But it could also afford some protection against price spikes as seen in California." </w:t>
      </w:r>
    </w:p>
    <w:p>
      <w:pPr>
        <w:pStyle w:val="Normal"/>
        <w:ind w:firstLine="720" w:end="0"/>
        <w:rPr>
          <w:color w:val="FF6600"/>
        </w:rPr>
      </w:pPr>
      <w:r>
        <w:rPr>
          <w:color w:val="FF6600"/>
        </w:rPr>
      </w:r>
    </w:p>
    <w:p>
      <w:pPr>
        <w:pStyle w:val="Heading2"/>
        <w:rPr>
          <w:color w:val="000000"/>
        </w:rPr>
      </w:pPr>
      <w:r>
        <w:rPr>
          <w:color w:val="000000"/>
        </w:rPr>
        <w:t>The New Balancing Energy Market</w:t>
      </w:r>
    </w:p>
    <w:p>
      <w:pPr>
        <w:pStyle w:val="BodyTextIndent"/>
        <w:rPr/>
      </w:pPr>
      <w:r>
        <w:rPr/>
        <w:t xml:space="preserve">Players evaluating financial opportunities and looking for more volume through the new balancing energy market have yet to reach a consensus. Some prefer an actual locational marginal pool price, as opposed to those who want to track and interpret the 15-minute interval instrument. "When it comes to prices and ancillary services, players will have to recognize the possibility of fluctuations and know when to buy and when to sell," one competitor said.  </w:t>
      </w:r>
    </w:p>
    <w:p>
      <w:pPr>
        <w:pStyle w:val="BodyTextIndent"/>
        <w:rPr/>
      </w:pPr>
      <w:r>
        <w:rPr/>
        <w:t xml:space="preserve">Another source emphasized the need for players to distinguish between a pool market and ERCOT's market. "A lot of traders believe it will become a pool, like PJM or California. It will not," he said, adding, "ERCOT will go to a single control area, versus 10 control areas that exist today. The market will be allowed to enter into bilateral agreements with each other and to solve any congestion." </w:t>
      </w:r>
    </w:p>
    <w:p>
      <w:pPr>
        <w:pStyle w:val="BodyTextIndent"/>
        <w:rPr/>
      </w:pPr>
      <w:r>
        <w:rPr/>
        <w:t>On the heels of the desire for high volume follows concerns that utilities will remain in possession of the keys to liquidity. "Most power right now doesn't go to delivery,” said one trader. Transmission difficulties often constrain what some deem a predominantly physical market. Most players, he said, are “at [utilities’] mercy.”</w:t>
      </w:r>
    </w:p>
    <w:p>
      <w:pPr>
        <w:pStyle w:val="Normal"/>
        <w:ind w:firstLine="720" w:end="0"/>
        <w:rPr/>
      </w:pPr>
      <w:r>
        <w:rPr/>
      </w:r>
    </w:p>
    <w:p>
      <w:pPr>
        <w:pStyle w:val="Heading4"/>
        <w:rPr/>
      </w:pPr>
      <w:r>
        <w:rPr/>
        <w:t>Restructuring</w:t>
      </w:r>
    </w:p>
    <w:p>
      <w:pPr>
        <w:pStyle w:val="BodyTextIndent"/>
        <w:rPr/>
      </w:pPr>
      <w:r>
        <w:rPr/>
        <w:t>Another long-time trader expressed concern about the restructuring of the market. "The state legislators that are pushing for a deregulated market will create a set of rules that puts the market back into a regulated state.</w:t>
      </w:r>
    </w:p>
    <w:p>
      <w:pPr>
        <w:pStyle w:val="BodyTextIndent"/>
        <w:rPr/>
      </w:pPr>
      <w:r>
        <w:rPr/>
        <w:t>‘</w:t>
      </w:r>
      <w:r>
        <w:rPr/>
        <w:t>This will not be good for the companies that are financing new generation in Texas, and could cause some to withdraw their plans for building new facilities as what has happened out West,” he added. “With deregulation, you should let the market set itself and not manipulate the outcome.</w:t>
      </w:r>
    </w:p>
    <w:p>
      <w:pPr>
        <w:pStyle w:val="Normal"/>
        <w:ind w:firstLine="720" w:end="0"/>
        <w:rPr/>
      </w:pPr>
      <w:r>
        <w:rPr/>
        <w:t>“</w:t>
      </w:r>
      <w:r>
        <w:rPr/>
        <w:t xml:space="preserve">With several companies willing to invest in thousands of megawatts of generation, cheaper prices should prevail, depending on the cost of fuel to operate these facilities," the player concluded. </w:t>
      </w:r>
    </w:p>
    <w:p>
      <w:pPr>
        <w:pStyle w:val="Normal"/>
        <w:ind w:firstLine="720" w:end="0"/>
        <w:rPr/>
      </w:pPr>
      <w:r>
        <w:rPr/>
        <w:t xml:space="preserve">Some believe flaws in the original restructuring should be owned up to by the ISO. One trader pointed out what he sees as discrepancies within SB7, originally introduced to save customers money. “That theory is not honored in the protocols, which allow the costs to be passed on to the customers," he said, adding that he believes liquidity will be “pitiful.” </w:t>
      </w:r>
    </w:p>
    <w:p>
      <w:pPr>
        <w:pStyle w:val="BodyTextIndent2"/>
        <w:rPr>
          <w:color w:val="000000"/>
        </w:rPr>
      </w:pPr>
      <w:r>
        <w:rPr>
          <w:color w:val="000000"/>
        </w:rPr>
        <w:t xml:space="preserve">He hails the new HB 918, authored by Rep. Sylvester Turner (D-Houston), allowing for a review to evaluate the market's ability to meet fair competition and reliable service standards by the full market date of Jan. 1, 2002. </w:t>
      </w:r>
    </w:p>
    <w:p>
      <w:pPr>
        <w:pStyle w:val="Normal"/>
        <w:ind w:firstLine="720" w:end="0"/>
        <w:rPr/>
      </w:pPr>
      <w:r>
        <w:rPr/>
        <w:t>One legislator, fresh from the Feb. 5 hearing in Austin, maintains ERCOT should not delay deregulation. “We passed a bill with a great deal of support in 1999. I don't yet see any basis for having any restructuring to [that] bill,” said State Rep. Steven Wolens (D- Dallas).</w:t>
      </w:r>
    </w:p>
    <w:p>
      <w:pPr>
        <w:pStyle w:val="Normal"/>
        <w:ind w:firstLine="720" w:end="0"/>
        <w:rPr/>
      </w:pPr>
      <w:r>
        <w:rPr/>
        <w:t xml:space="preserve"> </w:t>
      </w:r>
      <w:r>
        <w:rPr/>
        <w:t xml:space="preserve">Wolens anticipates the Feb. 21 hearing of the joint committee overseeing the electric restructuring in Texas will likely draw testimony from CEOs such as Erle Nye of TXU; R. Steve Ledbetter of Reliant Energy Inc.; Enron Corp.’s Kenneth Lay, and American Electric Power’s Dr. E. Linn Draper.  </w:t>
      </w:r>
    </w:p>
    <w:p>
      <w:pPr>
        <w:pStyle w:val="Normal"/>
        <w:ind w:firstLine="720" w:end="0"/>
        <w:rPr/>
      </w:pPr>
      <w:r>
        <w:rPr/>
      </w:r>
    </w:p>
    <w:p>
      <w:pPr>
        <w:pStyle w:val="Normal"/>
        <w:rPr/>
      </w:pPr>
      <w:r>
        <w:rPr/>
        <w:tab/>
      </w:r>
      <w:r>
        <w:rPr>
          <w:b/>
          <w:bCs/>
        </w:rPr>
        <w:t>Congestion</w:t>
      </w:r>
      <w:r>
        <w:rPr/>
        <w:t xml:space="preserve"> </w:t>
      </w:r>
      <w:r>
        <w:rPr>
          <w:b/>
          <w:bCs/>
        </w:rPr>
        <w:t>Management</w:t>
      </w:r>
      <w:r>
        <w:rPr/>
        <w:t xml:space="preserve"> </w:t>
      </w:r>
      <w:r>
        <w:rPr>
          <w:b/>
          <w:bCs/>
        </w:rPr>
        <w:t>and the Grid</w:t>
      </w:r>
    </w:p>
    <w:p>
      <w:pPr>
        <w:pStyle w:val="Normal"/>
        <w:rPr>
          <w:b/>
          <w:bCs/>
          <w:color w:val="FF0000"/>
        </w:rPr>
      </w:pPr>
      <w:r>
        <w:rPr/>
        <w:tab/>
        <w:t>"The planning and building of new transmission facilities will take the most time to get the market established," one seller said. "However, we are off to a good start with the Limestone-to-Watermill 345-kV line going into service prior to summer 2001." This line should better facilitate schedules flowing south-to-north.</w:t>
      </w:r>
      <w:r>
        <w:rPr>
          <w:b/>
          <w:bCs/>
          <w:color w:val="FF6600"/>
        </w:rPr>
        <w:t xml:space="preserve"> </w:t>
      </w:r>
    </w:p>
    <w:p>
      <w:pPr>
        <w:pStyle w:val="Normal"/>
        <w:ind w:firstLine="720" w:end="0"/>
        <w:rPr/>
      </w:pPr>
      <w:r>
        <w:rPr/>
        <w:t>During this transition process, the ISO itself has come under fire by those who maintain it operates too conservatively by requiring traders pay premiums in some cases.</w:t>
      </w:r>
    </w:p>
    <w:p>
      <w:pPr>
        <w:pStyle w:val="Normal"/>
        <w:ind w:firstLine="720" w:end="0"/>
        <w:rPr/>
      </w:pPr>
      <w:r>
        <w:rPr/>
        <w:t>"They are not really running a tight ship," one source said.</w:t>
      </w:r>
    </w:p>
    <w:p>
      <w:pPr>
        <w:pStyle w:val="Normal"/>
        <w:ind w:firstLine="720" w:end="0"/>
        <w:rPr/>
      </w:pPr>
      <w:r>
        <w:rPr/>
        <w:t>"I am not sure about the experience of the center on the ERCOT [operations] floor," another said. "Instead of running a tight or economical system, they run it so conservatively that there are no problems for them," he explained. "It's good for reliability when run conservatively, but bad for investors," another source pointed out, "But it's true that the ISO doesn't pick up those tabs."</w:t>
      </w:r>
    </w:p>
    <w:p>
      <w:pPr>
        <w:pStyle w:val="Normal"/>
        <w:ind w:firstLine="720" w:end="0"/>
        <w:rPr/>
      </w:pPr>
      <w:r>
        <w:rPr/>
        <w:t>The ISO’s Saathoff said that there is a process in place to make changes to protocols. "I would be very surprised if no changes were made as a result of experience gained in the pilot," he said. "I don't know whether those changes will be minor or major."</w:t>
      </w:r>
    </w:p>
    <w:p>
      <w:pPr>
        <w:pStyle w:val="Normal"/>
        <w:rPr/>
      </w:pPr>
      <w:r>
        <w:rPr/>
        <w:tab/>
      </w:r>
    </w:p>
    <w:p>
      <w:pPr>
        <w:pStyle w:val="Normal"/>
        <w:ind w:firstLine="720" w:end="0"/>
        <w:rPr>
          <w:b/>
          <w:bCs/>
        </w:rPr>
      </w:pPr>
      <w:r>
        <w:rPr>
          <w:b/>
          <w:bCs/>
        </w:rPr>
        <w:t>Relationships</w:t>
      </w:r>
    </w:p>
    <w:p>
      <w:pPr>
        <w:pStyle w:val="BodyTextIndent"/>
        <w:rPr/>
      </w:pPr>
      <w:r>
        <w:rPr/>
        <w:t>The common "good 'ole boys" club attributed to some of the Texas market players may or may not remain a widespread interpretation by marketers or independent power producers who have set up shop in Texas. "This is a great opportunity for the new players to develop great relationships and for the older players to take better care of theirs for fear of losing them to the new market players," one trader said.</w:t>
      </w:r>
    </w:p>
    <w:p>
      <w:pPr>
        <w:pStyle w:val="BodyTextIndent"/>
        <w:rPr/>
      </w:pPr>
      <w:r>
        <w:rPr/>
        <w:t>Some traders have expressed excitement about the opportunity with the coming changes to carve out new niche relationships. "I think the market will move ahead with no effect on past relationships and add new relationships to the table to deal with," one said. He added, "It should make the larger utilities be more proactive on providing their customer base with cheaper and reliable energy."</w:t>
      </w:r>
    </w:p>
    <w:p>
      <w:pPr>
        <w:pStyle w:val="Normal"/>
        <w:ind w:firstLine="720" w:end="0"/>
        <w:rPr/>
      </w:pPr>
      <w:r>
        <w:rPr/>
        <w:t>Regarding those who have long been considered to wield the power in ERCOT markets,  "They will have to conform to the new way things are done," one power specialist said. "There are more financial incentives out there making the market more financially-driven than relationship-driven," another said.</w:t>
      </w:r>
    </w:p>
    <w:p>
      <w:pPr>
        <w:pStyle w:val="Normal"/>
        <w:ind w:firstLine="720" w:end="0"/>
        <w:rPr/>
      </w:pPr>
      <w:r>
        <w:rPr/>
        <w:t>Overall, traders were gearing up to attend coming programs in preparation for the mock trial. Comprehension of the balancing energy market still remains on the "to-do" list of many players. One wholesaler summed up the feelings of many: "It will be `showtime’ come January 1, 2002."</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Roman 10cpi">
    <w:altName w:val="Times New Roman"/>
    <w:charset w:val="00" w:characterSet="windows-125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ind w:firstLine="720" w:start="0" w:end="0"/>
      <w:outlineLvl w:val="1"/>
    </w:pPr>
    <w:rPr>
      <w:b/>
      <w:bCs/>
      <w:color w:val="FF6600"/>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ind w:firstLine="720" w:start="0" w:end="0"/>
      <w:outlineLvl w:val="3"/>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BodyTextIndent2">
    <w:name w:val="Body Text Indent 2"/>
    <w:basedOn w:val="Normal"/>
    <w:qFormat/>
    <w:pPr>
      <w:ind w:firstLine="720" w:start="0" w:end="0"/>
    </w:pPr>
    <w:rPr>
      <w:color w:val="FF6600"/>
    </w:rPr>
  </w:style>
  <w:style w:type="paragraph" w:styleId="BodyTextIndent3">
    <w:name w:val="Body Text Indent 3"/>
    <w:basedOn w:val="Normal"/>
    <w:qFormat/>
    <w:pPr>
      <w:ind w:firstLine="720" w:start="0" w:end="0"/>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2001-02-12T19:47:00Z</dcterms:created>
  <dc:creator>James M. Strangmeier M.D.</dc:creator>
  <dc:description/>
  <dc:language>en-CA</dc:language>
  <cp:lastModifiedBy>bobette riner</cp:lastModifiedBy>
  <dcterms:modified xsi:type="dcterms:W3CDTF">2001-02-12T19:47:00Z</dcterms:modified>
  <cp:revision>2</cp:revision>
  <dc:subject/>
  <dc:title/>
</cp:coreProperties>
</file>