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MEMORANDUM</w:t>
      </w:r>
    </w:p>
    <w:p>
      <w:pPr>
        <w:pStyle w:val="Normal"/>
        <w:rPr>
          <w:u w:val="none"/>
        </w:rPr>
      </w:pPr>
      <w:r>
        <w:rPr>
          <w:u w:val="none"/>
        </w:rPr>
      </w:r>
    </w:p>
    <w:p>
      <w:pPr>
        <w:pStyle w:val="Normal"/>
        <w:rPr/>
      </w:pPr>
      <w:r>
        <w:rPr/>
        <w:t>Date:</w:t>
        <w:tab/>
        <w:t>5/14/01</w:t>
      </w:r>
    </w:p>
    <w:p>
      <w:pPr>
        <w:pStyle w:val="Normal"/>
        <w:rPr/>
      </w:pPr>
      <w:r>
        <w:rPr/>
      </w:r>
    </w:p>
    <w:p>
      <w:pPr>
        <w:pStyle w:val="Normal"/>
        <w:rPr/>
      </w:pPr>
      <w:r>
        <w:rPr/>
        <w:t>To:</w:t>
        <w:tab/>
        <w:t>Steve Kean, Richard Shapiro, Jean Ryall</w:t>
      </w:r>
    </w:p>
    <w:p>
      <w:pPr>
        <w:pStyle w:val="Normal"/>
        <w:rPr/>
      </w:pPr>
      <w:r>
        <w:rPr/>
      </w:r>
    </w:p>
    <w:p>
      <w:pPr>
        <w:pStyle w:val="Normal"/>
        <w:rPr/>
      </w:pPr>
      <w:r>
        <w:rPr/>
        <w:t>From:</w:t>
        <w:tab/>
        <w:t>Thane T. Twiggs</w:t>
      </w:r>
    </w:p>
    <w:p>
      <w:pPr>
        <w:pStyle w:val="Normal"/>
        <w:rPr/>
      </w:pPr>
      <w:r>
        <w:rPr/>
      </w:r>
    </w:p>
    <w:p>
      <w:pPr>
        <w:pStyle w:val="Normal"/>
        <w:rPr/>
      </w:pPr>
      <w:r>
        <w:rPr/>
        <w:t xml:space="preserve">RE:  </w:t>
        <w:tab/>
        <w:t>Texas Choice Pilot Implementation and ERCOT Implementation</w:t>
      </w:r>
    </w:p>
    <w:p>
      <w:pPr>
        <w:pStyle w:val="Normal"/>
        <w:rPr/>
      </w:pPr>
      <w:r>
        <w:rPr/>
        <w:t>________________________________________________________________________</w:t>
      </w:r>
    </w:p>
    <w:p>
      <w:pPr>
        <w:pStyle w:val="Heading1"/>
        <w:ind w:hanging="0" w:start="0"/>
        <w:rPr/>
      </w:pPr>
      <w:r>
        <w:rPr/>
      </w:r>
    </w:p>
    <w:p>
      <w:pPr>
        <w:pStyle w:val="BodyText"/>
        <w:rPr/>
      </w:pPr>
      <w:r>
        <w:rPr/>
        <w:t>Texas is now only 1.5 months from the beginning of the Texas Choice Pilot.  There is a significant risk that the Texas Choice Pilot may not be successful given the failure up-to-this-time of the ERCOT ISO to implement the approved wholesale Protocols (establishing a single control area and an Ancillary Services market).</w:t>
      </w:r>
    </w:p>
    <w:p>
      <w:pPr>
        <w:pStyle w:val="BodyText"/>
        <w:rPr/>
      </w:pPr>
      <w:r>
        <w:rPr/>
      </w:r>
    </w:p>
    <w:p>
      <w:pPr>
        <w:pStyle w:val="BodyText"/>
        <w:rPr/>
      </w:pPr>
      <w:r>
        <w:rPr/>
        <w:t>Enron recommends that the Public Utility Commission of Texas (“PUCT”) decouple the Texas Choice Pilot from the implementation of the ERCOT ISO wholesale market Protocols.  This will allow the Texas Choice Pilot to begin on June 1, 2001 and give the ERCOT ISO additional time to complete implemention of the wholesale Protocols before January 1, 2002 (including full testing of all systems).  The decoupling could be done by having each local utility (e.g., TXU, HL&amp;P, etc.) provide a reasonably priced balancing mechanism to Retail Electric Providers (“REP”).</w:t>
      </w:r>
      <w:r>
        <w:rPr>
          <w:rStyle w:val="FootnoteCharacters"/>
          <w:rStyle w:val="FootnoteReference"/>
        </w:rPr>
        <w:footnoteReference w:id="2"/>
      </w:r>
      <w:r>
        <w:rPr/>
        <w:t xml:space="preserve">   </w:t>
      </w:r>
    </w:p>
    <w:p>
      <w:pPr>
        <w:pStyle w:val="Normal"/>
        <w:rPr/>
      </w:pPr>
      <w:r>
        <w:rPr/>
      </w:r>
    </w:p>
    <w:p>
      <w:pPr>
        <w:pStyle w:val="Normal"/>
        <w:rPr/>
      </w:pPr>
      <w:r>
        <w:rPr/>
        <w:t>Below find a discussion of this recommendation and other options.</w:t>
      </w:r>
    </w:p>
    <w:p>
      <w:pPr>
        <w:pStyle w:val="Normal"/>
        <w:rPr/>
      </w:pPr>
      <w:r>
        <w:rPr/>
      </w:r>
    </w:p>
    <w:p>
      <w:pPr>
        <w:pStyle w:val="Heading1"/>
        <w:ind w:hanging="0" w:start="0"/>
        <w:rPr/>
      </w:pPr>
      <w:r>
        <w:rPr/>
        <w:t>Enron Recommendation</w:t>
      </w:r>
    </w:p>
    <w:p>
      <w:pPr>
        <w:pStyle w:val="Heading1"/>
        <w:ind w:hanging="0" w:start="0"/>
        <w:rPr>
          <w:u w:val="none"/>
        </w:rPr>
      </w:pPr>
      <w:r>
        <w:rPr>
          <w:u w:val="none"/>
        </w:rPr>
      </w:r>
    </w:p>
    <w:p>
      <w:pPr>
        <w:pStyle w:val="Normal"/>
        <w:rPr/>
      </w:pPr>
      <w:r>
        <w:rPr/>
        <w:t>Start the Pilot June 1, 2001 and use a floating index rate as a default to settle shaped energy delivered to the retail pilot customers.  This would decouple the Pilot project from the wholesale market.  We would strongly recommend that ERCOT leave the wholesale market as it is now with the incumbent utility as default provider of load following (balancing) services.</w:t>
      </w:r>
    </w:p>
    <w:p>
      <w:pPr>
        <w:pStyle w:val="Normal"/>
        <w:rPr/>
      </w:pPr>
      <w:r>
        <w:rPr/>
      </w:r>
    </w:p>
    <w:p>
      <w:pPr>
        <w:pStyle w:val="Normal"/>
        <w:numPr>
          <w:ilvl w:val="0"/>
          <w:numId w:val="2"/>
        </w:numPr>
        <w:rPr/>
      </w:pPr>
      <w:r>
        <w:rPr/>
        <w:t>The PUCT can implement the Texas Choice retail pilot on June 1, 2001 while removing the uncertainty of the wholesale market limitations under a single control area and the direction of ERCOT.</w:t>
      </w:r>
    </w:p>
    <w:p>
      <w:pPr>
        <w:pStyle w:val="Normal"/>
        <w:numPr>
          <w:ilvl w:val="0"/>
          <w:numId w:val="2"/>
        </w:numPr>
        <w:rPr/>
      </w:pPr>
      <w:r>
        <w:rPr/>
        <w:t>Energy will flow to the retail customers that have chosen to receive energy from a Retail Electric Provider and a mechanism is necessary to compensate the party that provides the load shaping when necessary.</w:t>
      </w:r>
    </w:p>
    <w:p>
      <w:pPr>
        <w:pStyle w:val="Normal"/>
        <w:numPr>
          <w:ilvl w:val="0"/>
          <w:numId w:val="2"/>
        </w:numPr>
        <w:rPr/>
      </w:pPr>
      <w:r>
        <w:rPr/>
        <w:t>This option is based on the assumption that a move to a single control area under the direction of ERCOT is unworkable at this time for a variety of technical and operations reasons.</w:t>
      </w:r>
    </w:p>
    <w:p>
      <w:pPr>
        <w:pStyle w:val="Normal"/>
        <w:numPr>
          <w:ilvl w:val="0"/>
          <w:numId w:val="2"/>
        </w:numPr>
        <w:rPr/>
      </w:pPr>
      <w:r>
        <w:rPr/>
        <w:t>Residential customers and those commercial and industrial customers under 1MW who do not have the benefit of interval metering would use a load profile to establish their “shaped” energy requirements.</w:t>
      </w:r>
    </w:p>
    <w:p>
      <w:pPr>
        <w:pStyle w:val="Normal"/>
        <w:numPr>
          <w:ilvl w:val="0"/>
          <w:numId w:val="2"/>
        </w:numPr>
        <w:rPr/>
      </w:pPr>
      <w:r>
        <w:rPr/>
        <w:t xml:space="preserve">Commercial and Industrial Customers greater than 1 MW are required to have interval meters and actual usage can be used to determine the shaped energy requirements.  </w:t>
      </w:r>
    </w:p>
    <w:p>
      <w:pPr>
        <w:pStyle w:val="Normal"/>
        <w:numPr>
          <w:ilvl w:val="0"/>
          <w:numId w:val="2"/>
        </w:numPr>
        <w:rPr/>
      </w:pPr>
      <w:r>
        <w:rPr/>
        <w:t xml:space="preserve">Since many REPs (QSEs) could not deliver shaped energy to the retail customer, energy would be scheduled in blocks to sink in the territory of the former regulated utility.  Those REPs that had the capability to deliver shaped energy would be able to do so. </w:t>
      </w:r>
    </w:p>
    <w:p>
      <w:pPr>
        <w:pStyle w:val="Normal"/>
        <w:numPr>
          <w:ilvl w:val="0"/>
          <w:numId w:val="2"/>
        </w:numPr>
        <w:rPr/>
      </w:pPr>
      <w:r>
        <w:rPr/>
        <w:t>The regulated utility would receive a payment for shaping the energy to meet the customers usage requirements.  That payment for shaping the energy would be based on a calculation whereby the REP would either pay the REGULATED UTILITY for shaping the energy or the REGULATED UTILITY would buy from the REP/QSE depending on whether the REP is long or short based on the load profile or actual usage and the scheduled blocks of energy.</w:t>
      </w:r>
    </w:p>
    <w:p>
      <w:pPr>
        <w:pStyle w:val="Normal"/>
        <w:numPr>
          <w:ilvl w:val="0"/>
          <w:numId w:val="2"/>
        </w:numPr>
        <w:rPr/>
      </w:pPr>
      <w:r>
        <w:rPr/>
        <w:t>The payment would be calculated by taking a peaking heat rate multiplied by the ship channel gas index and then either paying a premium or a discount for buying or selling the energy.  The premium and discount would be to compensate the REGULATED UTILITY for shaping the energy for the customer.</w:t>
      </w:r>
    </w:p>
    <w:p>
      <w:pPr>
        <w:pStyle w:val="Normal"/>
        <w:numPr>
          <w:ilvl w:val="0"/>
          <w:numId w:val="2"/>
        </w:numPr>
        <w:rPr/>
      </w:pPr>
      <w:r>
        <w:rPr/>
        <w:t>Assuming a 13000 heat rate and natural-gas at $4.24 Mmbtu, the price for the REP to “buy energy” would be 1300 * $4.25 * 105%.  This would occur when the actual usage or load profile of the customer exceeds the energy scheduled by the QSE.  The price to sell energy to the REP would be determined in the same method, but priced at a discount.  The price to sell energy when the scheduled energy exceeds actual usage or load profile would be calculated to be 1300 * $4.25 * 95%.</w:t>
      </w:r>
    </w:p>
    <w:p>
      <w:pPr>
        <w:pStyle w:val="Normal"/>
        <w:numPr>
          <w:ilvl w:val="0"/>
          <w:numId w:val="2"/>
        </w:numPr>
        <w:rPr/>
      </w:pPr>
      <w:r>
        <w:rPr/>
        <w:t>Counterparty risk could be greatly reduced by allowing the utility to return the customers of defaulting REP immediately to the AREP.</w:t>
      </w:r>
    </w:p>
    <w:p>
      <w:pPr>
        <w:pStyle w:val="Heading1"/>
        <w:ind w:hanging="0" w:start="0"/>
        <w:rPr/>
      </w:pPr>
      <w:r>
        <w:rPr/>
      </w:r>
    </w:p>
    <w:p>
      <w:pPr>
        <w:pStyle w:val="Heading1"/>
        <w:ind w:hanging="0" w:start="0"/>
        <w:rPr>
          <w:u w:val="none"/>
        </w:rPr>
      </w:pPr>
      <w:r>
        <w:rPr/>
        <w:t>Option II – Force It Too Happen</w:t>
      </w:r>
    </w:p>
    <w:p>
      <w:pPr>
        <w:pStyle w:val="Heading1"/>
        <w:ind w:hanging="0" w:start="0"/>
        <w:rPr>
          <w:u w:val="none"/>
        </w:rPr>
      </w:pPr>
      <w:r>
        <w:rPr>
          <w:u w:val="none"/>
        </w:rPr>
      </w:r>
    </w:p>
    <w:p>
      <w:pPr>
        <w:pStyle w:val="Heading1"/>
        <w:ind w:hanging="0" w:start="0"/>
        <w:rPr>
          <w:u w:val="none"/>
        </w:rPr>
      </w:pPr>
      <w:r>
        <w:rPr>
          <w:u w:val="none"/>
        </w:rPr>
        <w:t>Start the Texas Choice Pilot and Move to Single Control Area Under ERCOT Control June 1, 2001</w:t>
      </w:r>
    </w:p>
    <w:p>
      <w:pPr>
        <w:pStyle w:val="Heading1"/>
        <w:ind w:hanging="0" w:start="0"/>
        <w:rPr>
          <w:u w:val="none"/>
        </w:rPr>
      </w:pPr>
      <w:r>
        <w:rPr>
          <w:u w:val="none"/>
        </w:rPr>
      </w:r>
    </w:p>
    <w:p>
      <w:pPr>
        <w:pStyle w:val="Normal"/>
        <w:numPr>
          <w:ilvl w:val="0"/>
          <w:numId w:val="3"/>
        </w:numPr>
        <w:rPr/>
      </w:pPr>
      <w:r>
        <w:rPr/>
        <w:t>The implementation of the Texas Choice Pilot Program implementation is a noble goal and a sign to the market that deregulation can work when given the appropriate market structure, however, the implementation of retail choice with out a decoupling of the ERCOT wholesale market to allow proper fixes would swallow any benefit of an “on time” customer choice implementation.</w:t>
      </w:r>
    </w:p>
    <w:p>
      <w:pPr>
        <w:pStyle w:val="Normal"/>
        <w:numPr>
          <w:ilvl w:val="0"/>
          <w:numId w:val="3"/>
        </w:numPr>
        <w:rPr/>
      </w:pPr>
      <w:r>
        <w:rPr/>
        <w:t xml:space="preserve">To immediately move to a single control area under the control of ERCOT is a recipe for disaster.  ERCOT should be given credit for their efforts in the face of numerous obstacles to ready their systems for implementation on June 1, 20001.  However, the reality is that the systems that are to schedule energy, procure ancillary services through a bidding process, resolve energy imbalances and settle accounts have not been tested.  Mock Market was conducted using the “mock system” with several stops and starts and was ultimately suspended.  Problems with the portal among other systems had intermediate functionality and all are critical to successful operation of the market.  The Mock Market was to restart May 14, 2001, using the final production system, however, this series of tests were cancelled without additional explanation from the ISO. </w:t>
      </w:r>
    </w:p>
    <w:p>
      <w:pPr>
        <w:pStyle w:val="Normal"/>
        <w:numPr>
          <w:ilvl w:val="0"/>
          <w:numId w:val="3"/>
        </w:numPr>
        <w:rPr/>
      </w:pPr>
      <w:r>
        <w:rPr/>
        <w:t>One only need look at the web based portal used to schedule transactions with ERCOT.  To schedule a 16 hour transaction, numerous entries on 64 discrete screens must be completed.  When there are numerous transactions, the end result is confusion and increased opportunity for error.  In the event a mismatch is detected by the systems, the scheduler must review every entry as the system does not provide information to detect the error, only that one exists.</w:t>
      </w:r>
    </w:p>
    <w:p>
      <w:pPr>
        <w:pStyle w:val="Normal"/>
        <w:rPr/>
      </w:pPr>
      <w:r>
        <w:rPr/>
      </w:r>
    </w:p>
    <w:p>
      <w:pPr>
        <w:pStyle w:val="Heading1"/>
        <w:ind w:hanging="0" w:start="0"/>
        <w:rPr>
          <w:u w:val="none"/>
        </w:rPr>
      </w:pPr>
      <w:r>
        <w:rPr/>
        <w:t>Option III – Stall Tactic</w:t>
      </w:r>
    </w:p>
    <w:p>
      <w:pPr>
        <w:pStyle w:val="Normal"/>
        <w:rPr>
          <w:u w:val="none"/>
        </w:rPr>
      </w:pPr>
      <w:r>
        <w:rPr>
          <w:u w:val="none"/>
        </w:rPr>
      </w:r>
    </w:p>
    <w:p>
      <w:pPr>
        <w:pStyle w:val="Normal"/>
        <w:rPr/>
      </w:pPr>
      <w:r>
        <w:rPr/>
        <w:t>Delay the Pilot and Single Control Area Market Opening Until September 1, 2002.</w:t>
      </w:r>
    </w:p>
    <w:p>
      <w:pPr>
        <w:pStyle w:val="Normal"/>
        <w:rPr/>
      </w:pPr>
      <w:r>
        <w:rPr/>
      </w:r>
    </w:p>
    <w:p>
      <w:pPr>
        <w:pStyle w:val="Normal"/>
        <w:numPr>
          <w:ilvl w:val="0"/>
          <w:numId w:val="4"/>
        </w:numPr>
        <w:rPr/>
      </w:pPr>
      <w:r>
        <w:rPr/>
        <w:t xml:space="preserve">This option has political ramifications far beyond the scope of ERCOT. </w:t>
      </w:r>
    </w:p>
    <w:p>
      <w:pPr>
        <w:pStyle w:val="Normal"/>
        <w:numPr>
          <w:ilvl w:val="0"/>
          <w:numId w:val="4"/>
        </w:numPr>
        <w:rPr/>
      </w:pPr>
      <w:r>
        <w:rPr/>
        <w:t>Opponents of deregulation are waiting for the failure of the Texas market and any ammunition such as delay in retail choice will, to them, signal victory.</w:t>
      </w:r>
    </w:p>
    <w:p>
      <w:pPr>
        <w:pStyle w:val="Normal"/>
        <w:numPr>
          <w:ilvl w:val="0"/>
          <w:numId w:val="4"/>
        </w:numPr>
        <w:rPr/>
      </w:pPr>
      <w:r>
        <w:rPr/>
        <w:t>This would be a satisfactory result for the ERCOT wholesale market.  It would allow the ERCOT systems to be fixed, rather than band aid solutions.  This result can be achieved without causing political damage to the retail choice program.</w:t>
      </w:r>
    </w:p>
    <w:p>
      <w:pPr>
        <w:pStyle w:val="Normal"/>
        <w:rPr/>
      </w:pPr>
      <w:r>
        <w:rPr/>
      </w:r>
    </w:p>
    <w:p>
      <w:pPr>
        <w:pStyle w:val="Heading1"/>
        <w:ind w:hanging="0" w:start="0"/>
        <w:rPr/>
      </w:pPr>
      <w:r>
        <w:rPr/>
        <w:t>Option IV – Make it More Confusing</w:t>
      </w:r>
    </w:p>
    <w:p>
      <w:pPr>
        <w:pStyle w:val="Normal"/>
        <w:rPr/>
      </w:pPr>
      <w:r>
        <w:rPr/>
      </w:r>
    </w:p>
    <w:p>
      <w:pPr>
        <w:pStyle w:val="Normal"/>
        <w:rPr/>
      </w:pPr>
      <w:r>
        <w:rPr/>
        <w:t>Start the Pilot June 1, 2001 and Start a Phase-in of the Wholesale Market Under ERCOT Control Using the 10 Control Area Approach and one designated QSE to interface with ERCOT.</w:t>
      </w:r>
    </w:p>
    <w:p>
      <w:pPr>
        <w:pStyle w:val="Normal"/>
        <w:rPr/>
      </w:pPr>
      <w:r>
        <w:rPr/>
      </w:r>
    </w:p>
    <w:p>
      <w:pPr>
        <w:pStyle w:val="Normal"/>
        <w:numPr>
          <w:ilvl w:val="0"/>
          <w:numId w:val="4"/>
        </w:numPr>
        <w:rPr/>
      </w:pPr>
      <w:r>
        <w:rPr/>
        <w:t>The problems with this phase-in approach using the ten existing control area and one designated QSE per control area are numerous.</w:t>
      </w:r>
    </w:p>
    <w:p>
      <w:pPr>
        <w:pStyle w:val="Normal"/>
        <w:numPr>
          <w:ilvl w:val="0"/>
          <w:numId w:val="4"/>
        </w:numPr>
        <w:rPr/>
      </w:pPr>
      <w:r>
        <w:rPr/>
        <w:t>Sensitive market information would be passed to the designated QSE such as, source and sink information, prices for ancillary service bids and bidding strategies.</w:t>
      </w:r>
    </w:p>
    <w:p>
      <w:pPr>
        <w:pStyle w:val="Normal"/>
        <w:numPr>
          <w:ilvl w:val="0"/>
          <w:numId w:val="4"/>
        </w:numPr>
        <w:rPr/>
      </w:pPr>
      <w:r>
        <w:rPr/>
        <w:t>The designated QSE would have great difficulty determining which bids cleared at ERCOT in the ancillary service auctions and which units are to be deployed.</w:t>
      </w:r>
    </w:p>
    <w:p>
      <w:pPr>
        <w:pStyle w:val="Normal"/>
        <w:numPr>
          <w:ilvl w:val="0"/>
          <w:numId w:val="4"/>
        </w:numPr>
        <w:rPr/>
      </w:pPr>
      <w:r>
        <w:rPr/>
        <w:t>The designated QSE would increase its counter party and credit risk to REPs.</w:t>
      </w:r>
    </w:p>
    <w:p>
      <w:pPr>
        <w:pStyle w:val="Normal"/>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balancing mechanism described in the Enron recommendation is simply a cost-based charge for energy that covers the difference between what an REP schedules and delivers and what the REP’s customer consumes in any given hour.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hanging="0" w:start="360" w:end="0"/>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2001-05-14T21:06:00Z</dcterms:created>
  <dc:creator>ttwiggs</dc:creator>
  <dc:description/>
  <dc:language>en-CA</dc:language>
  <cp:lastModifiedBy>jsteffe</cp:lastModifiedBy>
  <cp:lastPrinted>2001-05-14T17:44:00Z</cp:lastPrinted>
  <dcterms:modified xsi:type="dcterms:W3CDTF">2001-05-14T21:06:00Z</dcterms:modified>
  <cp:revision>2</cp:revision>
  <dc:subject/>
  <dc:title>The successful opening of the Texas retail market is</dc:title>
</cp:coreProperties>
</file>