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notes.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footer5.xml" ContentType="application/vnd.openxmlformats-officedocument.wordprocessingml.footer+xml"/>
  <Override PartName="/word/media/image13.wmf" ContentType="image/x-wmf"/>
  <Override PartName="/word/media/image4.wmf" ContentType="image/x-wmf"/>
  <Override PartName="/word/media/image9.wmf" ContentType="image/x-wmf"/>
  <Override PartName="/word/media/image18.wmf" ContentType="image/x-wmf"/>
  <Override PartName="/word/media/image1.png" ContentType="image/png"/>
  <Override PartName="/word/media/image14.wmf" ContentType="image/x-wmf"/>
  <Override PartName="/word/media/image5.wmf" ContentType="image/x-wmf"/>
  <Override PartName="/word/media/image15.wmf" ContentType="image/x-wmf"/>
  <Override PartName="/word/media/image6.wmf" ContentType="image/x-wmf"/>
  <Override PartName="/word/media/image10.wmf" ContentType="image/x-wmf"/>
  <Override PartName="/word/media/image16.wmf" ContentType="image/x-wmf"/>
  <Override PartName="/word/media/image7.wmf" ContentType="image/x-wmf"/>
  <Override PartName="/word/media/image11.wmf" ContentType="image/x-wmf"/>
  <Override PartName="/word/media/image2.wmf" ContentType="image/x-wmf"/>
  <Override PartName="/word/media/image17.wmf" ContentType="image/x-wmf"/>
  <Override PartName="/word/media/image8.wmf" ContentType="image/x-wmf"/>
  <Override PartName="/word/media/image12.wmf" ContentType="image/x-wmf"/>
  <Override PartName="/word/media/image3.wmf" ContentType="image/x-wmf"/>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CA" w:eastAsia="en-CA"/>
        </w:rPr>
      </w:pPr>
      <w:r>
        <w:rPr>
          <w:lang w:val="en-CA" w:eastAsia="en-CA"/>
        </w:rPr>
        <mc:AlternateContent>
          <mc:Choice Requires="wps">
            <w:drawing>
              <wp:anchor behindDoc="0" distT="0" distB="0" distL="114935" distR="114300" simplePos="0" locked="0" layoutInCell="1" allowOverlap="1" relativeHeight="139">
                <wp:simplePos x="0" y="0"/>
                <wp:positionH relativeFrom="column">
                  <wp:posOffset>1088390</wp:posOffset>
                </wp:positionH>
                <wp:positionV relativeFrom="paragraph">
                  <wp:posOffset>1728470</wp:posOffset>
                </wp:positionV>
                <wp:extent cx="686435" cy="295275"/>
                <wp:effectExtent l="635" t="635" r="0" b="0"/>
                <wp:wrapNone/>
                <wp:docPr id="1" name=""/>
                <a:graphic xmlns:a="http://schemas.openxmlformats.org/drawingml/2006/main">
                  <a:graphicData uri="http://schemas.microsoft.com/office/word/2010/wordprocessingShape">
                    <wps:wsp>
                      <wps:cNvSpPr/>
                      <wps:spPr>
                        <a:xfrm>
                          <a:off x="0" y="0"/>
                          <a:ext cx="686520" cy="2952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85.7pt;margin-top:136.1pt;width:54pt;height:23.2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40">
                <wp:simplePos x="0" y="0"/>
                <wp:positionH relativeFrom="column">
                  <wp:posOffset>1174115</wp:posOffset>
                </wp:positionH>
                <wp:positionV relativeFrom="paragraph">
                  <wp:posOffset>1785620</wp:posOffset>
                </wp:positionV>
                <wp:extent cx="629285" cy="238125"/>
                <wp:effectExtent l="635" t="635" r="0" b="0"/>
                <wp:wrapNone/>
                <wp:docPr id="2" name=""/>
                <a:graphic xmlns:a="http://schemas.openxmlformats.org/drawingml/2006/main">
                  <a:graphicData uri="http://schemas.microsoft.com/office/word/2010/wordprocessingShape">
                    <wps:wsp>
                      <wps:cNvSpPr/>
                      <wps:spPr>
                        <a:xfrm>
                          <a:off x="0" y="0"/>
                          <a:ext cx="629280" cy="2379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92.45pt;margin-top:140.6pt;width:49.5pt;height:18.7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41">
                <wp:simplePos x="0" y="0"/>
                <wp:positionH relativeFrom="column">
                  <wp:posOffset>3272155</wp:posOffset>
                </wp:positionH>
                <wp:positionV relativeFrom="paragraph">
                  <wp:posOffset>345440</wp:posOffset>
                </wp:positionV>
                <wp:extent cx="514985" cy="286385"/>
                <wp:effectExtent l="635" t="635" r="0" b="0"/>
                <wp:wrapNone/>
                <wp:docPr id="3" name=""/>
                <a:graphic xmlns:a="http://schemas.openxmlformats.org/drawingml/2006/main">
                  <a:graphicData uri="http://schemas.microsoft.com/office/word/2010/wordprocessingShape">
                    <wps:wsp>
                      <wps:cNvSpPr/>
                      <wps:spPr>
                        <a:xfrm>
                          <a:off x="0" y="0"/>
                          <a:ext cx="515160" cy="2865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57.65pt;margin-top:27.2pt;width:40.5pt;height:22.5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42">
                <wp:simplePos x="0" y="0"/>
                <wp:positionH relativeFrom="column">
                  <wp:posOffset>3357880</wp:posOffset>
                </wp:positionH>
                <wp:positionV relativeFrom="paragraph">
                  <wp:posOffset>402590</wp:posOffset>
                </wp:positionV>
                <wp:extent cx="438785" cy="238760"/>
                <wp:effectExtent l="635" t="0" r="0" b="0"/>
                <wp:wrapNone/>
                <wp:docPr id="4" name=""/>
                <a:graphic xmlns:a="http://schemas.openxmlformats.org/drawingml/2006/main">
                  <a:graphicData uri="http://schemas.microsoft.com/office/word/2010/wordprocessingShape">
                    <wps:wsp>
                      <wps:cNvSpPr/>
                      <wps:spPr>
                        <a:xfrm>
                          <a:off x="0" y="0"/>
                          <a:ext cx="438840" cy="23868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264.4pt;margin-top:31.7pt;width:34.5pt;height:18.75pt;mso-wrap-style:none;v-text-anchor:middle">
                <v:fill o:detectmouseclick="t" on="false"/>
                <v:stroke color="#3465a4" joinstyle="round" endcap="flat"/>
                <w10:wrap type="none"/>
              </v:rect>
            </w:pict>
          </mc:Fallback>
        </mc:AlternateContent>
        <mc:AlternateContent>
          <mc:Choice Requires="wps">
            <w:drawing>
              <wp:anchor behindDoc="0" distT="0" distB="0" distL="114935" distR="114935" simplePos="0" locked="0" layoutInCell="1" allowOverlap="1" relativeHeight="143">
                <wp:simplePos x="0" y="0"/>
                <wp:positionH relativeFrom="column">
                  <wp:posOffset>4187825</wp:posOffset>
                </wp:positionH>
                <wp:positionV relativeFrom="paragraph">
                  <wp:posOffset>1890395</wp:posOffset>
                </wp:positionV>
                <wp:extent cx="638810" cy="295275"/>
                <wp:effectExtent l="0" t="635" r="0" b="0"/>
                <wp:wrapNone/>
                <wp:docPr id="5" name=""/>
                <a:graphic xmlns:a="http://schemas.openxmlformats.org/drawingml/2006/main">
                  <a:graphicData uri="http://schemas.microsoft.com/office/word/2010/wordprocessingShape">
                    <wps:wsp>
                      <wps:cNvSpPr/>
                      <wps:spPr>
                        <a:xfrm>
                          <a:off x="0" y="0"/>
                          <a:ext cx="638640" cy="29520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29.75pt;margin-top:148.85pt;width:50.25pt;height:23.2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44">
                <wp:simplePos x="0" y="0"/>
                <wp:positionH relativeFrom="column">
                  <wp:posOffset>4273550</wp:posOffset>
                </wp:positionH>
                <wp:positionV relativeFrom="paragraph">
                  <wp:posOffset>1947545</wp:posOffset>
                </wp:positionV>
                <wp:extent cx="572135" cy="238125"/>
                <wp:effectExtent l="635" t="635" r="0" b="0"/>
                <wp:wrapNone/>
                <wp:docPr id="6" name=""/>
                <a:graphic xmlns:a="http://schemas.openxmlformats.org/drawingml/2006/main">
                  <a:graphicData uri="http://schemas.microsoft.com/office/word/2010/wordprocessingShape">
                    <wps:wsp>
                      <wps:cNvSpPr/>
                      <wps:spPr>
                        <a:xfrm>
                          <a:off x="0" y="0"/>
                          <a:ext cx="572040" cy="23796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336.5pt;margin-top:153.35pt;width:45pt;height:18.7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45">
                <wp:simplePos x="0" y="0"/>
                <wp:positionH relativeFrom="column">
                  <wp:posOffset>1297940</wp:posOffset>
                </wp:positionH>
                <wp:positionV relativeFrom="paragraph">
                  <wp:posOffset>-350520</wp:posOffset>
                </wp:positionV>
                <wp:extent cx="3099435" cy="343535"/>
                <wp:effectExtent l="635" t="0" r="0" b="0"/>
                <wp:wrapNone/>
                <wp:docPr id="7" name=""/>
                <a:graphic xmlns:a="http://schemas.openxmlformats.org/drawingml/2006/main">
                  <a:graphicData uri="http://schemas.microsoft.com/office/word/2010/wordprocessingShape">
                    <wps:wsp>
                      <wps:cNvSpPr/>
                      <wps:spPr>
                        <a:xfrm>
                          <a:off x="0" y="0"/>
                          <a:ext cx="3099600" cy="34344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2.2pt;margin-top:-27.6pt;width:244pt;height:27pt;mso-wrap-style:none;v-text-anchor:middle">
                <v:fill o:detectmouseclick="t" on="false"/>
                <v:stroke color="#3465a4" joinstyle="round" endcap="flat"/>
                <w10:wrap type="none"/>
              </v:rect>
            </w:pict>
          </mc:Fallback>
        </mc:AlternateContent>
        <mc:AlternateContent>
          <mc:Choice Requires="wps">
            <w:drawing>
              <wp:anchor behindDoc="0" distT="0" distB="0" distL="114935" distR="114300" simplePos="0" locked="0" layoutInCell="1" allowOverlap="1" relativeHeight="146">
                <wp:simplePos x="0" y="0"/>
                <wp:positionH relativeFrom="column">
                  <wp:posOffset>1384300</wp:posOffset>
                </wp:positionH>
                <wp:positionV relativeFrom="paragraph">
                  <wp:posOffset>-293370</wp:posOffset>
                </wp:positionV>
                <wp:extent cx="3051175" cy="295910"/>
                <wp:effectExtent l="635" t="0" r="0" b="0"/>
                <wp:wrapNone/>
                <wp:docPr id="8" name=""/>
                <a:graphic xmlns:a="http://schemas.openxmlformats.org/drawingml/2006/main">
                  <a:graphicData uri="http://schemas.microsoft.com/office/word/2010/wordprocessingShape">
                    <wps:wsp>
                      <wps:cNvSpPr/>
                      <wps:spPr>
                        <a:xfrm>
                          <a:off x="0" y="0"/>
                          <a:ext cx="3051000" cy="295920"/>
                        </a:xfrm>
                        <a:prstGeom prst="rect">
                          <a:avLst/>
                        </a:prstGeom>
                        <a:noFill/>
                        <a:ln w="0">
                          <a:noFill/>
                        </a:ln>
                      </wps:spPr>
                      <wps:style>
                        <a:lnRef idx="0"/>
                        <a:fillRef idx="0"/>
                        <a:effectRef idx="0"/>
                        <a:fontRef idx="minor"/>
                      </wps:style>
                      <wps:bodyPr/>
                    </wps:wsp>
                  </a:graphicData>
                </a:graphic>
              </wp:anchor>
            </w:drawing>
          </mc:Choice>
          <mc:Fallback>
            <w:pict>
              <v:rect id="shape_0" stroked="f" o:allowincell="f" style="position:absolute;margin-left:109pt;margin-top:-23.1pt;width:240.2pt;height:23.25pt;mso-wrap-style:none;v-text-anchor:middle">
                <v:fill o:detectmouseclick="t" on="false"/>
                <v:stroke color="#3465a4" joinstyle="round" endcap="flat"/>
                <w10:wrap type="none"/>
              </v:rect>
            </w:pict>
          </mc:Fallback>
        </mc:AlternateContent>
        <w:drawing>
          <wp:anchor behindDoc="0" distT="0" distB="0" distL="114935" distR="114935" simplePos="0" locked="0" layoutInCell="1" allowOverlap="1" relativeHeight="150">
            <wp:simplePos x="0" y="0"/>
            <wp:positionH relativeFrom="column">
              <wp:posOffset>1005840</wp:posOffset>
            </wp:positionH>
            <wp:positionV relativeFrom="paragraph">
              <wp:posOffset>77470</wp:posOffset>
            </wp:positionV>
            <wp:extent cx="3009900" cy="1620520"/>
            <wp:effectExtent l="0" t="0" r="0" b="0"/>
            <wp:wrapNone/>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2"/>
                    <a:srcRect l="-6" t="-12" r="-6" b="-12"/>
                    <a:stretch>
                      <a:fillRect/>
                    </a:stretch>
                  </pic:blipFill>
                  <pic:spPr bwMode="auto">
                    <a:xfrm>
                      <a:off x="0" y="0"/>
                      <a:ext cx="3009900" cy="1620520"/>
                    </a:xfrm>
                    <a:prstGeom prst="rect">
                      <a:avLst/>
                    </a:prstGeom>
                    <a:noFill/>
                  </pic:spPr>
                </pic:pic>
              </a:graphicData>
            </a:graphic>
          </wp:anchor>
        </w:drawing>
      </w:r>
    </w:p>
    <w:p>
      <w:pPr>
        <w:pStyle w:val="Normal"/>
        <w:rPr>
          <w:lang w:val="en-CA" w:eastAsia="en-CA"/>
        </w:rPr>
      </w:pPr>
      <w:r>
        <w:rPr>
          <w:lang w:val="en-CA" w:eastAsia="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
        <w:rPr>
          <w:rFonts w:ascii="Book Antiqua" w:hAnsi="Book Antiqua" w:cs="Book Antiqua"/>
          <w:i/>
          <w:i/>
          <w:sz w:val="72"/>
        </w:rPr>
      </w:pPr>
      <w:r>
        <w:rPr>
          <w:rFonts w:cs="Book Antiqua" w:ascii="Book Antiqua" w:hAnsi="Book Antiqua"/>
          <w:i/>
          <w:sz w:val="72"/>
        </w:rPr>
        <w:t>The Market Guide</w:t>
      </w:r>
    </w:p>
    <w:p>
      <w:pPr>
        <w:pStyle w:val="Normal"/>
        <w:jc w:val="center"/>
        <w:rPr>
          <w:b/>
          <w:i/>
          <w:i/>
          <w:sz w:val="48"/>
        </w:rPr>
      </w:pPr>
      <w:r>
        <w:rPr>
          <w:b/>
          <w:i/>
          <w:sz w:val="48"/>
        </w:rPr>
        <w:t>“</w:t>
      </w:r>
      <w:r>
        <w:rPr>
          <w:b/>
          <w:i/>
          <w:sz w:val="48"/>
        </w:rPr>
        <w:t>A guide to how the Electric Reliability Council of Texas (ERCOT) facilitates the competitive power market”</w:t>
      </w:r>
    </w:p>
    <w:p>
      <w:pPr>
        <w:pStyle w:val="Normal"/>
        <w:jc w:val="center"/>
        <w:rPr>
          <w:b/>
          <w:i/>
          <w:i/>
          <w:sz w:val="48"/>
        </w:rPr>
      </w:pPr>
      <w:r>
        <w:rPr>
          <w:b/>
          <w:i/>
          <w:sz w:val="48"/>
        </w:rPr>
      </w:r>
    </w:p>
    <w:p>
      <w:pPr>
        <w:pStyle w:val="Subtitle"/>
        <w:rPr/>
      </w:pPr>
      <w:r>
        <w:rPr>
          <w:sz w:val="28"/>
        </w:rPr>
        <w:t>(</w:t>
      </w:r>
      <w:r>
        <w:rPr>
          <w:sz w:val="28"/>
          <w:shd w:fill="E5E5E5" w:val="clear"/>
        </w:rPr>
        <w:t>This draft is based on planned operations of the ERCOT market on June 1, 2001. Changes to market operations beyond that point, and updates to this guide, are likely based on on-going updates to the market protocols.)</w:t>
      </w:r>
    </w:p>
    <w:p>
      <w:pPr>
        <w:pStyle w:val="Normal"/>
        <w:jc w:val="center"/>
        <w:rPr>
          <w:sz w:val="50"/>
          <w:shd w:fill="E5E5E5" w:val="clear"/>
        </w:rPr>
      </w:pPr>
      <w:r>
        <w:rPr>
          <w:sz w:val="50"/>
          <w:shd w:fill="E5E5E5" w:val="clear"/>
        </w:rPr>
      </w:r>
    </w:p>
    <w:p>
      <w:pPr>
        <w:pStyle w:val="Normal"/>
        <w:jc w:val="center"/>
        <w:rPr>
          <w:sz w:val="50"/>
        </w:rPr>
      </w:pPr>
      <w:r>
        <w:rPr>
          <w:sz w:val="50"/>
        </w:rPr>
      </w:r>
    </w:p>
    <w:p>
      <w:pPr>
        <w:pStyle w:val="Normal"/>
        <w:jc w:val="center"/>
        <w:rPr>
          <w:sz w:val="50"/>
        </w:rPr>
      </w:pPr>
      <w:r>
        <w:rPr>
          <w:sz w:val="50"/>
        </w:rPr>
        <w:t>Version 1.2</w:t>
      </w:r>
    </w:p>
    <w:p>
      <w:pPr>
        <w:pStyle w:val="Normal"/>
        <w:jc w:val="center"/>
        <w:rPr>
          <w:i/>
          <w:i/>
          <w:sz w:val="56"/>
        </w:rPr>
      </w:pPr>
      <w:r>
        <w:rPr>
          <w:sz w:val="50"/>
        </w:rPr>
        <w:t>February 22, 2001</w:t>
      </w:r>
    </w:p>
    <w:p>
      <w:pPr>
        <w:sectPr>
          <w:headerReference w:type="default" r:id="rId3"/>
          <w:footerReference w:type="default" r:id="rId4"/>
          <w:type w:val="nextPage"/>
          <w:pgSz w:w="12240" w:h="15840"/>
          <w:pgMar w:left="288" w:right="1890" w:gutter="1440" w:header="706" w:top="1440" w:footer="706" w:bottom="1440"/>
          <w:pgNumType w:fmt="decimal"/>
          <w:formProt w:val="false"/>
          <w:textDirection w:val="lrTb"/>
          <w:docGrid w:type="default" w:linePitch="360" w:charSpace="0"/>
        </w:sectPr>
        <w:pStyle w:val="Normal"/>
        <w:rPr>
          <w:i/>
          <w:i/>
          <w:sz w:val="56"/>
        </w:rPr>
      </w:pPr>
      <w:r>
        <w:rPr>
          <w:i/>
          <w:sz w:val="56"/>
        </w:rPr>
      </w:r>
    </w:p>
    <w:p>
      <w:pPr>
        <w:pStyle w:val="Heading1"/>
        <w:jc w:val="center"/>
        <w:rPr/>
      </w:pPr>
      <w:bookmarkStart w:id="0" w:name="_Table_of_Contents"/>
      <w:r>
        <w:rPr/>
        <w:t>Table of Contents</w:t>
      </w:r>
    </w:p>
    <w:sdt>
      <w:sdtPr>
        <w:docPartObj>
          <w:docPartGallery w:val="Table of Contents"/>
          <w:docPartUnique w:val="true"/>
        </w:docPartObj>
      </w:sdtPr>
      <w:sdtContent>
        <w:p>
          <w:pPr>
            <w:pStyle w:val="TOC1"/>
            <w:tabs>
              <w:tab w:val="clear" w:pos="720"/>
              <w:tab w:val="right" w:pos="8612" w:leader="dot"/>
            </w:tabs>
            <w:rPr>
              <w:b w:val="false"/>
              <w:caps w:val="false"/>
              <w:smallCaps w:val="false"/>
              <w:sz w:val="24"/>
              <w:szCs w:val="24"/>
              <w:lang w:val="en-CA" w:eastAsia="en-CA"/>
            </w:rPr>
          </w:pPr>
          <w:r>
            <w:fldChar w:fldCharType="begin"/>
          </w:r>
          <w:r>
            <w:rPr>
              <w:smallCaps w:val="false"/>
              <w:caps w:val="false"/>
              <w:sz w:val="24"/>
              <w:b w:val="false"/>
              <w:szCs w:val="24"/>
              <w:lang w:val="en-CA" w:eastAsia="en-CA"/>
            </w:rPr>
            <w:instrText xml:space="preserve"> TOC \o "1-3" </w:instrText>
          </w:r>
          <w:r>
            <w:rPr>
              <w:smallCaps w:val="false"/>
              <w:caps w:val="false"/>
              <w:sz w:val="24"/>
              <w:b w:val="false"/>
              <w:szCs w:val="24"/>
              <w:lang w:val="en-CA" w:eastAsia="en-CA"/>
            </w:rPr>
            <w:fldChar w:fldCharType="separate"/>
          </w:r>
          <w:r>
            <w:rPr>
              <w:b w:val="false"/>
              <w:caps w:val="false"/>
              <w:smallCaps w:val="false"/>
              <w:sz w:val="24"/>
              <w:szCs w:val="24"/>
              <w:lang w:val="en-CA" w:eastAsia="en-CA"/>
            </w:rPr>
          </w:r>
        </w:p>
        <w:p>
          <w:pPr>
            <w:pStyle w:val="TOC1"/>
            <w:tabs>
              <w:tab w:val="clear" w:pos="720"/>
              <w:tab w:val="right" w:pos="8612" w:leader="dot"/>
            </w:tabs>
            <w:rPr>
              <w:b w:val="false"/>
              <w:caps w:val="false"/>
              <w:smallCaps w:val="false"/>
              <w:sz w:val="24"/>
              <w:szCs w:val="24"/>
              <w:lang w:val="fr-CA" w:eastAsia="en-CA"/>
            </w:rPr>
          </w:pPr>
          <w:r>
            <w:rPr>
              <w:szCs w:val="28"/>
              <w:lang w:val="fr-CA" w:eastAsia="en-CA"/>
            </w:rPr>
            <w:t>Preface</w:t>
          </w:r>
          <w:r>
            <w:rPr>
              <w:lang w:val="fr-CA" w:eastAsia="en-CA"/>
            </w:rPr>
            <w:tab/>
          </w:r>
          <w:hyperlink w:anchor="__RefHeading___Toc505989391">
            <w:r>
              <w:rPr>
                <w:rStyle w:val="IndexLink"/>
                <w:lang w:val="fr-CA" w:eastAsia="en-CA"/>
              </w:rPr>
              <w:t>3</w:t>
            </w:r>
          </w:hyperlink>
        </w:p>
        <w:p>
          <w:pPr>
            <w:pStyle w:val="TOC1"/>
            <w:tabs>
              <w:tab w:val="clear" w:pos="720"/>
              <w:tab w:val="right" w:pos="8612" w:leader="dot"/>
            </w:tabs>
            <w:rPr>
              <w:b w:val="false"/>
              <w:caps w:val="false"/>
              <w:smallCaps w:val="false"/>
              <w:sz w:val="24"/>
              <w:szCs w:val="24"/>
              <w:lang w:val="fr-CA" w:eastAsia="en-CA"/>
            </w:rPr>
          </w:pPr>
          <w:r>
            <w:rPr>
              <w:szCs w:val="28"/>
              <w:lang w:val="fr-CA" w:eastAsia="en-CA"/>
            </w:rPr>
            <w:t>1. Introduction</w:t>
          </w:r>
          <w:r>
            <w:rPr>
              <w:lang w:val="fr-CA" w:eastAsia="en-CA"/>
            </w:rPr>
            <w:tab/>
          </w:r>
          <w:hyperlink w:anchor="__RefHeading___Toc505989392">
            <w:r>
              <w:rPr>
                <w:rStyle w:val="IndexLink"/>
                <w:lang w:val="fr-CA" w:eastAsia="en-CA"/>
              </w:rPr>
              <w:t>4</w:t>
            </w:r>
          </w:hyperlink>
        </w:p>
        <w:p>
          <w:pPr>
            <w:pStyle w:val="TOC1"/>
            <w:tabs>
              <w:tab w:val="clear" w:pos="720"/>
              <w:tab w:val="right" w:pos="8612" w:leader="dot"/>
            </w:tabs>
            <w:rPr>
              <w:b w:val="false"/>
              <w:caps w:val="false"/>
              <w:smallCaps w:val="false"/>
              <w:sz w:val="24"/>
              <w:szCs w:val="24"/>
              <w:lang w:val="fr-CA" w:eastAsia="en-CA"/>
            </w:rPr>
          </w:pPr>
          <w:r>
            <w:rPr>
              <w:szCs w:val="28"/>
              <w:lang w:val="fr-CA" w:eastAsia="en-CA"/>
            </w:rPr>
            <w:t>2. Important Concepts</w:t>
          </w:r>
          <w:r>
            <w:rPr>
              <w:lang w:val="fr-CA" w:eastAsia="en-CA"/>
            </w:rPr>
            <w:tab/>
          </w:r>
          <w:hyperlink w:anchor="__RefHeading___Toc505989393">
            <w:r>
              <w:rPr>
                <w:rStyle w:val="IndexLink"/>
                <w:lang w:val="fr-CA" w:eastAsia="en-CA"/>
              </w:rPr>
              <w:t>7</w:t>
            </w:r>
          </w:hyperlink>
        </w:p>
        <w:p>
          <w:pPr>
            <w:pStyle w:val="TOC2"/>
            <w:tabs>
              <w:tab w:val="clear" w:pos="720"/>
              <w:tab w:val="right" w:pos="8612" w:leader="dot"/>
            </w:tabs>
            <w:rPr>
              <w:caps w:val="false"/>
              <w:smallCaps w:val="false"/>
              <w:sz w:val="24"/>
              <w:szCs w:val="24"/>
              <w:lang w:val="en-CA" w:eastAsia="en-CA"/>
            </w:rPr>
          </w:pPr>
          <w:r>
            <w:rPr>
              <w:szCs w:val="24"/>
              <w:lang w:val="en-CA" w:eastAsia="en-CA"/>
            </w:rPr>
            <w:t>2A. Ancillary Services- Capacity</w:t>
          </w:r>
          <w:r>
            <w:rPr>
              <w:lang w:val="en-CA" w:eastAsia="en-CA"/>
            </w:rPr>
            <w:tab/>
          </w:r>
          <w:hyperlink w:anchor="__RefHeading___Toc505989394">
            <w:r>
              <w:rPr>
                <w:rStyle w:val="IndexLink"/>
                <w:lang w:val="en-CA" w:eastAsia="en-CA"/>
              </w:rPr>
              <w:t>7</w:t>
            </w:r>
          </w:hyperlink>
        </w:p>
        <w:p>
          <w:pPr>
            <w:pStyle w:val="TOC2"/>
            <w:tabs>
              <w:tab w:val="clear" w:pos="720"/>
              <w:tab w:val="right" w:pos="8612" w:leader="dot"/>
            </w:tabs>
            <w:rPr>
              <w:caps w:val="false"/>
              <w:smallCaps w:val="false"/>
              <w:sz w:val="24"/>
              <w:szCs w:val="24"/>
              <w:lang w:val="en-CA" w:eastAsia="en-CA"/>
            </w:rPr>
          </w:pPr>
          <w:r>
            <w:rPr>
              <w:szCs w:val="24"/>
              <w:lang w:val="en-CA" w:eastAsia="en-CA"/>
            </w:rPr>
            <w:t>2B. Ancillary Services- Balancing Energy</w:t>
          </w:r>
          <w:r>
            <w:rPr>
              <w:lang w:val="en-CA" w:eastAsia="en-CA"/>
            </w:rPr>
            <w:tab/>
          </w:r>
          <w:hyperlink w:anchor="__RefHeading___Toc505989395">
            <w:r>
              <w:rPr>
                <w:rStyle w:val="IndexLink"/>
                <w:lang w:val="en-CA" w:eastAsia="en-CA"/>
              </w:rPr>
              <w:t>8</w:t>
            </w:r>
          </w:hyperlink>
        </w:p>
        <w:p>
          <w:pPr>
            <w:pStyle w:val="TOC1"/>
            <w:tabs>
              <w:tab w:val="clear" w:pos="720"/>
              <w:tab w:val="right" w:pos="8612" w:leader="dot"/>
            </w:tabs>
            <w:rPr>
              <w:b w:val="false"/>
              <w:caps w:val="false"/>
              <w:smallCaps w:val="false"/>
              <w:sz w:val="24"/>
              <w:szCs w:val="24"/>
              <w:lang w:val="en-CA" w:eastAsia="en-CA"/>
            </w:rPr>
          </w:pPr>
          <w:r>
            <w:rPr>
              <w:szCs w:val="28"/>
              <w:lang w:val="en-CA" w:eastAsia="en-CA"/>
            </w:rPr>
            <w:t>3. Market Overview</w:t>
          </w:r>
          <w:r>
            <w:rPr>
              <w:lang w:val="en-CA" w:eastAsia="en-CA"/>
            </w:rPr>
            <w:tab/>
          </w:r>
          <w:hyperlink w:anchor="__RefHeading___Toc505989396">
            <w:r>
              <w:rPr>
                <w:rStyle w:val="IndexLink"/>
                <w:lang w:val="en-CA" w:eastAsia="en-CA"/>
              </w:rPr>
              <w:t>10</w:t>
            </w:r>
          </w:hyperlink>
        </w:p>
        <w:p>
          <w:pPr>
            <w:pStyle w:val="TOC1"/>
            <w:tabs>
              <w:tab w:val="clear" w:pos="720"/>
              <w:tab w:val="right" w:pos="8612" w:leader="dot"/>
            </w:tabs>
            <w:rPr>
              <w:b w:val="false"/>
              <w:caps w:val="false"/>
              <w:smallCaps w:val="false"/>
              <w:sz w:val="24"/>
              <w:szCs w:val="24"/>
              <w:lang w:val="en-CA" w:eastAsia="en-CA"/>
            </w:rPr>
          </w:pPr>
          <w:r>
            <w:rPr>
              <w:szCs w:val="28"/>
              <w:lang w:val="en-CA" w:eastAsia="en-CA"/>
            </w:rPr>
            <w:t>4. ERCOT Core Processes</w:t>
          </w:r>
          <w:r>
            <w:rPr>
              <w:lang w:val="en-CA" w:eastAsia="en-CA"/>
            </w:rPr>
            <w:tab/>
          </w:r>
          <w:hyperlink w:anchor="__RefHeading___Toc505989397">
            <w:r>
              <w:rPr>
                <w:rStyle w:val="IndexLink"/>
                <w:lang w:val="en-CA" w:eastAsia="en-CA"/>
              </w:rPr>
              <w:t>16</w:t>
            </w:r>
          </w:hyperlink>
        </w:p>
        <w:p>
          <w:pPr>
            <w:pStyle w:val="TOC2"/>
            <w:tabs>
              <w:tab w:val="clear" w:pos="720"/>
              <w:tab w:val="right" w:pos="8612" w:leader="dot"/>
            </w:tabs>
            <w:rPr>
              <w:caps w:val="false"/>
              <w:smallCaps w:val="false"/>
              <w:sz w:val="24"/>
              <w:szCs w:val="24"/>
              <w:lang w:val="en-CA" w:eastAsia="en-CA"/>
            </w:rPr>
          </w:pPr>
          <w:r>
            <w:rPr>
              <w:szCs w:val="24"/>
              <w:lang w:val="en-CA" w:eastAsia="en-CA"/>
            </w:rPr>
            <w:t>4A.  Registration Process</w:t>
          </w:r>
          <w:r>
            <w:rPr>
              <w:lang w:val="en-CA" w:eastAsia="en-CA"/>
            </w:rPr>
            <w:tab/>
          </w:r>
          <w:hyperlink w:anchor="__RefHeading___Toc505989398">
            <w:r>
              <w:rPr>
                <w:rStyle w:val="IndexLink"/>
                <w:lang w:val="en-CA" w:eastAsia="en-CA"/>
              </w:rPr>
              <w:t>16</w:t>
            </w:r>
          </w:hyperlink>
        </w:p>
        <w:p>
          <w:pPr>
            <w:pStyle w:val="TOC2"/>
            <w:tabs>
              <w:tab w:val="clear" w:pos="720"/>
              <w:tab w:val="right" w:pos="8612" w:leader="dot"/>
            </w:tabs>
            <w:rPr>
              <w:caps w:val="false"/>
              <w:smallCaps w:val="false"/>
              <w:sz w:val="24"/>
              <w:szCs w:val="24"/>
              <w:lang w:val="en-CA" w:eastAsia="en-CA"/>
            </w:rPr>
          </w:pPr>
          <w:r>
            <w:rPr>
              <w:szCs w:val="24"/>
              <w:lang w:val="en-CA" w:eastAsia="en-CA"/>
            </w:rPr>
            <w:t>4B. Market Timeline</w:t>
          </w:r>
          <w:r>
            <w:rPr>
              <w:lang w:val="en-CA" w:eastAsia="en-CA"/>
            </w:rPr>
            <w:tab/>
          </w:r>
          <w:hyperlink w:anchor="__RefHeading___Toc505989399">
            <w:r>
              <w:rPr>
                <w:rStyle w:val="IndexLink"/>
                <w:lang w:val="en-CA" w:eastAsia="en-CA"/>
              </w:rPr>
              <w:t>18</w:t>
            </w:r>
          </w:hyperlink>
        </w:p>
        <w:p>
          <w:pPr>
            <w:pStyle w:val="TOC3"/>
            <w:tabs>
              <w:tab w:val="clear" w:pos="720"/>
              <w:tab w:val="right" w:pos="8612" w:leader="dot"/>
            </w:tabs>
            <w:rPr>
              <w:i w:val="false"/>
              <w:i w:val="false"/>
              <w:sz w:val="24"/>
              <w:szCs w:val="24"/>
              <w:lang w:val="en-CA" w:eastAsia="en-CA"/>
            </w:rPr>
          </w:pPr>
          <w:r>
            <w:rPr>
              <w:szCs w:val="24"/>
              <w:lang w:val="en-CA" w:eastAsia="en-CA"/>
            </w:rPr>
            <w:t>Market Operations</w:t>
          </w:r>
          <w:r>
            <w:rPr>
              <w:lang w:val="en-CA" w:eastAsia="en-CA"/>
            </w:rPr>
            <w:tab/>
          </w:r>
          <w:hyperlink w:anchor="__RefHeading___Toc505989400">
            <w:r>
              <w:rPr>
                <w:rStyle w:val="IndexLink"/>
                <w:lang w:val="en-CA" w:eastAsia="en-CA"/>
              </w:rPr>
              <w:t>18</w:t>
            </w:r>
          </w:hyperlink>
        </w:p>
        <w:p>
          <w:pPr>
            <w:pStyle w:val="TOC3"/>
            <w:tabs>
              <w:tab w:val="clear" w:pos="720"/>
              <w:tab w:val="right" w:pos="8612" w:leader="dot"/>
            </w:tabs>
            <w:rPr>
              <w:i w:val="false"/>
              <w:i w:val="false"/>
              <w:sz w:val="24"/>
              <w:szCs w:val="24"/>
              <w:lang w:val="en-CA" w:eastAsia="en-CA"/>
            </w:rPr>
          </w:pPr>
          <w:r>
            <w:rPr>
              <w:szCs w:val="24"/>
              <w:lang w:val="en-CA" w:eastAsia="en-CA"/>
            </w:rPr>
            <w:t>Power Operations</w:t>
          </w:r>
          <w:r>
            <w:rPr>
              <w:lang w:val="en-CA" w:eastAsia="en-CA"/>
            </w:rPr>
            <w:tab/>
          </w:r>
          <w:hyperlink w:anchor="__RefHeading___Toc505989401">
            <w:r>
              <w:rPr>
                <w:rStyle w:val="IndexLink"/>
                <w:lang w:val="en-CA" w:eastAsia="en-CA"/>
              </w:rPr>
              <w:t>18</w:t>
            </w:r>
          </w:hyperlink>
        </w:p>
        <w:p>
          <w:pPr>
            <w:pStyle w:val="TOC3"/>
            <w:tabs>
              <w:tab w:val="clear" w:pos="720"/>
              <w:tab w:val="right" w:pos="8612" w:leader="dot"/>
            </w:tabs>
            <w:rPr>
              <w:i w:val="false"/>
              <w:i w:val="false"/>
              <w:sz w:val="24"/>
              <w:szCs w:val="24"/>
              <w:lang w:val="en-CA" w:eastAsia="en-CA"/>
            </w:rPr>
          </w:pPr>
          <w:r>
            <w:rPr>
              <w:szCs w:val="24"/>
              <w:lang w:val="en-CA" w:eastAsia="en-CA"/>
            </w:rPr>
            <w:t>Settlements</w:t>
          </w:r>
          <w:r>
            <w:rPr>
              <w:lang w:val="en-CA" w:eastAsia="en-CA"/>
            </w:rPr>
            <w:tab/>
          </w:r>
          <w:hyperlink w:anchor="__RefHeading___Toc505989402">
            <w:r>
              <w:rPr>
                <w:rStyle w:val="IndexLink"/>
                <w:lang w:val="en-CA" w:eastAsia="en-CA"/>
              </w:rPr>
              <w:t>18</w:t>
            </w:r>
          </w:hyperlink>
        </w:p>
        <w:p>
          <w:pPr>
            <w:pStyle w:val="TOC2"/>
            <w:tabs>
              <w:tab w:val="clear" w:pos="720"/>
              <w:tab w:val="right" w:pos="8612" w:leader="dot"/>
            </w:tabs>
            <w:rPr>
              <w:caps w:val="false"/>
              <w:smallCaps w:val="false"/>
              <w:sz w:val="24"/>
              <w:szCs w:val="24"/>
              <w:lang w:val="en-CA" w:eastAsia="en-CA"/>
            </w:rPr>
          </w:pPr>
          <w:r>
            <w:rPr>
              <w:szCs w:val="24"/>
              <w:lang w:val="en-CA" w:eastAsia="en-CA"/>
            </w:rPr>
            <w:t>4C. Market Operations Process</w:t>
          </w:r>
          <w:r>
            <w:rPr>
              <w:lang w:val="en-CA" w:eastAsia="en-CA"/>
            </w:rPr>
            <w:tab/>
          </w:r>
          <w:hyperlink w:anchor="__RefHeading___Toc505989403">
            <w:r>
              <w:rPr>
                <w:rStyle w:val="IndexLink"/>
                <w:lang w:val="en-CA" w:eastAsia="en-CA"/>
              </w:rPr>
              <w:t>20</w:t>
            </w:r>
          </w:hyperlink>
        </w:p>
        <w:p>
          <w:pPr>
            <w:pStyle w:val="TOC3"/>
            <w:tabs>
              <w:tab w:val="clear" w:pos="720"/>
              <w:tab w:val="right" w:pos="8612" w:leader="dot"/>
            </w:tabs>
            <w:rPr>
              <w:i w:val="false"/>
              <w:i w:val="false"/>
              <w:sz w:val="24"/>
              <w:szCs w:val="24"/>
              <w:lang w:val="en-CA" w:eastAsia="en-CA"/>
            </w:rPr>
          </w:pPr>
          <w:r>
            <w:rPr>
              <w:szCs w:val="24"/>
              <w:lang w:val="en-CA" w:eastAsia="en-CA"/>
            </w:rPr>
            <w:t>Day-Ahead Market</w:t>
          </w:r>
          <w:r>
            <w:rPr>
              <w:lang w:val="en-CA" w:eastAsia="en-CA"/>
            </w:rPr>
            <w:tab/>
          </w:r>
          <w:hyperlink w:anchor="__RefHeading___Toc505989404">
            <w:r>
              <w:rPr>
                <w:rStyle w:val="IndexLink"/>
                <w:lang w:val="en-CA" w:eastAsia="en-CA"/>
              </w:rPr>
              <w:t>20</w:t>
            </w:r>
          </w:hyperlink>
        </w:p>
        <w:p>
          <w:pPr>
            <w:pStyle w:val="TOC3"/>
            <w:tabs>
              <w:tab w:val="clear" w:pos="720"/>
              <w:tab w:val="right" w:pos="8612" w:leader="dot"/>
            </w:tabs>
            <w:rPr>
              <w:i w:val="false"/>
              <w:i w:val="false"/>
              <w:sz w:val="24"/>
              <w:szCs w:val="24"/>
              <w:lang w:val="en-CA" w:eastAsia="en-CA"/>
            </w:rPr>
          </w:pPr>
          <w:r>
            <w:rPr>
              <w:szCs w:val="24"/>
              <w:lang w:val="en-CA" w:eastAsia="en-CA"/>
            </w:rPr>
            <w:t>Adjustment Period</w:t>
          </w:r>
          <w:r>
            <w:rPr>
              <w:lang w:val="en-CA" w:eastAsia="en-CA"/>
            </w:rPr>
            <w:tab/>
          </w:r>
          <w:hyperlink w:anchor="__RefHeading___Toc505989405">
            <w:r>
              <w:rPr>
                <w:rStyle w:val="IndexLink"/>
                <w:lang w:val="en-CA" w:eastAsia="en-CA"/>
              </w:rPr>
              <w:t>22</w:t>
            </w:r>
          </w:hyperlink>
        </w:p>
        <w:p>
          <w:pPr>
            <w:pStyle w:val="TOC3"/>
            <w:tabs>
              <w:tab w:val="clear" w:pos="720"/>
              <w:tab w:val="right" w:pos="8612" w:leader="dot"/>
            </w:tabs>
            <w:rPr>
              <w:i w:val="false"/>
              <w:i w:val="false"/>
              <w:sz w:val="24"/>
              <w:szCs w:val="24"/>
              <w:lang w:val="en-CA" w:eastAsia="en-CA"/>
            </w:rPr>
          </w:pPr>
          <w:r>
            <w:rPr>
              <w:szCs w:val="24"/>
              <w:lang w:val="en-CA" w:eastAsia="en-CA"/>
            </w:rPr>
            <w:t>Operating Period</w:t>
          </w:r>
          <w:r>
            <w:rPr>
              <w:lang w:val="en-CA" w:eastAsia="en-CA"/>
            </w:rPr>
            <w:tab/>
          </w:r>
          <w:hyperlink w:anchor="Operating">
            <w:r>
              <w:rPr>
                <w:rStyle w:val="IndexLink"/>
                <w:lang w:val="en-CA" w:eastAsia="en-CA"/>
              </w:rPr>
              <w:t>22</w:t>
            </w:r>
          </w:hyperlink>
        </w:p>
        <w:p>
          <w:pPr>
            <w:pStyle w:val="TOC2"/>
            <w:tabs>
              <w:tab w:val="clear" w:pos="720"/>
              <w:tab w:val="right" w:pos="8612" w:leader="dot"/>
            </w:tabs>
            <w:rPr>
              <w:caps w:val="false"/>
              <w:smallCaps w:val="false"/>
              <w:sz w:val="24"/>
              <w:szCs w:val="24"/>
              <w:lang w:val="en-CA" w:eastAsia="en-CA"/>
            </w:rPr>
          </w:pPr>
          <w:r>
            <w:rPr>
              <w:szCs w:val="24"/>
              <w:lang w:val="en-CA" w:eastAsia="en-CA"/>
            </w:rPr>
            <w:t>4D. Power Operations Process</w:t>
          </w:r>
          <w:r>
            <w:rPr>
              <w:lang w:val="en-CA" w:eastAsia="en-CA"/>
            </w:rPr>
            <w:tab/>
          </w:r>
          <w:hyperlink w:anchor="__RefHeading___Toc505989407">
            <w:r>
              <w:rPr>
                <w:rStyle w:val="IndexLink"/>
                <w:lang w:val="en-CA" w:eastAsia="en-CA"/>
              </w:rPr>
              <w:t>23</w:t>
            </w:r>
          </w:hyperlink>
        </w:p>
        <w:p>
          <w:pPr>
            <w:pStyle w:val="TOC2"/>
            <w:tabs>
              <w:tab w:val="clear" w:pos="720"/>
              <w:tab w:val="right" w:pos="8612" w:leader="dot"/>
            </w:tabs>
            <w:rPr>
              <w:caps w:val="false"/>
              <w:smallCaps w:val="false"/>
              <w:sz w:val="24"/>
              <w:szCs w:val="24"/>
              <w:lang w:val="en-CA" w:eastAsia="en-CA"/>
            </w:rPr>
          </w:pPr>
          <w:r>
            <w:rPr>
              <w:szCs w:val="24"/>
              <w:lang w:val="en-CA" w:eastAsia="en-CA"/>
            </w:rPr>
            <w:t>4E. Load Profiling, Data Acquisition, and Data Aggregation Process</w:t>
          </w:r>
          <w:r>
            <w:rPr>
              <w:lang w:val="en-CA" w:eastAsia="en-CA"/>
            </w:rPr>
            <w:tab/>
          </w:r>
          <w:hyperlink w:anchor="__RefHeading___Toc505989408">
            <w:r>
              <w:rPr>
                <w:rStyle w:val="IndexLink"/>
                <w:lang w:val="en-CA" w:eastAsia="en-CA"/>
              </w:rPr>
              <w:t>24</w:t>
            </w:r>
          </w:hyperlink>
        </w:p>
        <w:p>
          <w:pPr>
            <w:pStyle w:val="TOC3"/>
            <w:tabs>
              <w:tab w:val="clear" w:pos="720"/>
              <w:tab w:val="right" w:pos="8612" w:leader="dot"/>
            </w:tabs>
            <w:rPr>
              <w:i w:val="false"/>
              <w:i w:val="false"/>
              <w:sz w:val="24"/>
              <w:szCs w:val="24"/>
              <w:lang w:val="en-CA" w:eastAsia="en-CA"/>
            </w:rPr>
          </w:pPr>
          <w:r>
            <w:rPr>
              <w:szCs w:val="24"/>
              <w:lang w:val="en-CA" w:eastAsia="en-CA"/>
            </w:rPr>
            <w:t>Load Profiling</w:t>
          </w:r>
          <w:r>
            <w:rPr>
              <w:lang w:val="en-CA" w:eastAsia="en-CA"/>
            </w:rPr>
            <w:tab/>
          </w:r>
          <w:hyperlink w:anchor="__RefHeading___Toc505989409">
            <w:r>
              <w:rPr>
                <w:rStyle w:val="IndexLink"/>
                <w:lang w:val="en-CA" w:eastAsia="en-CA"/>
              </w:rPr>
              <w:t>25</w:t>
            </w:r>
          </w:hyperlink>
        </w:p>
        <w:p>
          <w:pPr>
            <w:pStyle w:val="TOC3"/>
            <w:tabs>
              <w:tab w:val="clear" w:pos="720"/>
              <w:tab w:val="right" w:pos="8612" w:leader="dot"/>
            </w:tabs>
            <w:rPr>
              <w:i w:val="false"/>
              <w:i w:val="false"/>
              <w:sz w:val="24"/>
              <w:szCs w:val="24"/>
              <w:lang w:val="en-CA" w:eastAsia="en-CA"/>
            </w:rPr>
          </w:pPr>
          <w:r>
            <w:rPr>
              <w:szCs w:val="24"/>
              <w:lang w:val="en-CA" w:eastAsia="en-CA"/>
            </w:rPr>
            <w:t>Data Aggregation</w:t>
          </w:r>
          <w:r>
            <w:rPr>
              <w:lang w:val="en-CA" w:eastAsia="en-CA"/>
            </w:rPr>
            <w:tab/>
          </w:r>
          <w:hyperlink w:anchor="__RefHeading___Toc505989410">
            <w:r>
              <w:rPr>
                <w:rStyle w:val="IndexLink"/>
                <w:lang w:val="en-CA" w:eastAsia="en-CA"/>
              </w:rPr>
              <w:t>28</w:t>
            </w:r>
          </w:hyperlink>
        </w:p>
        <w:p>
          <w:pPr>
            <w:pStyle w:val="TOC3"/>
            <w:tabs>
              <w:tab w:val="clear" w:pos="720"/>
              <w:tab w:val="right" w:pos="8612" w:leader="dot"/>
            </w:tabs>
            <w:rPr>
              <w:i w:val="false"/>
              <w:i w:val="false"/>
              <w:sz w:val="24"/>
              <w:szCs w:val="24"/>
              <w:lang w:val="en-CA" w:eastAsia="en-CA"/>
            </w:rPr>
          </w:pPr>
          <w:r>
            <w:rPr>
              <w:szCs w:val="24"/>
              <w:lang w:val="en-CA" w:eastAsia="en-CA"/>
            </w:rPr>
            <w:t>Losses</w:t>
          </w:r>
          <w:r>
            <w:rPr>
              <w:lang w:val="en-CA" w:eastAsia="en-CA"/>
            </w:rPr>
            <w:tab/>
          </w:r>
          <w:hyperlink w:anchor="__RefHeading___Toc505989411">
            <w:r>
              <w:rPr>
                <w:rStyle w:val="IndexLink"/>
                <w:lang w:val="en-CA" w:eastAsia="en-CA"/>
              </w:rPr>
              <w:t>29</w:t>
            </w:r>
          </w:hyperlink>
        </w:p>
        <w:p>
          <w:pPr>
            <w:pStyle w:val="TOC3"/>
            <w:tabs>
              <w:tab w:val="clear" w:pos="720"/>
              <w:tab w:val="right" w:pos="8612" w:leader="dot"/>
            </w:tabs>
            <w:rPr>
              <w:i w:val="false"/>
              <w:i w:val="false"/>
              <w:sz w:val="24"/>
              <w:szCs w:val="24"/>
              <w:lang w:val="en-CA" w:eastAsia="en-CA"/>
            </w:rPr>
          </w:pPr>
          <w:r>
            <w:rPr>
              <w:szCs w:val="24"/>
              <w:lang w:val="en-CA" w:eastAsia="en-CA"/>
            </w:rPr>
            <w:t>UFE</w:t>
          </w:r>
          <w:r>
            <w:rPr>
              <w:lang w:val="en-CA" w:eastAsia="en-CA"/>
            </w:rPr>
            <w:tab/>
          </w:r>
          <w:hyperlink w:anchor="__RefHeading___Toc505989413">
            <w:r>
              <w:rPr>
                <w:rStyle w:val="IndexLink"/>
                <w:lang w:val="en-CA" w:eastAsia="en-CA"/>
              </w:rPr>
              <w:t>29</w:t>
            </w:r>
          </w:hyperlink>
        </w:p>
        <w:p>
          <w:pPr>
            <w:pStyle w:val="TOC2"/>
            <w:tabs>
              <w:tab w:val="clear" w:pos="720"/>
              <w:tab w:val="right" w:pos="8612" w:leader="dot"/>
            </w:tabs>
            <w:rPr>
              <w:caps w:val="false"/>
              <w:smallCaps w:val="false"/>
              <w:sz w:val="24"/>
              <w:szCs w:val="24"/>
              <w:lang w:val="en-CA" w:eastAsia="en-CA"/>
            </w:rPr>
          </w:pPr>
          <w:r>
            <w:rPr>
              <w:szCs w:val="24"/>
              <w:lang w:val="en-CA" w:eastAsia="en-CA"/>
            </w:rPr>
            <w:t>4F. Settlements, Billing, and Financial Transfer Process</w:t>
          </w:r>
          <w:r>
            <w:rPr>
              <w:lang w:val="en-CA" w:eastAsia="en-CA"/>
            </w:rPr>
            <w:tab/>
          </w:r>
          <w:hyperlink w:anchor="__RefHeading___Toc505989414">
            <w:r>
              <w:rPr>
                <w:rStyle w:val="IndexLink"/>
                <w:lang w:val="en-CA" w:eastAsia="en-CA"/>
              </w:rPr>
              <w:t>31</w:t>
            </w:r>
          </w:hyperlink>
        </w:p>
        <w:p>
          <w:pPr>
            <w:pStyle w:val="TOC3"/>
            <w:tabs>
              <w:tab w:val="clear" w:pos="720"/>
              <w:tab w:val="right" w:pos="8612" w:leader="dot"/>
            </w:tabs>
            <w:rPr>
              <w:i w:val="false"/>
              <w:i w:val="false"/>
              <w:sz w:val="24"/>
              <w:szCs w:val="24"/>
              <w:lang w:val="en-CA" w:eastAsia="en-CA"/>
            </w:rPr>
          </w:pPr>
          <w:r>
            <w:rPr>
              <w:szCs w:val="24"/>
              <w:lang w:val="en-CA" w:eastAsia="en-CA"/>
            </w:rPr>
            <w:t>Settlement Calculations</w:t>
          </w:r>
          <w:r>
            <w:rPr>
              <w:lang w:val="en-CA" w:eastAsia="en-CA"/>
            </w:rPr>
            <w:tab/>
          </w:r>
          <w:hyperlink w:anchor="__RefHeading___Toc505989415">
            <w:r>
              <w:rPr>
                <w:rStyle w:val="IndexLink"/>
                <w:lang w:val="en-CA" w:eastAsia="en-CA"/>
              </w:rPr>
              <w:t>32</w:t>
            </w:r>
          </w:hyperlink>
        </w:p>
        <w:p>
          <w:pPr>
            <w:pStyle w:val="TOC3"/>
            <w:tabs>
              <w:tab w:val="clear" w:pos="720"/>
              <w:tab w:val="right" w:pos="8612" w:leader="dot"/>
            </w:tabs>
            <w:rPr>
              <w:i w:val="false"/>
              <w:i w:val="false"/>
              <w:sz w:val="24"/>
              <w:szCs w:val="24"/>
              <w:lang w:val="en-CA" w:eastAsia="en-CA"/>
            </w:rPr>
          </w:pPr>
          <w:r>
            <w:rPr>
              <w:szCs w:val="24"/>
              <w:lang w:val="en-CA" w:eastAsia="en-CA"/>
            </w:rPr>
            <w:t>Statements</w:t>
          </w:r>
          <w:r>
            <w:rPr>
              <w:lang w:val="en-CA" w:eastAsia="en-CA"/>
            </w:rPr>
            <w:tab/>
          </w:r>
          <w:hyperlink w:anchor="__RefHeading___Toc505989416">
            <w:r>
              <w:rPr>
                <w:rStyle w:val="IndexLink"/>
                <w:lang w:val="en-CA" w:eastAsia="en-CA"/>
              </w:rPr>
              <w:t>35</w:t>
            </w:r>
          </w:hyperlink>
        </w:p>
        <w:p>
          <w:pPr>
            <w:pStyle w:val="TOC1"/>
            <w:tabs>
              <w:tab w:val="clear" w:pos="720"/>
              <w:tab w:val="right" w:pos="8612" w:leader="dot"/>
            </w:tabs>
            <w:rPr>
              <w:b w:val="false"/>
              <w:caps w:val="false"/>
              <w:smallCaps w:val="false"/>
              <w:sz w:val="24"/>
              <w:szCs w:val="24"/>
              <w:lang w:val="en-CA" w:eastAsia="en-CA"/>
            </w:rPr>
          </w:pPr>
          <w:r>
            <w:rPr>
              <w:szCs w:val="28"/>
              <w:lang w:val="en-CA" w:eastAsia="en-CA"/>
            </w:rPr>
            <w:t>5. Key Concepts in Detail</w:t>
          </w:r>
          <w:r>
            <w:rPr>
              <w:lang w:val="en-CA" w:eastAsia="en-CA"/>
            </w:rPr>
            <w:tab/>
          </w:r>
          <w:hyperlink w:anchor="__RefHeading___Toc505989417">
            <w:r>
              <w:rPr>
                <w:rStyle w:val="IndexLink"/>
                <w:lang w:val="en-CA" w:eastAsia="en-CA"/>
              </w:rPr>
              <w:t>36</w:t>
            </w:r>
          </w:hyperlink>
        </w:p>
        <w:p>
          <w:pPr>
            <w:pStyle w:val="TOC1"/>
            <w:tabs>
              <w:tab w:val="clear" w:pos="720"/>
              <w:tab w:val="right" w:pos="8612" w:leader="dot"/>
            </w:tabs>
            <w:rPr>
              <w:b w:val="false"/>
              <w:caps w:val="false"/>
              <w:smallCaps w:val="false"/>
              <w:sz w:val="24"/>
              <w:szCs w:val="24"/>
              <w:lang w:val="en-CA" w:eastAsia="en-CA"/>
            </w:rPr>
          </w:pPr>
          <w:r>
            <w:rPr>
              <w:szCs w:val="28"/>
              <w:lang w:val="en-CA" w:eastAsia="en-CA"/>
            </w:rPr>
            <w:t>5. Key Concepts in Detail</w:t>
          </w:r>
          <w:r>
            <w:rPr>
              <w:lang w:val="en-CA" w:eastAsia="en-CA"/>
            </w:rPr>
            <w:tab/>
          </w:r>
          <w:hyperlink w:anchor="__RefHeading___Toc505989418">
            <w:r>
              <w:rPr>
                <w:rStyle w:val="IndexLink"/>
                <w:lang w:val="en-CA" w:eastAsia="en-CA"/>
              </w:rPr>
              <w:t>37</w:t>
            </w:r>
          </w:hyperlink>
        </w:p>
        <w:p>
          <w:pPr>
            <w:pStyle w:val="TOC2"/>
            <w:tabs>
              <w:tab w:val="clear" w:pos="720"/>
              <w:tab w:val="right" w:pos="8612" w:leader="dot"/>
            </w:tabs>
            <w:rPr>
              <w:i/>
              <w:i/>
              <w:sz w:val="24"/>
              <w:szCs w:val="24"/>
              <w:lang w:val="en-CA" w:eastAsia="en-CA"/>
            </w:rPr>
          </w:pPr>
          <w:r>
            <w:rPr>
              <w:szCs w:val="24"/>
              <w:lang w:val="en-CA" w:eastAsia="en-CA"/>
            </w:rPr>
            <w:t>5A. Ancillary Services</w:t>
          </w:r>
          <w:r>
            <w:rPr>
              <w:lang w:val="en-CA" w:eastAsia="en-CA"/>
            </w:rPr>
            <w:tab/>
          </w:r>
          <w:hyperlink w:anchor="__RefHeading___Toc505989419">
            <w:r>
              <w:rPr>
                <w:rStyle w:val="IndexLink"/>
                <w:lang w:val="en-CA" w:eastAsia="en-CA"/>
              </w:rPr>
              <w:t>37</w:t>
            </w:r>
          </w:hyperlink>
        </w:p>
        <w:p>
          <w:pPr>
            <w:pStyle w:val="TOC2"/>
            <w:tabs>
              <w:tab w:val="clear" w:pos="720"/>
              <w:tab w:val="right" w:pos="8612" w:leader="dot"/>
            </w:tabs>
            <w:rPr>
              <w:caps w:val="false"/>
              <w:smallCaps w:val="false"/>
              <w:sz w:val="24"/>
              <w:szCs w:val="24"/>
              <w:lang w:val="fr-CA" w:eastAsia="en-CA"/>
            </w:rPr>
          </w:pPr>
          <w:r>
            <w:rPr>
              <w:szCs w:val="24"/>
              <w:lang w:val="fr-CA" w:eastAsia="en-CA"/>
            </w:rPr>
            <w:t>5B. Congestion Management</w:t>
          </w:r>
          <w:r>
            <w:rPr>
              <w:lang w:val="fr-CA" w:eastAsia="en-CA"/>
            </w:rPr>
            <w:tab/>
          </w:r>
          <w:hyperlink w:anchor="__RefHeading___Toc505989424">
            <w:r>
              <w:rPr>
                <w:rStyle w:val="IndexLink"/>
                <w:lang w:val="fr-CA" w:eastAsia="en-CA"/>
              </w:rPr>
              <w:t>40</w:t>
            </w:r>
          </w:hyperlink>
        </w:p>
        <w:p>
          <w:pPr>
            <w:pStyle w:val="TOC3"/>
            <w:tabs>
              <w:tab w:val="clear" w:pos="720"/>
              <w:tab w:val="right" w:pos="8612" w:leader="dot"/>
            </w:tabs>
            <w:rPr>
              <w:i w:val="false"/>
              <w:i w:val="false"/>
              <w:sz w:val="24"/>
              <w:szCs w:val="24"/>
              <w:lang w:val="fr-CA" w:eastAsia="en-CA"/>
            </w:rPr>
          </w:pPr>
          <w:r>
            <w:rPr>
              <w:szCs w:val="24"/>
              <w:lang w:val="fr-CA" w:eastAsia="en-CA"/>
            </w:rPr>
            <w:t>Congestion Zones</w:t>
          </w:r>
          <w:r>
            <w:rPr>
              <w:lang w:val="fr-CA" w:eastAsia="en-CA"/>
            </w:rPr>
            <w:tab/>
          </w:r>
          <w:hyperlink w:anchor="__RefHeading___Toc505989425">
            <w:r>
              <w:rPr>
                <w:rStyle w:val="IndexLink"/>
                <w:lang w:val="fr-CA" w:eastAsia="en-CA"/>
              </w:rPr>
              <w:t>42</w:t>
            </w:r>
          </w:hyperlink>
        </w:p>
        <w:p>
          <w:pPr>
            <w:pStyle w:val="TOC3"/>
            <w:tabs>
              <w:tab w:val="clear" w:pos="720"/>
              <w:tab w:val="right" w:pos="8612" w:leader="dot"/>
            </w:tabs>
            <w:rPr>
              <w:i w:val="false"/>
              <w:i w:val="false"/>
              <w:sz w:val="24"/>
              <w:szCs w:val="24"/>
              <w:lang w:val="fr-CA" w:eastAsia="en-CA"/>
            </w:rPr>
          </w:pPr>
          <w:r>
            <w:rPr>
              <w:szCs w:val="24"/>
              <w:lang w:val="fr-CA" w:eastAsia="en-CA"/>
            </w:rPr>
            <w:t>Settlement for Congestion</w:t>
          </w:r>
          <w:r>
            <w:rPr>
              <w:lang w:val="fr-CA" w:eastAsia="en-CA"/>
            </w:rPr>
            <w:tab/>
          </w:r>
          <w:hyperlink w:anchor="__RefHeading___Toc505989426">
            <w:r>
              <w:rPr>
                <w:rStyle w:val="IndexLink"/>
                <w:lang w:val="fr-CA" w:eastAsia="en-CA"/>
              </w:rPr>
              <w:t>43</w:t>
            </w:r>
          </w:hyperlink>
        </w:p>
        <w:p>
          <w:pPr>
            <w:pStyle w:val="TOC3"/>
            <w:tabs>
              <w:tab w:val="clear" w:pos="720"/>
              <w:tab w:val="right" w:pos="8612" w:leader="dot"/>
            </w:tabs>
            <w:rPr>
              <w:i w:val="false"/>
              <w:i w:val="false"/>
              <w:sz w:val="24"/>
              <w:szCs w:val="24"/>
              <w:lang w:val="fr-CA" w:eastAsia="en-CA"/>
            </w:rPr>
          </w:pPr>
          <w:r>
            <w:rPr>
              <w:szCs w:val="24"/>
              <w:lang w:val="fr-CA" w:eastAsia="en-CA"/>
            </w:rPr>
            <w:t>Zonal Congestion Cost Allocation</w:t>
          </w:r>
          <w:r>
            <w:rPr>
              <w:lang w:val="fr-CA" w:eastAsia="en-CA"/>
            </w:rPr>
            <w:tab/>
          </w:r>
          <w:hyperlink w:anchor="__RefHeading___Toc505989427">
            <w:r>
              <w:rPr>
                <w:rStyle w:val="IndexLink"/>
                <w:lang w:val="fr-CA" w:eastAsia="en-CA"/>
              </w:rPr>
              <w:t>43</w:t>
            </w:r>
          </w:hyperlink>
        </w:p>
        <w:p>
          <w:pPr>
            <w:pStyle w:val="TOC3"/>
            <w:tabs>
              <w:tab w:val="clear" w:pos="720"/>
              <w:tab w:val="right" w:pos="8612" w:leader="dot"/>
            </w:tabs>
            <w:rPr>
              <w:i w:val="false"/>
              <w:i w:val="false"/>
              <w:sz w:val="24"/>
              <w:szCs w:val="24"/>
              <w:lang w:val="fr-CA" w:eastAsia="en-CA"/>
            </w:rPr>
          </w:pPr>
          <w:r>
            <w:rPr>
              <w:szCs w:val="24"/>
              <w:lang w:val="fr-CA" w:eastAsia="en-CA"/>
            </w:rPr>
            <w:t>Transmission Congestion Rights (TCR)</w:t>
          </w:r>
          <w:r>
            <w:rPr>
              <w:lang w:val="fr-CA" w:eastAsia="en-CA"/>
            </w:rPr>
            <w:tab/>
          </w:r>
          <w:hyperlink w:anchor="__RefHeading___Toc505989428">
            <w:r>
              <w:rPr>
                <w:rStyle w:val="IndexLink"/>
                <w:lang w:val="fr-CA" w:eastAsia="en-CA"/>
              </w:rPr>
              <w:t>44</w:t>
            </w:r>
          </w:hyperlink>
        </w:p>
        <w:p>
          <w:pPr>
            <w:pStyle w:val="TOC1"/>
            <w:tabs>
              <w:tab w:val="clear" w:pos="720"/>
              <w:tab w:val="right" w:pos="8612" w:leader="dot"/>
            </w:tabs>
            <w:rPr>
              <w:b w:val="false"/>
              <w:caps w:val="false"/>
              <w:smallCaps w:val="false"/>
              <w:sz w:val="24"/>
              <w:szCs w:val="24"/>
              <w:lang w:val="fr-CA" w:eastAsia="en-CA"/>
            </w:rPr>
          </w:pPr>
          <w:r>
            <w:rPr>
              <w:szCs w:val="28"/>
              <w:lang w:val="fr-CA" w:eastAsia="en-CA"/>
            </w:rPr>
            <w:t>6. Participant Readiness</w:t>
          </w:r>
          <w:r>
            <w:rPr>
              <w:lang w:val="fr-CA" w:eastAsia="en-CA"/>
            </w:rPr>
            <w:tab/>
          </w:r>
          <w:hyperlink w:anchor="__RefHeading___Toc505989429">
            <w:r>
              <w:rPr>
                <w:rStyle w:val="IndexLink"/>
                <w:lang w:val="fr-CA" w:eastAsia="en-CA"/>
              </w:rPr>
              <w:t>45</w:t>
            </w:r>
          </w:hyperlink>
        </w:p>
        <w:p>
          <w:pPr>
            <w:pStyle w:val="TOC2"/>
            <w:tabs>
              <w:tab w:val="clear" w:pos="720"/>
              <w:tab w:val="right" w:pos="8612" w:leader="dot"/>
            </w:tabs>
            <w:rPr>
              <w:caps w:val="false"/>
              <w:smallCaps w:val="false"/>
              <w:sz w:val="24"/>
              <w:szCs w:val="24"/>
              <w:lang w:val="fr-CA" w:eastAsia="en-CA"/>
            </w:rPr>
          </w:pPr>
          <w:r>
            <w:rPr>
              <w:szCs w:val="24"/>
              <w:lang w:val="fr-CA" w:eastAsia="en-CA"/>
            </w:rPr>
            <w:t>6A. Interfaces</w:t>
          </w:r>
          <w:r>
            <w:rPr>
              <w:lang w:val="fr-CA" w:eastAsia="en-CA"/>
            </w:rPr>
            <w:tab/>
          </w:r>
          <w:hyperlink w:anchor="__RefHeading___Toc505989430">
            <w:r>
              <w:rPr>
                <w:rStyle w:val="IndexLink"/>
                <w:lang w:val="fr-CA" w:eastAsia="en-CA"/>
              </w:rPr>
              <w:t>45</w:t>
            </w:r>
          </w:hyperlink>
        </w:p>
        <w:p>
          <w:pPr>
            <w:pStyle w:val="TOC2"/>
            <w:tabs>
              <w:tab w:val="clear" w:pos="720"/>
              <w:tab w:val="right" w:pos="8612" w:leader="dot"/>
            </w:tabs>
            <w:rPr>
              <w:caps w:val="false"/>
              <w:smallCaps w:val="false"/>
              <w:sz w:val="24"/>
              <w:szCs w:val="24"/>
              <w:lang w:val="fr-CA" w:eastAsia="en-CA"/>
            </w:rPr>
          </w:pPr>
          <w:r>
            <w:rPr>
              <w:szCs w:val="24"/>
              <w:lang w:val="fr-CA" w:eastAsia="en-CA"/>
            </w:rPr>
            <w:t>6B. Training</w:t>
          </w:r>
          <w:r>
            <w:rPr>
              <w:lang w:val="fr-CA" w:eastAsia="en-CA"/>
            </w:rPr>
            <w:tab/>
          </w:r>
          <w:hyperlink w:anchor="__RefHeading___Toc505989431">
            <w:r>
              <w:rPr>
                <w:rStyle w:val="IndexLink"/>
                <w:lang w:val="fr-CA" w:eastAsia="en-CA"/>
              </w:rPr>
              <w:t>47</w:t>
            </w:r>
          </w:hyperlink>
        </w:p>
        <w:p>
          <w:pPr>
            <w:pStyle w:val="TOC2"/>
            <w:tabs>
              <w:tab w:val="clear" w:pos="720"/>
              <w:tab w:val="right" w:pos="8612" w:leader="dot"/>
            </w:tabs>
            <w:rPr>
              <w:caps w:val="false"/>
              <w:smallCaps w:val="false"/>
              <w:sz w:val="24"/>
              <w:szCs w:val="24"/>
              <w:lang w:val="fr-CA" w:eastAsia="en-CA"/>
            </w:rPr>
          </w:pPr>
          <w:r>
            <w:rPr>
              <w:szCs w:val="24"/>
              <w:lang w:val="fr-CA" w:eastAsia="en-CA"/>
            </w:rPr>
            <w:t>6C. Participant Requirements</w:t>
          </w:r>
          <w:r>
            <w:rPr>
              <w:lang w:val="fr-CA" w:eastAsia="en-CA"/>
            </w:rPr>
            <w:tab/>
          </w:r>
          <w:hyperlink w:anchor="__RefHeading___Toc505989432">
            <w:r>
              <w:rPr>
                <w:rStyle w:val="IndexLink"/>
                <w:lang w:val="fr-CA" w:eastAsia="en-CA"/>
              </w:rPr>
              <w:t>47</w:t>
            </w:r>
          </w:hyperlink>
        </w:p>
        <w:p>
          <w:pPr>
            <w:pStyle w:val="TOC1"/>
            <w:tabs>
              <w:tab w:val="clear" w:pos="720"/>
              <w:tab w:val="right" w:pos="8612" w:leader="dot"/>
            </w:tabs>
            <w:rPr>
              <w:b w:val="false"/>
              <w:caps w:val="false"/>
              <w:smallCaps w:val="false"/>
              <w:sz w:val="24"/>
              <w:szCs w:val="24"/>
              <w:lang w:val="en-CA" w:eastAsia="en-CA"/>
            </w:rPr>
          </w:pPr>
          <w:r>
            <w:rPr>
              <w:szCs w:val="28"/>
              <w:lang w:val="en-CA" w:eastAsia="en-CA"/>
            </w:rPr>
            <w:t>Glossary</w:t>
          </w:r>
          <w:r>
            <w:rPr>
              <w:lang w:val="en-CA" w:eastAsia="en-CA"/>
            </w:rPr>
            <w:tab/>
          </w:r>
          <w:hyperlink w:anchor="__RefHeading___Toc505989433">
            <w:r>
              <w:rPr>
                <w:rStyle w:val="IndexLink"/>
                <w:lang w:val="en-CA" w:eastAsia="en-CA"/>
              </w:rPr>
              <w:t>52</w:t>
            </w:r>
          </w:hyperlink>
        </w:p>
        <w:p>
          <w:pPr>
            <w:pStyle w:val="TOC1"/>
            <w:tabs>
              <w:tab w:val="clear" w:pos="720"/>
              <w:tab w:val="right" w:pos="8612" w:leader="dot"/>
            </w:tabs>
            <w:rPr>
              <w:sz w:val="24"/>
              <w:szCs w:val="24"/>
              <w:lang w:val="en-CA" w:eastAsia="en-CA"/>
            </w:rPr>
          </w:pPr>
          <w:r>
            <w:rPr>
              <w:b w:val="false"/>
              <w:caps w:val="false"/>
              <w:smallCaps w:val="false"/>
              <w:szCs w:val="28"/>
              <w:lang w:val="en-CA" w:eastAsia="en-CA"/>
            </w:rPr>
            <w:t>Acronyms</w:t>
          </w:r>
          <w:r>
            <w:rPr>
              <w:b w:val="false"/>
              <w:caps w:val="false"/>
              <w:smallCaps w:val="false"/>
              <w:lang w:val="en-CA" w:eastAsia="en-CA"/>
            </w:rPr>
            <w:tab/>
          </w:r>
          <w:hyperlink w:anchor="__RefHeading___Toc505989455">
            <w:r>
              <w:rPr>
                <w:rStyle w:val="IndexLink"/>
                <w:b w:val="false"/>
                <w:caps w:val="false"/>
                <w:smallCaps w:val="false"/>
                <w:lang w:val="en-CA" w:eastAsia="en-CA"/>
              </w:rPr>
              <w:t>71</w:t>
            </w:r>
          </w:hyperlink>
          <w:r>
            <w:rPr>
              <w:rStyle w:val="IndexLink"/>
              <w:smallCaps w:val="false"/>
              <w:caps w:val="false"/>
              <w:b w:val="false"/>
              <w:lang w:val="en-CA" w:eastAsia="en-CA"/>
            </w:rPr>
            <w:fldChar w:fldCharType="end"/>
          </w:r>
        </w:p>
      </w:sdtContent>
    </w:sdt>
    <w:p>
      <w:pPr>
        <w:sectPr>
          <w:headerReference w:type="default" r:id="rId5"/>
          <w:headerReference w:type="first" r:id="rId6"/>
          <w:footerReference w:type="default" r:id="rId7"/>
          <w:footerReference w:type="first" r:id="rId8"/>
          <w:type w:val="nextPage"/>
          <w:pgSz w:w="12240" w:h="15840"/>
          <w:pgMar w:left="288" w:right="1890" w:gutter="1440" w:header="706" w:top="1440" w:footer="706" w:bottom="1440"/>
          <w:pgNumType w:fmt="decimal"/>
          <w:formProt w:val="false"/>
          <w:textDirection w:val="lrTb"/>
          <w:docGrid w:type="default" w:linePitch="360" w:charSpace="0"/>
        </w:sectPr>
        <w:pStyle w:val="Normal"/>
        <w:numPr>
          <w:ilvl w:val="0"/>
          <w:numId w:val="0"/>
        </w:numPr>
        <w:rPr>
          <w:b/>
          <w:caps/>
          <w:sz w:val="24"/>
          <w:szCs w:val="24"/>
          <w:lang w:val="en-CA" w:eastAsia="en-CA"/>
        </w:rPr>
      </w:pPr>
      <w:r>
        <w:rPr>
          <w:b/>
          <w:caps/>
          <w:sz w:val="24"/>
          <w:szCs w:val="24"/>
          <w:lang w:val="en-CA" w:eastAsia="en-CA"/>
        </w:rPr>
      </w:r>
    </w:p>
    <w:p>
      <w:pPr>
        <w:pStyle w:val="Heading1"/>
        <w:rPr/>
      </w:pPr>
      <w:bookmarkStart w:id="1" w:name="__RefHeading___Toc505989391"/>
      <w:bookmarkEnd w:id="1"/>
      <w:r>
        <w:rPr/>
        <w:t>Preface</w:t>
      </w:r>
    </w:p>
    <w:p>
      <w:pPr>
        <w:pStyle w:val="Style11"/>
        <w:tabs>
          <w:tab w:val="clear" w:pos="720"/>
          <w:tab w:val="left" w:pos="4680" w:leader="none"/>
        </w:tabs>
        <w:rPr/>
      </w:pPr>
      <w:r>
        <w:rPr/>
        <w:t>The Texas State Legislature passed Senate Bill 7 (SB7</w:t>
      </w:r>
      <w:r>
        <w:fldChar w:fldCharType="begin"/>
      </w:r>
      <w:r>
        <w:rPr/>
        <w:instrText xml:space="preserve"> XE "SB7" </w:instrText>
      </w:r>
      <w:r>
        <w:rPr/>
        <w:fldChar w:fldCharType="separate"/>
      </w:r>
      <w:r>
        <w:rPr/>
      </w:r>
      <w:r>
        <w:rPr/>
        <w:fldChar w:fldCharType="end"/>
      </w:r>
      <w:r>
        <w:rPr/>
        <w:t xml:space="preserve">) in 1999, which initiated a series of events that will change how the electrical energy industry operates in the state. The forces of supply and demand will be allowed to produce a more efficient and innovative industry, benefiting both customers and industry organizations alike. </w:t>
      </w:r>
    </w:p>
    <w:p>
      <w:pPr>
        <w:pStyle w:val="Normal"/>
        <w:rPr>
          <w:sz w:val="20"/>
        </w:rPr>
      </w:pPr>
      <w:r>
        <w:rPr>
          <w:sz w:val="20"/>
        </w:rPr>
      </w:r>
    </w:p>
    <w:p>
      <w:pPr>
        <w:pStyle w:val="Normal"/>
        <w:rPr/>
      </w:pPr>
      <w:r>
        <w:rPr>
          <w:sz w:val="20"/>
        </w:rPr>
        <w:t>This guide provides an overview of how the Electric Reliability Council of Texas (ERCOT) will perform its new role in the competitive wholesale and retail electricity market. It is not intended to be a detailed comprehensive market document</w:t>
      </w:r>
      <w:r>
        <w:rPr>
          <w:rStyle w:val="FootnoteCharacters"/>
          <w:rStyle w:val="FootnoteReference"/>
          <w:sz w:val="20"/>
        </w:rPr>
        <w:footnoteReference w:id="2"/>
      </w:r>
      <w:r>
        <w:rPr>
          <w:sz w:val="20"/>
        </w:rPr>
        <w:t>. The guide is aimed at people within market participant organizations who want a starting point to gain an understanding of how the Texas competitive electric market operates, including the roles and responsibilities of ERCOT and the various participants. It is assumed that readers have a basic understanding of electrical energy industry operations. The guide contains six sections.</w:t>
      </w:r>
    </w:p>
    <w:p>
      <w:pPr>
        <w:pStyle w:val="Normal"/>
        <w:rPr>
          <w:sz w:val="20"/>
        </w:rPr>
      </w:pPr>
      <w:r>
        <w:rPr>
          <w:sz w:val="20"/>
        </w:rPr>
      </w:r>
    </w:p>
    <w:p>
      <w:pPr>
        <w:pStyle w:val="Normal"/>
        <w:numPr>
          <w:ilvl w:val="0"/>
          <w:numId w:val="20"/>
        </w:numPr>
        <w:rPr>
          <w:sz w:val="20"/>
        </w:rPr>
      </w:pPr>
      <w:r>
        <w:rPr>
          <w:b/>
          <w:sz w:val="20"/>
        </w:rPr>
        <w:t xml:space="preserve">Introduction: </w:t>
      </w:r>
      <w:r>
        <w:rPr>
          <w:sz w:val="20"/>
        </w:rPr>
        <w:t>An overview of ERCOT and SB7</w:t>
      </w:r>
      <w:r>
        <w:fldChar w:fldCharType="begin"/>
      </w:r>
      <w:r>
        <w:rPr/>
        <w:instrText xml:space="preserve"> XE "SB7" </w:instrText>
      </w:r>
      <w:r>
        <w:rPr/>
        <w:fldChar w:fldCharType="separate"/>
      </w:r>
      <w:r>
        <w:rPr/>
      </w:r>
      <w:r>
        <w:rPr/>
        <w:fldChar w:fldCharType="end"/>
      </w:r>
      <w:r>
        <w:rPr>
          <w:sz w:val="20"/>
        </w:rPr>
        <w:t>.</w:t>
      </w:r>
    </w:p>
    <w:p>
      <w:pPr>
        <w:pStyle w:val="Normal"/>
        <w:rPr>
          <w:sz w:val="20"/>
        </w:rPr>
      </w:pPr>
      <w:r>
        <w:rPr>
          <w:sz w:val="20"/>
        </w:rPr>
      </w:r>
    </w:p>
    <w:p>
      <w:pPr>
        <w:pStyle w:val="Normal"/>
        <w:numPr>
          <w:ilvl w:val="0"/>
          <w:numId w:val="20"/>
        </w:numPr>
        <w:rPr>
          <w:sz w:val="20"/>
        </w:rPr>
      </w:pPr>
      <w:r>
        <w:rPr>
          <w:b/>
          <w:sz w:val="20"/>
        </w:rPr>
        <w:t>Important Concepts:</w:t>
      </w:r>
      <w:r>
        <w:rPr>
          <w:sz w:val="20"/>
        </w:rPr>
        <w:t xml:space="preserve"> An introduction to ancillary services</w:t>
      </w:r>
      <w:r>
        <w:fldChar w:fldCharType="begin"/>
      </w:r>
      <w:r>
        <w:rPr/>
        <w:instrText xml:space="preserve"> XE "ancillary services" </w:instrText>
      </w:r>
      <w:r>
        <w:rPr/>
        <w:fldChar w:fldCharType="separate"/>
      </w:r>
      <w:r>
        <w:rPr/>
      </w:r>
      <w:r>
        <w:rPr/>
        <w:fldChar w:fldCharType="end"/>
      </w:r>
      <w:r>
        <w:rPr>
          <w:sz w:val="20"/>
        </w:rPr>
        <w:t xml:space="preserve"> and balancing energy concepts that are essential to understanding the role ERCOT will play in the competitive retail market.</w:t>
      </w:r>
    </w:p>
    <w:p>
      <w:pPr>
        <w:pStyle w:val="Normal"/>
        <w:rPr>
          <w:sz w:val="20"/>
        </w:rPr>
      </w:pPr>
      <w:r>
        <w:rPr>
          <w:sz w:val="20"/>
        </w:rPr>
      </w:r>
    </w:p>
    <w:p>
      <w:pPr>
        <w:pStyle w:val="Normal"/>
        <w:numPr>
          <w:ilvl w:val="0"/>
          <w:numId w:val="20"/>
        </w:numPr>
        <w:rPr>
          <w:sz w:val="20"/>
        </w:rPr>
      </w:pPr>
      <w:r>
        <w:rPr>
          <w:b/>
          <w:sz w:val="20"/>
        </w:rPr>
        <w:t>Competitive Market Overview</w:t>
      </w:r>
      <w:r>
        <w:rPr>
          <w:sz w:val="20"/>
        </w:rPr>
        <w:t>: An overview of how the competitive retail market will operate, including the major roles and responsibilities of key market participants.</w:t>
      </w:r>
    </w:p>
    <w:p>
      <w:pPr>
        <w:pStyle w:val="Normal"/>
        <w:rPr>
          <w:sz w:val="20"/>
        </w:rPr>
      </w:pPr>
      <w:r>
        <w:rPr>
          <w:sz w:val="20"/>
        </w:rPr>
      </w:r>
    </w:p>
    <w:p>
      <w:pPr>
        <w:pStyle w:val="Normal"/>
        <w:numPr>
          <w:ilvl w:val="0"/>
          <w:numId w:val="20"/>
        </w:numPr>
        <w:rPr>
          <w:sz w:val="20"/>
        </w:rPr>
      </w:pPr>
      <w:r>
        <w:rPr>
          <w:b/>
          <w:sz w:val="20"/>
        </w:rPr>
        <w:t xml:space="preserve">ERCOT Core Processes: </w:t>
      </w:r>
      <w:r>
        <w:rPr>
          <w:sz w:val="20"/>
        </w:rPr>
        <w:t xml:space="preserve">A description of the core business processes that ERCOT will use to facilitate the competitive retail market. </w:t>
      </w:r>
      <w:r>
        <w:rPr>
          <w:i/>
          <w:sz w:val="20"/>
        </w:rPr>
        <w:t>This section is written in the present tense to improve readability.</w:t>
      </w:r>
    </w:p>
    <w:p>
      <w:pPr>
        <w:pStyle w:val="Normal"/>
        <w:rPr>
          <w:rFonts w:eastAsia="Book Antiqua"/>
          <w:sz w:val="20"/>
        </w:rPr>
      </w:pPr>
      <w:r>
        <w:rPr>
          <w:rFonts w:eastAsia="Book Antiqua"/>
          <w:sz w:val="20"/>
        </w:rPr>
        <w:t xml:space="preserve"> </w:t>
      </w:r>
    </w:p>
    <w:p>
      <w:pPr>
        <w:pStyle w:val="Normal"/>
        <w:numPr>
          <w:ilvl w:val="0"/>
          <w:numId w:val="20"/>
        </w:numPr>
        <w:rPr>
          <w:sz w:val="20"/>
        </w:rPr>
      </w:pPr>
      <w:r>
        <w:rPr>
          <w:b/>
          <w:sz w:val="20"/>
        </w:rPr>
        <w:t>Key Concepts in Detail:</w:t>
      </w:r>
      <w:r>
        <w:rPr>
          <w:sz w:val="20"/>
        </w:rPr>
        <w:t xml:space="preserve"> A closer look at the ancillary services</w:t>
      </w:r>
      <w:r>
        <w:fldChar w:fldCharType="begin"/>
      </w:r>
      <w:r>
        <w:rPr/>
        <w:instrText xml:space="preserve"> XE "ancillary services" </w:instrText>
      </w:r>
      <w:r>
        <w:rPr/>
        <w:fldChar w:fldCharType="separate"/>
      </w:r>
      <w:r>
        <w:rPr/>
      </w:r>
      <w:r>
        <w:rPr/>
        <w:fldChar w:fldCharType="end"/>
      </w:r>
      <w:r>
        <w:rPr>
          <w:sz w:val="20"/>
        </w:rPr>
        <w:t xml:space="preserve"> procurement and congestion</w:t>
      </w:r>
      <w:r>
        <w:fldChar w:fldCharType="begin"/>
      </w:r>
      <w:r>
        <w:rPr/>
        <w:instrText xml:space="preserve"> XE "congestion" </w:instrText>
      </w:r>
      <w:r>
        <w:rPr/>
        <w:fldChar w:fldCharType="separate"/>
      </w:r>
      <w:r>
        <w:rPr/>
      </w:r>
      <w:r>
        <w:rPr/>
        <w:fldChar w:fldCharType="end"/>
      </w:r>
      <w:r>
        <w:rPr>
          <w:sz w:val="20"/>
        </w:rPr>
        <w:t xml:space="preserve"> management functions that ERCOT will perform in the competitive retail market. </w:t>
      </w:r>
      <w:r>
        <w:rPr>
          <w:i/>
          <w:sz w:val="20"/>
        </w:rPr>
        <w:t>This section is written in the present tense to improve readability.</w:t>
      </w:r>
    </w:p>
    <w:p>
      <w:pPr>
        <w:pStyle w:val="Normal"/>
        <w:rPr>
          <w:sz w:val="20"/>
        </w:rPr>
      </w:pPr>
      <w:r>
        <w:rPr>
          <w:sz w:val="20"/>
        </w:rPr>
      </w:r>
    </w:p>
    <w:p>
      <w:pPr>
        <w:pStyle w:val="Normal"/>
        <w:numPr>
          <w:ilvl w:val="0"/>
          <w:numId w:val="20"/>
        </w:numPr>
        <w:rPr>
          <w:sz w:val="20"/>
        </w:rPr>
      </w:pPr>
      <w:r>
        <w:rPr>
          <w:b/>
          <w:sz w:val="20"/>
        </w:rPr>
        <w:t xml:space="preserve">Participant Readiness: </w:t>
      </w:r>
      <w:r>
        <w:rPr>
          <w:sz w:val="20"/>
        </w:rPr>
        <w:t>An overview of the key requirements for organizations planning to interact with ERCOT in June 1, 2001 Customer Choice Pilot</w:t>
      </w:r>
      <w:r>
        <w:fldChar w:fldCharType="begin"/>
      </w:r>
      <w:r>
        <w:rPr/>
        <w:instrText xml:space="preserve"> XE "Pilot" </w:instrText>
      </w:r>
      <w:r>
        <w:rPr/>
        <w:fldChar w:fldCharType="separate"/>
      </w:r>
      <w:r>
        <w:rPr/>
      </w:r>
      <w:r>
        <w:rPr/>
        <w:fldChar w:fldCharType="end"/>
      </w:r>
      <w:r>
        <w:rPr>
          <w:sz w:val="20"/>
        </w:rPr>
        <w:t xml:space="preserve">. </w:t>
      </w:r>
      <w:r>
        <w:rPr>
          <w:i/>
          <w:sz w:val="20"/>
        </w:rPr>
        <w:t xml:space="preserve">Please refer to the </w:t>
      </w:r>
      <w:hyperlink r:id="rId9">
        <w:r>
          <w:rPr>
            <w:rStyle w:val="Hyperlink"/>
            <w:i/>
            <w:sz w:val="20"/>
          </w:rPr>
          <w:t>www.TexasChoiceProgram.com</w:t>
        </w:r>
      </w:hyperlink>
      <w:r>
        <w:rPr>
          <w:i/>
          <w:sz w:val="20"/>
        </w:rPr>
        <w:t xml:space="preserve"> website for additional participant readiness documentation.</w:t>
      </w:r>
    </w:p>
    <w:p>
      <w:pPr>
        <w:pStyle w:val="Normal"/>
        <w:rPr>
          <w:sz w:val="20"/>
        </w:rPr>
      </w:pPr>
      <w:r>
        <w:rPr>
          <w:sz w:val="20"/>
        </w:rPr>
      </w:r>
    </w:p>
    <w:p>
      <w:pPr>
        <w:pStyle w:val="Heading1"/>
        <w:rPr/>
      </w:pPr>
      <w:bookmarkStart w:id="2" w:name="__RefHeading___Toc505989392"/>
      <w:bookmarkEnd w:id="2"/>
      <w:r>
        <w:rPr/>
        <w:t>1. Introduction</w:t>
      </w:r>
    </w:p>
    <w:p>
      <w:pPr>
        <w:pStyle w:val="Normal"/>
        <w:rPr/>
      </w:pPr>
      <w:r>
        <w:rPr>
          <w:sz w:val="20"/>
        </w:rPr>
        <w:t>The Electric Reliability Council of Texas (ERCOT) is one of 10 regional reliability councils in the North American Electric Reliability Council (NERC), as shown on the map below. The primary responsibility of ERCOT, as a NERC member, is to facilitate reliable power grid operations in the ERCOT region by working with the electrical energy industry organizations that operate within that region.</w:t>
      </w:r>
      <w:r>
        <w:rPr>
          <w:b/>
          <w:sz w:val="20"/>
        </w:rPr>
        <w:t xml:space="preserve"> </w:t>
      </w:r>
      <w:r>
        <w:rPr>
          <w:sz w:val="20"/>
        </w:rPr>
        <w:t>ERCOT members serve about 85% of the electrical load in Texas, and have an overall generating capacity of approximately 65,000 Megawatts (MW). Because ERCOT is located entirely within Texas, the Public Utility Commission of Texas (PUCT) is the principal regulatory authority.</w:t>
      </w:r>
    </w:p>
    <w:p>
      <w:pPr>
        <w:pStyle w:val="Normal"/>
        <w:rPr>
          <w:b/>
          <w:sz w:val="20"/>
        </w:rPr>
      </w:pPr>
      <w:r>
        <w:rPr>
          <w:b/>
          <w:sz w:val="20"/>
        </w:rPr>
      </w:r>
    </w:p>
    <w:p>
      <w:pPr>
        <w:pStyle w:val="Normal"/>
        <w:rPr>
          <w:b/>
          <w:sz w:val="20"/>
          <w:lang w:val="en-CA" w:eastAsia="en-CA"/>
        </w:rPr>
      </w:pPr>
      <w:r>
        <w:rPr>
          <w:b/>
          <w:sz w:val="20"/>
          <w:lang w:val="en-CA" w:eastAsia="en-CA"/>
        </w:rPr>
        <mc:AlternateContent>
          <mc:Choice Requires="wps">
            <w:drawing>
              <wp:anchor behindDoc="0" distT="0" distB="0" distL="114935" distR="114935" simplePos="0" locked="0" layoutInCell="1" allowOverlap="1" relativeHeight="159">
                <wp:simplePos x="0" y="0"/>
                <wp:positionH relativeFrom="column">
                  <wp:posOffset>-182880</wp:posOffset>
                </wp:positionH>
                <wp:positionV relativeFrom="paragraph">
                  <wp:posOffset>113665</wp:posOffset>
                </wp:positionV>
                <wp:extent cx="4846320" cy="4114800"/>
                <wp:effectExtent l="5080" t="5080" r="5080" b="5080"/>
                <wp:wrapNone/>
                <wp:docPr id="11" name=""/>
                <a:graphic xmlns:a="http://schemas.openxmlformats.org/drawingml/2006/main">
                  <a:graphicData uri="http://schemas.microsoft.com/office/word/2010/wordprocessingShape">
                    <wps:wsp>
                      <wps:cNvSpPr/>
                      <wps:spPr>
                        <a:xfrm>
                          <a:off x="0" y="0"/>
                          <a:ext cx="4846320" cy="411480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8.95pt;width:381.55pt;height:323.95pt;mso-wrap-style:none;v-text-anchor:middle">
                <v:fill o:detectmouseclick="t" on="false"/>
                <v:stroke color="black" weight="9360" joinstyle="miter" endcap="flat"/>
                <w10:wrap type="none"/>
              </v:rect>
            </w:pict>
          </mc:Fallback>
        </mc:AlternateContent>
      </w:r>
    </w:p>
    <w:p>
      <w:pPr>
        <w:pStyle w:val="Normal"/>
        <w:rPr>
          <w:b/>
          <w:sz w:val="20"/>
        </w:rPr>
      </w:pPr>
      <w:r>
        <w:drawing>
          <wp:anchor behindDoc="0" distT="0" distB="0" distL="114935" distR="114935" simplePos="0" locked="0" layoutInCell="0" allowOverlap="1" relativeHeight="153">
            <wp:simplePos x="0" y="0"/>
            <wp:positionH relativeFrom="column">
              <wp:posOffset>-182880</wp:posOffset>
            </wp:positionH>
            <wp:positionV relativeFrom="paragraph">
              <wp:posOffset>477520</wp:posOffset>
            </wp:positionV>
            <wp:extent cx="4846320" cy="3636010"/>
            <wp:effectExtent l="0" t="0" r="0" b="0"/>
            <wp:wrapTopAndBottom/>
            <wp:docPr id="1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title=""/>
                    <pic:cNvPicPr>
                      <a:picLocks noChangeAspect="1" noChangeArrowheads="1"/>
                    </pic:cNvPicPr>
                  </pic:nvPicPr>
                  <pic:blipFill>
                    <a:blip r:embed="rId10"/>
                    <a:srcRect l="-7" t="-9" r="-7" b="-9"/>
                    <a:stretch>
                      <a:fillRect/>
                    </a:stretch>
                  </pic:blipFill>
                  <pic:spPr bwMode="auto">
                    <a:xfrm>
                      <a:off x="0" y="0"/>
                      <a:ext cx="4846320" cy="3636010"/>
                    </a:xfrm>
                    <a:prstGeom prst="rect">
                      <a:avLst/>
                    </a:prstGeom>
                    <a:noFill/>
                  </pic:spPr>
                </pic:pic>
              </a:graphicData>
            </a:graphic>
          </wp:anchor>
        </w:drawing>
      </w:r>
      <w:r>
        <w:rPr>
          <w:b/>
          <w:sz w:val="20"/>
        </w:rPr>
        <w:t>North American Reliability Council (NERC) Member Organizations</w:t>
      </w:r>
    </w:p>
    <w:p>
      <w:pPr>
        <w:pStyle w:val="Normal"/>
        <w:rPr>
          <w:b/>
          <w:sz w:val="20"/>
        </w:rPr>
      </w:pPr>
      <w:r>
        <w:rPr>
          <w:b/>
          <w:sz w:val="20"/>
        </w:rPr>
      </w:r>
    </w:p>
    <w:p>
      <w:pPr>
        <w:pStyle w:val="Normal"/>
        <w:rPr>
          <w:sz w:val="20"/>
        </w:rPr>
      </w:pPr>
      <w:r>
        <w:rPr>
          <w:sz w:val="20"/>
        </w:rPr>
      </w:r>
    </w:p>
    <w:p>
      <w:pPr>
        <w:pStyle w:val="Normal"/>
        <w:rPr>
          <w:sz w:val="20"/>
        </w:rPr>
      </w:pPr>
      <w:r>
        <w:rPr>
          <w:sz w:val="20"/>
        </w:rPr>
      </w:r>
    </w:p>
    <w:p>
      <w:pPr>
        <w:pStyle w:val="Normal"/>
        <w:rPr>
          <w:sz w:val="20"/>
        </w:rPr>
      </w:pPr>
      <w:r>
        <w:rPr>
          <w:sz w:val="20"/>
        </w:rPr>
        <w:t>As of January 2001, ERCOT membership consisted of 51 electric cooperatives, 33 municipally owned utilities, 8 investor-owned utilities, 13 independent generators, 18 independent power marketers, 4 retail electric providers, and 3 consumer representatives.</w:t>
      </w:r>
    </w:p>
    <w:p>
      <w:pPr>
        <w:pStyle w:val="Normal"/>
        <w:rPr>
          <w:rFonts w:eastAsia="Book Antiqua"/>
          <w:sz w:val="20"/>
        </w:rPr>
      </w:pPr>
      <w:r>
        <w:rPr>
          <w:rFonts w:eastAsia="Book Antiqua"/>
          <w:sz w:val="20"/>
        </w:rPr>
        <w:t xml:space="preserve"> </w:t>
      </w:r>
    </w:p>
    <w:p>
      <w:pPr>
        <w:pStyle w:val="Style11"/>
        <w:rPr/>
      </w:pPr>
      <w:r>
        <w:rPr/>
        <w:t>A major step toward a fully competitive market in the ERCOT region was taken in 1995, when the Texas State Legislature amended the Public Utility Regulatory Act to deregulate the wholesale generation market.  ERCOT expanded its responsibilities to enable this change and facilitate the efficient use of the electric transmission system by all market participants. ERCOT restructured its organization and initiated operations as a not-for-profit Independent System Operator (ISO) on September 11, 1996.</w:t>
      </w:r>
    </w:p>
    <w:p>
      <w:pPr>
        <w:pStyle w:val="Style11"/>
        <w:rPr/>
      </w:pPr>
      <w:r>
        <w:rPr/>
      </w:r>
    </w:p>
    <w:p>
      <w:pPr>
        <w:pStyle w:val="Style11"/>
        <w:rPr/>
      </w:pPr>
      <w:r>
        <w:rPr/>
        <w:t>The Legislature took the next major step in 1999 by passing Senate Bill 7 (SB7</w:t>
      </w:r>
      <w:r>
        <w:fldChar w:fldCharType="begin"/>
      </w:r>
      <w:r>
        <w:rPr/>
        <w:instrText xml:space="preserve"> XE "SB7" </w:instrText>
      </w:r>
      <w:r>
        <w:rPr/>
        <w:fldChar w:fldCharType="separate"/>
      </w:r>
      <w:r>
        <w:rPr/>
      </w:r>
      <w:r>
        <w:rPr/>
        <w:fldChar w:fldCharType="end"/>
      </w:r>
      <w:r>
        <w:rPr/>
        <w:t>). This legislation required the creation of a competitive retail electricity market that will give customers the ability to choose their retail electric providers starting on January 1, 2002</w:t>
      </w:r>
      <w:r>
        <w:rPr>
          <w:rStyle w:val="FootnoteCharacters"/>
          <w:rStyle w:val="FootnoteReference"/>
        </w:rPr>
        <w:footnoteReference w:id="3"/>
      </w:r>
      <w:r>
        <w:rPr/>
        <w:t>. Customers who are currently served by investor owned utilities will automatically participate in the new market. Customers of Municipally Owned Utilities and Cooperatives will also be able to participate in retail competition if their governing bodies choose to participate in the competitive retail market</w:t>
      </w:r>
      <w:r>
        <w:rPr>
          <w:rStyle w:val="FootnoteCharacters"/>
          <w:rStyle w:val="FootnoteReference"/>
        </w:rPr>
        <w:footnoteReference w:id="4"/>
      </w:r>
      <w:r>
        <w:rPr/>
        <w:t xml:space="preserve">. </w:t>
      </w:r>
    </w:p>
    <w:p>
      <w:pPr>
        <w:pStyle w:val="Style11"/>
        <w:rPr/>
      </w:pPr>
      <w:r>
        <w:rPr/>
      </w:r>
    </w:p>
    <w:p>
      <w:pPr>
        <w:pStyle w:val="Style11"/>
        <w:rPr/>
      </w:pPr>
      <w:r>
        <w:rPr/>
        <w:t>The introduction of retail competition in Texas will make the price of energy more visible, provide more choice for customers, and create an environment that is conducive to innovation and new business opportunities. Some of the major impacts to the Texas electric industry and its organizations as a result of SB7</w:t>
      </w:r>
      <w:r>
        <w:fldChar w:fldCharType="begin"/>
      </w:r>
      <w:r>
        <w:rPr/>
        <w:instrText xml:space="preserve"> XE "SB7" </w:instrText>
      </w:r>
      <w:r>
        <w:rPr/>
        <w:fldChar w:fldCharType="separate"/>
      </w:r>
      <w:r>
        <w:rPr/>
      </w:r>
      <w:r>
        <w:rPr/>
        <w:fldChar w:fldCharType="end"/>
      </w:r>
      <w:r>
        <w:rPr/>
        <w:t xml:space="preserve"> include:</w:t>
      </w:r>
    </w:p>
    <w:p>
      <w:pPr>
        <w:pStyle w:val="Style11"/>
        <w:rPr/>
      </w:pPr>
      <w:r>
        <w:rPr/>
      </w:r>
    </w:p>
    <w:p>
      <w:pPr>
        <w:pStyle w:val="Style11"/>
        <w:numPr>
          <w:ilvl w:val="0"/>
          <w:numId w:val="16"/>
        </w:numPr>
        <w:rPr/>
      </w:pPr>
      <w:r>
        <w:rPr>
          <w:b/>
        </w:rPr>
        <w:t>Functional Unbundling:</w:t>
      </w:r>
      <w:r>
        <w:rPr/>
        <w:t xml:space="preserve"> All investor-owned utilities are required to unbundle their generation, transmission and/or distribution, and retail functions. For each utility this is likely to result in the creation of a separate Power Generation Company (PGC</w:t>
      </w:r>
      <w:r>
        <w:fldChar w:fldCharType="begin"/>
      </w:r>
      <w:r>
        <w:rPr/>
        <w:instrText xml:space="preserve"> XE "PGC" </w:instrText>
      </w:r>
      <w:r>
        <w:rPr/>
        <w:fldChar w:fldCharType="separate"/>
      </w:r>
      <w:r>
        <w:rPr/>
      </w:r>
      <w:r>
        <w:rPr/>
        <w:fldChar w:fldCharType="end"/>
      </w:r>
      <w:r>
        <w:rPr/>
        <w:t>), a Transmission and/or Distribution Service Provider (TDSP</w:t>
      </w:r>
      <w:r>
        <w:fldChar w:fldCharType="begin"/>
      </w:r>
      <w:r>
        <w:rPr/>
        <w:instrText xml:space="preserve"> XE "TDSP" </w:instrText>
      </w:r>
      <w:r>
        <w:rPr/>
        <w:fldChar w:fldCharType="separate"/>
      </w:r>
      <w:r>
        <w:rPr/>
      </w:r>
      <w:r>
        <w:rPr/>
        <w:fldChar w:fldCharType="end"/>
      </w:r>
      <w:r>
        <w:rPr/>
        <w:t>), and a Retail Electric Provider</w:t>
      </w:r>
      <w:r>
        <w:rPr>
          <w:rStyle w:val="FootnoteCharacters"/>
          <w:rStyle w:val="FootnoteReference"/>
        </w:rPr>
        <w:footnoteReference w:id="5"/>
      </w:r>
      <w:r>
        <w:rPr/>
        <w:t xml:space="preserve"> (REP</w:t>
      </w:r>
      <w:r>
        <w:fldChar w:fldCharType="begin"/>
      </w:r>
      <w:r>
        <w:rPr/>
        <w:instrText xml:space="preserve"> XE "REP" </w:instrText>
      </w:r>
      <w:r>
        <w:rPr/>
        <w:fldChar w:fldCharType="separate"/>
      </w:r>
      <w:r>
        <w:rPr/>
      </w:r>
      <w:r>
        <w:rPr/>
        <w:fldChar w:fldCharType="end"/>
      </w:r>
      <w:r>
        <w:rPr/>
        <w:t>) by January 1, 2002. Customers of these utilities who do not choose a new retail provider by January 1, 2002 will be enrolled with their existing utility’s affiliated REP on that date.</w:t>
      </w:r>
    </w:p>
    <w:p>
      <w:pPr>
        <w:pStyle w:val="Style11"/>
        <w:rPr>
          <w:b/>
        </w:rPr>
      </w:pPr>
      <w:r>
        <w:rPr>
          <w:b/>
        </w:rPr>
      </w:r>
    </w:p>
    <w:p>
      <w:pPr>
        <w:pStyle w:val="Style11"/>
        <w:numPr>
          <w:ilvl w:val="0"/>
          <w:numId w:val="16"/>
        </w:numPr>
        <w:rPr/>
      </w:pPr>
      <w:r>
        <w:rPr>
          <w:b/>
        </w:rPr>
        <w:t>Continuing Wires Regulation</w:t>
      </w:r>
      <w:r>
        <w:rPr/>
        <w:t>: Transmission and/or Distribution Service Provider s (TDSPs)</w:t>
      </w:r>
      <w:r>
        <w:fldChar w:fldCharType="begin"/>
      </w:r>
      <w:r>
        <w:rPr/>
        <w:instrText xml:space="preserve"> XE "TDSPs" </w:instrText>
      </w:r>
      <w:r>
        <w:rPr/>
        <w:fldChar w:fldCharType="separate"/>
      </w:r>
      <w:r>
        <w:rPr/>
      </w:r>
      <w:r>
        <w:rPr/>
        <w:fldChar w:fldCharType="end"/>
      </w:r>
      <w:r>
        <w:rPr/>
        <w:t xml:space="preserve"> will continue to be regulated. Their meter reading functions, however, will be open to competition after January 2004.</w:t>
      </w:r>
    </w:p>
    <w:p>
      <w:pPr>
        <w:pStyle w:val="Style11"/>
        <w:rPr/>
      </w:pPr>
      <w:r>
        <w:rPr/>
      </w:r>
    </w:p>
    <w:p>
      <w:pPr>
        <w:pStyle w:val="Style11"/>
        <w:numPr>
          <w:ilvl w:val="0"/>
          <w:numId w:val="16"/>
        </w:numPr>
        <w:rPr/>
      </w:pPr>
      <w:r>
        <w:rPr>
          <w:b/>
        </w:rPr>
        <w:t xml:space="preserve">Limitation of Ownership of Installed Capacity: </w:t>
      </w:r>
      <w:r>
        <w:rPr/>
        <w:t>After January 1, 2002 a PGC</w:t>
      </w:r>
      <w:r>
        <w:fldChar w:fldCharType="begin"/>
      </w:r>
      <w:r>
        <w:rPr/>
        <w:instrText xml:space="preserve"> XE "PGC" </w:instrText>
      </w:r>
      <w:r>
        <w:rPr/>
        <w:fldChar w:fldCharType="separate"/>
      </w:r>
      <w:r>
        <w:rPr/>
      </w:r>
      <w:r>
        <w:rPr/>
        <w:fldChar w:fldCharType="end"/>
      </w:r>
      <w:r>
        <w:rPr/>
        <w:t xml:space="preserve"> will not be able to own more that 20% of the installed capacity in the ERCOT region, or any other power region in Texas.</w:t>
      </w:r>
    </w:p>
    <w:p>
      <w:pPr>
        <w:pStyle w:val="Style11"/>
        <w:rPr/>
      </w:pPr>
      <w:r>
        <w:rPr/>
      </w:r>
    </w:p>
    <w:p>
      <w:pPr>
        <w:pStyle w:val="Style11"/>
        <w:numPr>
          <w:ilvl w:val="0"/>
          <w:numId w:val="16"/>
        </w:numPr>
        <w:rPr/>
      </w:pPr>
      <w:r>
        <w:rPr>
          <w:b/>
        </w:rPr>
        <w:t>Creation of a Price to Beat</w:t>
      </w:r>
      <w:r>
        <w:rPr/>
        <w:t>: An affiliated REP</w:t>
      </w:r>
      <w:r>
        <w:fldChar w:fldCharType="begin"/>
      </w:r>
      <w:r>
        <w:rPr/>
        <w:instrText xml:space="preserve"> XE "REP" </w:instrText>
      </w:r>
      <w:r>
        <w:rPr/>
        <w:fldChar w:fldCharType="separate"/>
      </w:r>
      <w:r>
        <w:rPr/>
      </w:r>
      <w:r>
        <w:rPr/>
        <w:fldChar w:fldCharType="end"/>
      </w:r>
      <w:r>
        <w:rPr/>
        <w:t xml:space="preserve"> of an investor-owned is required to offer residential and small commercial customers</w:t>
      </w:r>
      <w:r>
        <w:rPr>
          <w:rStyle w:val="FootnoteCharacters"/>
          <w:rStyle w:val="FootnoteReference"/>
        </w:rPr>
        <w:footnoteReference w:id="6"/>
      </w:r>
      <w:r>
        <w:rPr/>
        <w:t xml:space="preserve"> in its affiliated TDSP’s service area a “price to beat.</w:t>
      </w:r>
      <w:r>
        <w:rPr>
          <w:rStyle w:val="FootnoteCharacters"/>
          <w:rStyle w:val="FootnoteReference"/>
        </w:rPr>
        <w:footnoteReference w:id="7"/>
      </w:r>
      <w:r>
        <w:rPr/>
        <w:t>” The “price to beat” is six percent lower than the rate charged by its affiliated electric utility on January 1, 1999. The REP cannot adjust this price until either 36 months after retail competition is introduced, or 40% of the customers in its affiliated TDSP’s area have switched to another retailer.</w:t>
      </w:r>
    </w:p>
    <w:p>
      <w:pPr>
        <w:pStyle w:val="Style11"/>
        <w:rPr/>
      </w:pPr>
      <w:r>
        <w:rPr/>
      </w:r>
    </w:p>
    <w:p>
      <w:pPr>
        <w:pStyle w:val="Style11"/>
        <w:numPr>
          <w:ilvl w:val="0"/>
          <w:numId w:val="16"/>
        </w:numPr>
        <w:rPr/>
      </w:pPr>
      <w:r>
        <w:rPr>
          <w:b/>
        </w:rPr>
        <w:t>Provision for Municipally Owned Utilities or Cooperatives</w:t>
      </w:r>
      <w:r>
        <w:fldChar w:fldCharType="begin"/>
      </w:r>
      <w:r>
        <w:rPr/>
        <w:instrText xml:space="preserve"> XE "Municipality or Cooperative" </w:instrText>
      </w:r>
      <w:r>
        <w:rPr/>
        <w:fldChar w:fldCharType="separate"/>
      </w:r>
      <w:r>
        <w:rPr/>
      </w:r>
      <w:r>
        <w:rPr/>
        <w:fldChar w:fldCharType="end"/>
      </w:r>
      <w:r>
        <w:rPr/>
        <w:t>:  Municipally owned utilities and electric cooperatives have the right not to opt into retail competition and retain their existing service territories. Also, they are not required to functionally unbundle their organizations if they choose to opt in and participate as a Competitive Retailer (CR). They are allowed to continue bundled operations regardless of their choice to open their service areas to retail competition.</w:t>
      </w:r>
    </w:p>
    <w:p>
      <w:pPr>
        <w:pStyle w:val="Style11"/>
        <w:rPr/>
      </w:pPr>
      <w:r>
        <w:rPr/>
      </w:r>
    </w:p>
    <w:p>
      <w:pPr>
        <w:pStyle w:val="Style11"/>
        <w:rPr/>
      </w:pPr>
      <w:r>
        <w:rPr/>
        <w:t>ERCOT is responsible for overseeing the development and effective operation of much of the competitive retail market. This role is an extension to current ERCOT system reliability and efficiency responsibilities for the competitive wholesale market. Some of the major changes for ERCOT include the consolidation of the 10 control areas</w:t>
      </w:r>
      <w:r>
        <w:rPr>
          <w:rStyle w:val="FootnoteCharacters"/>
          <w:rStyle w:val="FootnoteReference"/>
        </w:rPr>
        <w:footnoteReference w:id="8"/>
      </w:r>
      <w:r>
        <w:rPr/>
        <w:t xml:space="preserve"> in the ERCOT region into a single control area. On June 1, 2001, the ERCOT system will begin operation as a single control area where the control and reliable operation of the system converts from the existing 10 control areas to ERCOT. </w:t>
      </w:r>
    </w:p>
    <w:p>
      <w:pPr>
        <w:pStyle w:val="Style11"/>
        <w:rPr/>
      </w:pPr>
      <w:r>
        <w:rPr/>
      </w:r>
    </w:p>
    <w:p>
      <w:pPr>
        <w:pStyle w:val="Style11"/>
        <w:rPr/>
      </w:pPr>
      <w:r>
        <w:rPr/>
        <w:t>ERCOT will also support centralized power scheduling for wholesale electricity market transactions, and procure the necessary ancillary services</w:t>
      </w:r>
      <w:r>
        <w:fldChar w:fldCharType="begin"/>
      </w:r>
      <w:r>
        <w:rPr/>
        <w:instrText xml:space="preserve"> XE "ancillary services" </w:instrText>
      </w:r>
      <w:r>
        <w:rPr/>
        <w:fldChar w:fldCharType="separate"/>
      </w:r>
      <w:r>
        <w:rPr/>
      </w:r>
      <w:r>
        <w:rPr/>
        <w:fldChar w:fldCharType="end"/>
      </w:r>
      <w:r>
        <w:rPr>
          <w:rStyle w:val="FootnoteCharacters"/>
          <w:rStyle w:val="FootnoteReference"/>
        </w:rPr>
        <w:footnoteReference w:id="9"/>
      </w:r>
      <w:r>
        <w:rPr/>
        <w:t xml:space="preserve"> to ensure reliability. ERCOT will perform certain commercial functions centrally to facilitate efficient market operations, such as meter data acquisition and aggregation </w:t>
      </w:r>
      <w:r>
        <w:fldChar w:fldCharType="begin"/>
      </w:r>
      <w:r>
        <w:rPr/>
        <w:instrText xml:space="preserve"> XE "REP" </w:instrText>
      </w:r>
      <w:r>
        <w:rPr/>
        <w:fldChar w:fldCharType="separate"/>
      </w:r>
      <w:r>
        <w:rPr/>
      </w:r>
      <w:r>
        <w:rPr/>
        <w:fldChar w:fldCharType="end"/>
      </w:r>
      <w:r>
        <w:rPr/>
        <w:t>, load profiling and statewide registration of retail premises to facilitate switching by customers between REPs</w:t>
      </w:r>
      <w:r>
        <w:fldChar w:fldCharType="begin"/>
      </w:r>
      <w:r>
        <w:rPr/>
        <w:instrText xml:space="preserve"> XE "REPs" </w:instrText>
      </w:r>
      <w:r>
        <w:rPr/>
        <w:fldChar w:fldCharType="separate"/>
      </w:r>
      <w:r>
        <w:rPr/>
      </w:r>
      <w:r>
        <w:rPr/>
        <w:fldChar w:fldCharType="end"/>
      </w:r>
      <w:r>
        <w:rPr/>
        <w:t>.</w:t>
      </w:r>
    </w:p>
    <w:p>
      <w:pPr>
        <w:pStyle w:val="Style11"/>
        <w:rPr/>
      </w:pPr>
      <w:r>
        <w:rPr/>
      </w:r>
    </w:p>
    <w:p>
      <w:pPr>
        <w:pStyle w:val="Style11"/>
        <w:rPr/>
      </w:pPr>
      <w:r>
        <w:rPr/>
        <w:t>The next section introduces two concepts that are important to understanding the future activities ERCOT will perform to support a reliable competitive market.</w:t>
      </w:r>
      <w:r>
        <w:br w:type="page"/>
      </w:r>
    </w:p>
    <w:p>
      <w:pPr>
        <w:pStyle w:val="Heading1"/>
        <w:rPr/>
      </w:pPr>
      <w:bookmarkStart w:id="3" w:name="__RefHeading___Toc505989393"/>
      <w:bookmarkEnd w:id="3"/>
      <w:r>
        <w:rPr/>
        <w:t>2. Important Concepts</w:t>
      </w:r>
    </w:p>
    <w:p>
      <w:pPr>
        <w:pStyle w:val="Style11"/>
        <w:rPr/>
      </w:pPr>
      <w:r>
        <w:rPr/>
        <w:t>As operator of the single control area, ERCOT is responsible for maintaining the reliable supply of electricity to all customers within its region. The key questions ERCOT will have to answer, every minute of every day, to ensure reliability include:</w:t>
      </w:r>
    </w:p>
    <w:p>
      <w:pPr>
        <w:pStyle w:val="Style11"/>
        <w:rPr/>
      </w:pPr>
      <w:r>
        <w:rPr/>
      </w:r>
    </w:p>
    <w:p>
      <w:pPr>
        <w:pStyle w:val="Style11"/>
        <w:numPr>
          <w:ilvl w:val="0"/>
          <w:numId w:val="31"/>
        </w:numPr>
        <w:rPr/>
      </w:pPr>
      <w:r>
        <w:rPr/>
        <w:t>Is the right amount of generation available to support the amount of load on the power system? Is capacity adequate?</w:t>
      </w:r>
    </w:p>
    <w:p>
      <w:pPr>
        <w:pStyle w:val="Style11"/>
        <w:numPr>
          <w:ilvl w:val="0"/>
          <w:numId w:val="31"/>
        </w:numPr>
        <w:rPr/>
      </w:pPr>
      <w:r>
        <w:rPr/>
        <w:t>Is there enough transmission capacity to deliver the power being generated to the points in the network where the load is situated?</w:t>
      </w:r>
    </w:p>
    <w:p>
      <w:pPr>
        <w:pStyle w:val="Style11"/>
        <w:numPr>
          <w:ilvl w:val="0"/>
          <w:numId w:val="31"/>
        </w:numPr>
        <w:rPr/>
      </w:pPr>
      <w:r>
        <w:rPr/>
        <w:t>How will additional energy and other services be procured to support real-time balancing of energy supply and demand in the region?</w:t>
      </w:r>
    </w:p>
    <w:p>
      <w:pPr>
        <w:pStyle w:val="Style11"/>
        <w:numPr>
          <w:ilvl w:val="0"/>
          <w:numId w:val="31"/>
        </w:numPr>
        <w:rPr/>
      </w:pPr>
      <w:r>
        <w:rPr/>
        <w:t>What instructions need to be provided to participants to support reliable system operations?</w:t>
      </w:r>
    </w:p>
    <w:p>
      <w:pPr>
        <w:pStyle w:val="Style11"/>
        <w:rPr/>
      </w:pPr>
      <w:r>
        <w:rPr/>
      </w:r>
    </w:p>
    <w:p>
      <w:pPr>
        <w:pStyle w:val="Normal"/>
        <w:rPr>
          <w:sz w:val="20"/>
        </w:rPr>
      </w:pPr>
      <w:r>
        <w:rPr>
          <w:sz w:val="20"/>
        </w:rPr>
        <w:t>ERCOT relies on the availability of generation capacity to provide balancing energy to maintain the electric system within allowable reliability limits. The provision of capacity and energy are competitive services that will be provided in the market. Generation units that can be on standby and available to be called upon to provide energy or loads that are available to be interrupted to relieve the need for additional energy may provide these services. These services needed by ERCOT from generation or load resources to ensure reliability are called “ancillary services,” and are discussed in more detail in section 5A. However, at this point we can simplify them by thinking of the two types of ancillary services:</w:t>
      </w:r>
    </w:p>
    <w:p>
      <w:pPr>
        <w:pStyle w:val="Normal"/>
        <w:rPr>
          <w:rFonts w:eastAsia="Book Antiqua"/>
          <w:sz w:val="20"/>
        </w:rPr>
      </w:pPr>
      <w:r>
        <w:rPr>
          <w:rFonts w:eastAsia="Book Antiqua"/>
          <w:sz w:val="20"/>
        </w:rPr>
        <w:t xml:space="preserve"> </w:t>
      </w:r>
    </w:p>
    <w:p>
      <w:pPr>
        <w:pStyle w:val="Normal"/>
        <w:numPr>
          <w:ilvl w:val="0"/>
          <w:numId w:val="39"/>
        </w:numPr>
        <w:rPr>
          <w:sz w:val="20"/>
        </w:rPr>
      </w:pPr>
      <w:r>
        <w:rPr>
          <w:sz w:val="20"/>
        </w:rPr>
        <w:t>‘</w:t>
      </w:r>
      <w:r>
        <w:rPr>
          <w:sz w:val="20"/>
        </w:rPr>
        <w:t>Capacity’- is generation reserve available to be used if needed to provide balancing energy or loads available to be interrupted reducing the need for additional capacity</w:t>
      </w:r>
    </w:p>
    <w:p>
      <w:pPr>
        <w:pStyle w:val="Normal"/>
        <w:numPr>
          <w:ilvl w:val="0"/>
          <w:numId w:val="39"/>
        </w:numPr>
        <w:rPr>
          <w:sz w:val="20"/>
        </w:rPr>
      </w:pPr>
      <w:r>
        <w:rPr>
          <w:sz w:val="20"/>
        </w:rPr>
        <w:t>‘</w:t>
      </w:r>
      <w:r>
        <w:rPr>
          <w:sz w:val="20"/>
        </w:rPr>
        <w:t>Balancing Energy’- is energy deployed to ensure that supply and demand are in balance or loads interrupted to avoid the need for additional energy.</w:t>
      </w:r>
    </w:p>
    <w:p>
      <w:pPr>
        <w:pStyle w:val="Heading2"/>
        <w:rPr/>
      </w:pPr>
      <w:bookmarkStart w:id="4" w:name="__RefHeading___Toc505989394"/>
      <w:bookmarkEnd w:id="4"/>
      <w:r>
        <w:rPr/>
        <w:t>2A. Ancillary Services- Capacity</w:t>
      </w:r>
    </w:p>
    <w:p>
      <w:pPr>
        <w:pStyle w:val="Normal"/>
        <w:rPr>
          <w:sz w:val="20"/>
        </w:rPr>
      </w:pPr>
      <w:r>
        <w:rPr>
          <w:sz w:val="20"/>
        </w:rPr>
        <w:t>ERCOT will continuously monitor the amounts of reserve capacity available across the system to insure against unforeseen events, ranging from differences between scheduled and actual demand to the sudden loss of a generating unit or transmission facility. The estimated amounts of these capacity services, their deployment characteristics, and approximate amounts to be procured by ERCOT are:</w:t>
      </w:r>
      <w:r>
        <w:br w:type="page"/>
      </w:r>
    </w:p>
    <w:p>
      <w:pPr>
        <w:pStyle w:val="Normal"/>
        <w:rPr>
          <w:sz w:val="20"/>
        </w:rPr>
      </w:pPr>
      <w:r>
        <w:rPr>
          <w:sz w:val="20"/>
        </w:rPr>
      </w:r>
    </w:p>
    <w:p>
      <w:pPr>
        <w:pStyle w:val="Normal"/>
        <w:rPr>
          <w:sz w:val="20"/>
        </w:rPr>
      </w:pPr>
      <w:r>
        <w:rPr>
          <w:sz w:val="20"/>
        </w:rPr>
      </w:r>
    </w:p>
    <w:tbl>
      <w:tblPr>
        <w:tblW w:w="6408" w:type="dxa"/>
        <w:jc w:val="start"/>
        <w:tblInd w:w="0" w:type="dxa"/>
        <w:tblLayout w:type="fixed"/>
        <w:tblCellMar>
          <w:top w:w="0" w:type="dxa"/>
          <w:start w:w="108" w:type="dxa"/>
          <w:bottom w:w="0" w:type="dxa"/>
          <w:end w:w="108" w:type="dxa"/>
        </w:tblCellMar>
      </w:tblPr>
      <w:tblGrid>
        <w:gridCol w:w="2136"/>
        <w:gridCol w:w="2136"/>
        <w:gridCol w:w="2136"/>
      </w:tblGrid>
      <w:tr>
        <w:trPr/>
        <w:tc>
          <w:tcPr>
            <w:tcW w:w="2136" w:type="dxa"/>
            <w:tcBorders>
              <w:top w:val="single" w:sz="4" w:space="0" w:color="000000"/>
              <w:start w:val="single" w:sz="4" w:space="0" w:color="000000"/>
              <w:bottom w:val="single" w:sz="4" w:space="0" w:color="000000"/>
              <w:end w:val="single" w:sz="4" w:space="0" w:color="000000"/>
            </w:tcBorders>
            <w:shd w:fill="CCCCCC" w:val="clear"/>
          </w:tcPr>
          <w:p>
            <w:pPr>
              <w:pStyle w:val="Normal"/>
              <w:rPr>
                <w:i/>
                <w:i/>
                <w:sz w:val="20"/>
              </w:rPr>
            </w:pPr>
            <w:r>
              <w:rPr>
                <w:i/>
                <w:sz w:val="20"/>
              </w:rPr>
              <w:t xml:space="preserve">Ancillary Service Capacity </w:t>
            </w:r>
          </w:p>
        </w:tc>
        <w:tc>
          <w:tcPr>
            <w:tcW w:w="2136" w:type="dxa"/>
            <w:tcBorders>
              <w:top w:val="single" w:sz="4" w:space="0" w:color="000000"/>
              <w:start w:val="single" w:sz="4" w:space="0" w:color="000000"/>
              <w:bottom w:val="single" w:sz="4" w:space="0" w:color="000000"/>
              <w:end w:val="single" w:sz="4" w:space="0" w:color="000000"/>
            </w:tcBorders>
            <w:shd w:fill="CCCCCC" w:val="clear"/>
          </w:tcPr>
          <w:p>
            <w:pPr>
              <w:pStyle w:val="Normal"/>
              <w:rPr>
                <w:i/>
                <w:i/>
                <w:sz w:val="20"/>
              </w:rPr>
            </w:pPr>
            <w:r>
              <w:rPr>
                <w:i/>
                <w:sz w:val="20"/>
              </w:rPr>
              <w:t>Deployment</w:t>
            </w:r>
          </w:p>
        </w:tc>
        <w:tc>
          <w:tcPr>
            <w:tcW w:w="2136" w:type="dxa"/>
            <w:tcBorders>
              <w:top w:val="single" w:sz="4" w:space="0" w:color="000000"/>
              <w:start w:val="single" w:sz="4" w:space="0" w:color="000000"/>
              <w:bottom w:val="single" w:sz="4" w:space="0" w:color="000000"/>
              <w:end w:val="single" w:sz="4" w:space="0" w:color="000000"/>
            </w:tcBorders>
            <w:shd w:fill="CCCCCC" w:val="clear"/>
          </w:tcPr>
          <w:p>
            <w:pPr>
              <w:pStyle w:val="Normal"/>
              <w:rPr>
                <w:i/>
                <w:i/>
                <w:sz w:val="20"/>
              </w:rPr>
            </w:pPr>
            <w:r>
              <w:rPr>
                <w:i/>
                <w:sz w:val="20"/>
              </w:rPr>
              <w:t>Capacity Required</w:t>
            </w:r>
          </w:p>
        </w:tc>
      </w:tr>
      <w:tr>
        <w:trPr/>
        <w:tc>
          <w:tcPr>
            <w:tcW w:w="21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Regulation Down</w:t>
            </w:r>
            <w:r>
              <w:fldChar w:fldCharType="begin"/>
            </w:r>
            <w:r>
              <w:rPr/>
              <w:instrText xml:space="preserve"> XE "Regulation Down" </w:instrText>
            </w:r>
            <w:r>
              <w:rPr/>
              <w:fldChar w:fldCharType="separate"/>
            </w:r>
            <w:r>
              <w:rPr/>
            </w:r>
            <w:r>
              <w:rPr/>
              <w:fldChar w:fldCharType="end"/>
            </w:r>
          </w:p>
        </w:tc>
        <w:tc>
          <w:tcPr>
            <w:tcW w:w="2136" w:type="dxa"/>
            <w:tcBorders>
              <w:top w:val="single" w:sz="4" w:space="0" w:color="000000"/>
              <w:start w:val="single" w:sz="4" w:space="0" w:color="000000"/>
              <w:bottom w:val="single" w:sz="4" w:space="0" w:color="000000"/>
              <w:end w:val="single" w:sz="4" w:space="0" w:color="000000"/>
            </w:tcBorders>
          </w:tcPr>
          <w:p>
            <w:pPr>
              <w:pStyle w:val="Style11"/>
              <w:rPr/>
            </w:pPr>
            <w:r>
              <w:rPr/>
              <w:t>Instantaneous</w:t>
            </w:r>
          </w:p>
        </w:tc>
        <w:tc>
          <w:tcPr>
            <w:tcW w:w="21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1000MW</w:t>
            </w:r>
          </w:p>
        </w:tc>
      </w:tr>
      <w:tr>
        <w:trPr/>
        <w:tc>
          <w:tcPr>
            <w:tcW w:w="21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Regulation Up</w:t>
            </w:r>
            <w:r>
              <w:fldChar w:fldCharType="begin"/>
            </w:r>
            <w:r>
              <w:rPr/>
              <w:instrText xml:space="preserve"> XE "Regulation Up" </w:instrText>
            </w:r>
            <w:r>
              <w:rPr/>
              <w:fldChar w:fldCharType="separate"/>
            </w:r>
            <w:r>
              <w:rPr/>
            </w:r>
            <w:r>
              <w:rPr/>
              <w:fldChar w:fldCharType="end"/>
            </w:r>
          </w:p>
        </w:tc>
        <w:tc>
          <w:tcPr>
            <w:tcW w:w="2136" w:type="dxa"/>
            <w:tcBorders>
              <w:top w:val="single" w:sz="4" w:space="0" w:color="000000"/>
              <w:start w:val="single" w:sz="4" w:space="0" w:color="000000"/>
              <w:bottom w:val="single" w:sz="4" w:space="0" w:color="000000"/>
              <w:end w:val="single" w:sz="4" w:space="0" w:color="000000"/>
            </w:tcBorders>
          </w:tcPr>
          <w:p>
            <w:pPr>
              <w:pStyle w:val="Style11"/>
              <w:rPr/>
            </w:pPr>
            <w:r>
              <w:rPr/>
              <w:t>Instantaneous</w:t>
            </w:r>
          </w:p>
        </w:tc>
        <w:tc>
          <w:tcPr>
            <w:tcW w:w="21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1000MW</w:t>
            </w:r>
          </w:p>
        </w:tc>
      </w:tr>
      <w:tr>
        <w:trPr/>
        <w:tc>
          <w:tcPr>
            <w:tcW w:w="21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Responsive Reserve</w:t>
            </w:r>
            <w:r>
              <w:fldChar w:fldCharType="begin"/>
            </w:r>
            <w:r>
              <w:rPr/>
              <w:instrText xml:space="preserve"> XE "Responsive Reserve" </w:instrText>
            </w:r>
            <w:r>
              <w:rPr/>
              <w:fldChar w:fldCharType="separate"/>
            </w:r>
            <w:r>
              <w:rPr/>
            </w:r>
            <w:r>
              <w:rPr/>
              <w:fldChar w:fldCharType="end"/>
            </w:r>
          </w:p>
        </w:tc>
        <w:tc>
          <w:tcPr>
            <w:tcW w:w="2136" w:type="dxa"/>
            <w:tcBorders>
              <w:top w:val="single" w:sz="4" w:space="0" w:color="000000"/>
              <w:start w:val="single" w:sz="4" w:space="0" w:color="000000"/>
              <w:bottom w:val="single" w:sz="4" w:space="0" w:color="000000"/>
              <w:end w:val="single" w:sz="4" w:space="0" w:color="000000"/>
            </w:tcBorders>
          </w:tcPr>
          <w:p>
            <w:pPr>
              <w:pStyle w:val="Style11"/>
              <w:rPr/>
            </w:pPr>
            <w:r>
              <w:rPr/>
              <w:t>Within 10 minutes</w:t>
            </w:r>
          </w:p>
        </w:tc>
        <w:tc>
          <w:tcPr>
            <w:tcW w:w="21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2300MW</w:t>
            </w:r>
          </w:p>
        </w:tc>
      </w:tr>
      <w:tr>
        <w:trPr/>
        <w:tc>
          <w:tcPr>
            <w:tcW w:w="21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Non-Spinning Reserve</w:t>
            </w:r>
            <w:r>
              <w:fldChar w:fldCharType="begin"/>
            </w:r>
            <w:r>
              <w:rPr/>
              <w:instrText xml:space="preserve"> XE "Non-Spinning Reserve" </w:instrText>
            </w:r>
            <w:r>
              <w:rPr/>
              <w:fldChar w:fldCharType="separate"/>
            </w:r>
            <w:r>
              <w:rPr/>
            </w:r>
            <w:r>
              <w:rPr/>
              <w:fldChar w:fldCharType="end"/>
            </w:r>
          </w:p>
        </w:tc>
        <w:tc>
          <w:tcPr>
            <w:tcW w:w="21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Within 30 minutes</w:t>
            </w:r>
          </w:p>
        </w:tc>
        <w:tc>
          <w:tcPr>
            <w:tcW w:w="2136"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1500MW</w:t>
            </w:r>
          </w:p>
        </w:tc>
      </w:tr>
    </w:tbl>
    <w:p>
      <w:pPr>
        <w:pStyle w:val="Normal"/>
        <w:rPr>
          <w:sz w:val="20"/>
        </w:rPr>
      </w:pPr>
      <w:r>
        <w:rPr>
          <w:sz w:val="20"/>
        </w:rPr>
      </w:r>
    </w:p>
    <w:p>
      <w:pPr>
        <w:pStyle w:val="Normal"/>
        <w:rPr/>
      </w:pPr>
      <w:r>
        <w:rPr>
          <w:sz w:val="20"/>
        </w:rPr>
        <w:t>These reserves will be the first ancillary services</w:t>
      </w:r>
      <w:r>
        <w:fldChar w:fldCharType="begin"/>
      </w:r>
      <w:r>
        <w:rPr/>
        <w:instrText xml:space="preserve"> XE "ancillary services" </w:instrText>
      </w:r>
      <w:r>
        <w:rPr/>
        <w:fldChar w:fldCharType="separate"/>
      </w:r>
      <w:r>
        <w:rPr/>
      </w:r>
      <w:r>
        <w:rPr/>
        <w:fldChar w:fldCharType="end"/>
      </w:r>
      <w:r>
        <w:rPr>
          <w:sz w:val="20"/>
        </w:rPr>
        <w:t xml:space="preserve"> that ERCOT procures each day. They are required in the amounts specified by ERCOT, independent of the scheduled amounts of generation and load. </w:t>
      </w:r>
    </w:p>
    <w:p>
      <w:pPr>
        <w:pStyle w:val="Normal"/>
        <w:rPr>
          <w:sz w:val="20"/>
        </w:rPr>
      </w:pPr>
      <w:r>
        <w:rPr>
          <w:sz w:val="20"/>
        </w:rPr>
      </w:r>
    </w:p>
    <w:p>
      <w:pPr>
        <w:pStyle w:val="Style11"/>
        <w:rPr/>
      </w:pPr>
      <w:r>
        <w:rPr/>
        <w:t>However, the next type of ancillary services</w:t>
      </w:r>
      <w:r>
        <w:fldChar w:fldCharType="begin"/>
      </w:r>
      <w:r>
        <w:rPr/>
        <w:instrText xml:space="preserve"> XE "ancillary services" </w:instrText>
      </w:r>
      <w:r>
        <w:rPr/>
        <w:fldChar w:fldCharType="separate"/>
      </w:r>
      <w:r>
        <w:rPr/>
      </w:r>
      <w:r>
        <w:rPr/>
        <w:fldChar w:fldCharType="end"/>
      </w:r>
      <w:r>
        <w:rPr/>
        <w:t xml:space="preserve"> capacity that ERCOT may procure is indeed dependent on the scheduled amounts of generation and load. ERCOT makes its additional capacity procurement decision based on the analysis of schedules to determine whether:</w:t>
      </w:r>
    </w:p>
    <w:p>
      <w:pPr>
        <w:pStyle w:val="Normal"/>
        <w:rPr>
          <w:sz w:val="20"/>
        </w:rPr>
      </w:pPr>
      <w:r>
        <w:rPr>
          <w:sz w:val="20"/>
        </w:rPr>
      </w:r>
    </w:p>
    <w:p>
      <w:pPr>
        <w:pStyle w:val="Normal"/>
        <w:numPr>
          <w:ilvl w:val="0"/>
          <w:numId w:val="45"/>
        </w:numPr>
        <w:rPr>
          <w:sz w:val="20"/>
        </w:rPr>
      </w:pPr>
      <w:r>
        <w:rPr>
          <w:sz w:val="20"/>
        </w:rPr>
        <w:t>The amount of scheduled load is consistent with ERCOT’s own load forecasts for the operating day.</w:t>
      </w:r>
    </w:p>
    <w:p>
      <w:pPr>
        <w:pStyle w:val="Normal"/>
        <w:numPr>
          <w:ilvl w:val="0"/>
          <w:numId w:val="45"/>
        </w:numPr>
        <w:rPr>
          <w:sz w:val="20"/>
        </w:rPr>
      </w:pPr>
      <w:r>
        <w:rPr>
          <w:sz w:val="20"/>
        </w:rPr>
        <w:t>There will be congestion</w:t>
      </w:r>
      <w:r>
        <w:fldChar w:fldCharType="begin"/>
      </w:r>
      <w:r>
        <w:rPr/>
        <w:instrText xml:space="preserve"> XE "congestion" </w:instrText>
      </w:r>
      <w:r>
        <w:rPr/>
        <w:fldChar w:fldCharType="separate"/>
      </w:r>
      <w:r>
        <w:rPr/>
      </w:r>
      <w:r>
        <w:rPr/>
        <w:fldChar w:fldCharType="end"/>
      </w:r>
      <w:r>
        <w:rPr>
          <w:sz w:val="20"/>
        </w:rPr>
        <w:t xml:space="preserve"> anywhere in the transmission system during the operating day, given the locations of generation and load.</w:t>
      </w:r>
    </w:p>
    <w:p>
      <w:pPr>
        <w:pStyle w:val="Normal"/>
        <w:rPr>
          <w:sz w:val="20"/>
        </w:rPr>
      </w:pPr>
      <w:r>
        <w:rPr>
          <w:sz w:val="20"/>
        </w:rPr>
      </w:r>
    </w:p>
    <w:p>
      <w:pPr>
        <w:pStyle w:val="Normal"/>
        <w:rPr/>
      </w:pPr>
      <w:r>
        <w:rPr>
          <w:sz w:val="20"/>
        </w:rPr>
        <w:t>If the analysis identifies a problem in either of these areas, ERCOT will procure Replacement Reserve to ensure sufficient capacity to deal with the projected capacity inadequacy or congestion</w:t>
      </w:r>
      <w:r>
        <w:fldChar w:fldCharType="begin"/>
      </w:r>
      <w:r>
        <w:rPr/>
        <w:instrText xml:space="preserve"> XE "congestion" </w:instrText>
      </w:r>
      <w:r>
        <w:rPr/>
        <w:fldChar w:fldCharType="separate"/>
      </w:r>
      <w:r>
        <w:rPr/>
      </w:r>
      <w:r>
        <w:rPr/>
        <w:fldChar w:fldCharType="end"/>
      </w:r>
      <w:r>
        <w:rPr>
          <w:sz w:val="20"/>
        </w:rPr>
        <w:t xml:space="preserve">. </w:t>
      </w:r>
    </w:p>
    <w:p>
      <w:pPr>
        <w:pStyle w:val="Heading2"/>
        <w:rPr/>
      </w:pPr>
      <w:bookmarkStart w:id="5" w:name="__RefHeading___Toc505989395"/>
      <w:bookmarkEnd w:id="5"/>
      <w:r>
        <w:rPr/>
        <w:t>2B. Ancillary Services- Balancing Energy</w:t>
      </w:r>
    </w:p>
    <w:p>
      <w:pPr>
        <w:pStyle w:val="Normal"/>
        <w:rPr>
          <w:sz w:val="20"/>
        </w:rPr>
      </w:pPr>
      <w:r>
        <w:rPr>
          <w:sz w:val="20"/>
        </w:rPr>
        <w:t>As ERCOT moves even closer to the real-time interval in which the energy will actually be delivered, it will continuously get additional information that improves its ability to forecast system conditions. For instance, as the day-ahead energy schedules are finalized for a given 24-hour period, scheduling entities will submit resource plans for generators that indicate the amounts of:</w:t>
      </w:r>
    </w:p>
    <w:p>
      <w:pPr>
        <w:pStyle w:val="Normal"/>
        <w:rPr>
          <w:sz w:val="20"/>
        </w:rPr>
      </w:pPr>
      <w:r>
        <w:rPr>
          <w:sz w:val="20"/>
        </w:rPr>
      </w:r>
    </w:p>
    <w:p>
      <w:pPr>
        <w:pStyle w:val="Normal"/>
        <w:numPr>
          <w:ilvl w:val="0"/>
          <w:numId w:val="46"/>
        </w:numPr>
        <w:rPr>
          <w:sz w:val="20"/>
        </w:rPr>
      </w:pPr>
      <w:r>
        <w:rPr>
          <w:sz w:val="20"/>
        </w:rPr>
        <w:t>Capacity- which is generation capacity that will be readily available if needed but is not actually delivered to the grid as energy.</w:t>
      </w:r>
    </w:p>
    <w:p>
      <w:pPr>
        <w:pStyle w:val="Normal"/>
        <w:numPr>
          <w:ilvl w:val="0"/>
          <w:numId w:val="46"/>
        </w:numPr>
        <w:rPr>
          <w:sz w:val="20"/>
        </w:rPr>
      </w:pPr>
      <w:r>
        <w:rPr>
          <w:sz w:val="20"/>
        </w:rPr>
        <w:t>Energy- which is the energy that will be generated and sent to the grid to meet the generators’ contracted amounts of load.</w:t>
      </w:r>
    </w:p>
    <w:p>
      <w:pPr>
        <w:pStyle w:val="Normal"/>
        <w:rPr>
          <w:sz w:val="20"/>
        </w:rPr>
      </w:pPr>
      <w:r>
        <w:rPr>
          <w:sz w:val="20"/>
        </w:rPr>
      </w:r>
    </w:p>
    <w:p>
      <w:pPr>
        <w:pStyle w:val="Normal"/>
        <w:rPr>
          <w:sz w:val="20"/>
        </w:rPr>
      </w:pPr>
      <w:r>
        <w:rPr>
          <w:sz w:val="20"/>
        </w:rPr>
        <w:t>After evaluating the effect on the power grid of forecasted loads, schedules, transmission system conditions and resource plans, ERCOT will determine how much additional capacity needs to be reserved to assure ERCOT will have resources that can provide balancing energy in real-time to maintain reliability. ERCOT will procure the needed capacity services to assure itself the ability to serve the scheduled loads as well as relieve loading on transmission lines that appear to be constrained upon a study of the submitted schedules. ERCOT will procure balancing energy about 10 minutes before the time of actual power flow, by which point the right amount can be predicted very accurately using short-term forecasting tools.</w:t>
      </w:r>
    </w:p>
    <w:p>
      <w:pPr>
        <w:pStyle w:val="Normal"/>
        <w:rPr>
          <w:sz w:val="20"/>
        </w:rPr>
      </w:pPr>
      <w:r>
        <w:rPr>
          <w:sz w:val="20"/>
        </w:rPr>
      </w:r>
    </w:p>
    <w:p>
      <w:pPr>
        <w:pStyle w:val="Normal"/>
        <w:rPr>
          <w:sz w:val="20"/>
        </w:rPr>
      </w:pPr>
      <w:r>
        <w:rPr>
          <w:sz w:val="20"/>
        </w:rPr>
        <w:t>Replacement Reserve ancillary service providers will submit balancing energy bids when they submit their Replacement Reserve capacity bids. Their balancing energy bids will go in the balancing energy bid stacks for the hours for which they were awarded to provide Replacement Reserve capacity service. Ancillary service providers will not, however, bid the capacity that they have sold to ERCOT into the market for other capacity services.</w:t>
      </w:r>
    </w:p>
    <w:p>
      <w:pPr>
        <w:pStyle w:val="Normal"/>
        <w:rPr>
          <w:sz w:val="20"/>
        </w:rPr>
      </w:pPr>
      <w:r>
        <w:rPr>
          <w:sz w:val="20"/>
        </w:rPr>
      </w:r>
    </w:p>
    <w:p>
      <w:pPr>
        <w:pStyle w:val="Normal"/>
        <w:rPr>
          <w:sz w:val="20"/>
        </w:rPr>
      </w:pPr>
      <w:r>
        <w:rPr>
          <w:sz w:val="20"/>
        </w:rPr>
        <w:t>ERCOT will select and deploy balancing energy in the amount necessary to keep the system in balance and minimize the net energy needed in real time from regulation service providers.</w:t>
      </w:r>
    </w:p>
    <w:p>
      <w:pPr>
        <w:pStyle w:val="Normal"/>
        <w:rPr>
          <w:sz w:val="20"/>
        </w:rPr>
      </w:pPr>
      <w:r>
        <w:rPr>
          <w:sz w:val="20"/>
        </w:rPr>
      </w:r>
      <w:r>
        <w:br w:type="page"/>
      </w:r>
    </w:p>
    <w:p>
      <w:pPr>
        <w:pStyle w:val="Heading1"/>
        <w:rPr/>
      </w:pPr>
      <w:bookmarkStart w:id="6" w:name="__RefHeading___Toc505989396"/>
      <w:bookmarkEnd w:id="6"/>
      <w:r>
        <w:rPr/>
        <w:t>3. Market Overview</w:t>
      </w:r>
    </w:p>
    <w:p>
      <w:pPr>
        <w:pStyle w:val="Normal"/>
        <w:rPr/>
      </w:pPr>
      <w:r>
        <w:rPr>
          <w:sz w:val="20"/>
        </w:rPr>
        <w:t>A key feature of the ERCOT competitive retail electricity market is that it will be based on “bilateral</w:t>
      </w:r>
      <w:r>
        <w:fldChar w:fldCharType="begin"/>
      </w:r>
      <w:r>
        <w:rPr/>
        <w:instrText xml:space="preserve"> XE "bilateral" </w:instrText>
      </w:r>
      <w:r>
        <w:rPr/>
        <w:fldChar w:fldCharType="separate"/>
      </w:r>
      <w:r>
        <w:rPr/>
      </w:r>
      <w:r>
        <w:rPr/>
        <w:fldChar w:fldCharType="end"/>
      </w:r>
      <w:r>
        <w:rPr>
          <w:sz w:val="20"/>
        </w:rPr>
        <w:t xml:space="preserve">” transactions between buyers and sellers of energy, as shown in the picture below. Scheduling entities are required to turn into ERCOT balanced energy schedules of load and energy required to serve the load. The balance schedules are a result of bilateral trades between load and resource entities. ERCOT only operates the electricity market needed to mitigate the energy imbalances that result due to the differences between the real time system requirements and the system loading anticipated in the balanced schedules. This is unlike some other markets, where power generating companies sell electricity into a “pool” and load serving entities purchase from the same “pool” in an exchange where the amount of demand and supply sets market prices for buyers and sellers. </w:t>
      </w:r>
    </w:p>
    <w:p>
      <w:pPr>
        <w:pStyle w:val="Normal"/>
        <w:rPr>
          <w:sz w:val="20"/>
        </w:rPr>
      </w:pPr>
      <w:r>
        <w:rPr>
          <w:sz w:val="20"/>
        </w:rPr>
      </w:r>
    </w:p>
    <w:p>
      <w:pPr>
        <w:pStyle w:val="Normal"/>
        <w:rPr>
          <w:sz w:val="20"/>
        </w:rPr>
      </w:pPr>
      <w:r>
        <w:rPr>
          <w:sz w:val="20"/>
        </w:rPr>
        <w:drawing>
          <wp:anchor behindDoc="0" distT="0" distB="0" distL="114935" distR="114935" simplePos="0" locked="0" layoutInCell="0" allowOverlap="1" relativeHeight="165">
            <wp:simplePos x="0" y="0"/>
            <wp:positionH relativeFrom="column">
              <wp:posOffset>0</wp:posOffset>
            </wp:positionH>
            <wp:positionV relativeFrom="paragraph">
              <wp:posOffset>635</wp:posOffset>
            </wp:positionV>
            <wp:extent cx="5468620" cy="3768090"/>
            <wp:effectExtent l="0" t="0" r="0" b="0"/>
            <wp:wrapTopAndBottom/>
            <wp:docPr id="1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descr="" title=""/>
                    <pic:cNvPicPr>
                      <a:picLocks noChangeAspect="1" noChangeArrowheads="1"/>
                    </pic:cNvPicPr>
                  </pic:nvPicPr>
                  <pic:blipFill>
                    <a:blip r:embed="rId11"/>
                    <a:srcRect l="-7" t="-10" r="-7" b="-10"/>
                    <a:stretch>
                      <a:fillRect/>
                    </a:stretch>
                  </pic:blipFill>
                  <pic:spPr bwMode="auto">
                    <a:xfrm>
                      <a:off x="0" y="0"/>
                      <a:ext cx="5468620" cy="3768090"/>
                    </a:xfrm>
                    <a:prstGeom prst="rect">
                      <a:avLst/>
                    </a:prstGeom>
                    <a:noFill/>
                  </pic:spPr>
                </pic:pic>
              </a:graphicData>
            </a:graphic>
          </wp:anchor>
        </w:drawing>
      </w:r>
    </w:p>
    <w:p>
      <w:pPr>
        <w:pStyle w:val="Normal"/>
        <w:rPr/>
      </w:pPr>
      <w:r>
        <w:rPr>
          <w:sz w:val="20"/>
        </w:rPr>
        <w:t>Load serving entities buying energy and Resources selling energy will communicate operational information such as their bilaterally arranged balanced schedules of loads and resources to ERCOT through their scheduling entities. ERCOT will ensure that the power grid can accommodate the schedules that were generated by the bilateral</w:t>
      </w:r>
      <w:r>
        <w:fldChar w:fldCharType="begin"/>
      </w:r>
      <w:r>
        <w:rPr/>
        <w:instrText xml:space="preserve"> XE "bilateral" </w:instrText>
      </w:r>
      <w:r>
        <w:rPr/>
        <w:fldChar w:fldCharType="separate"/>
      </w:r>
      <w:r>
        <w:rPr/>
      </w:r>
      <w:r>
        <w:rPr/>
        <w:fldChar w:fldCharType="end"/>
      </w:r>
      <w:r>
        <w:rPr>
          <w:sz w:val="20"/>
        </w:rPr>
        <w:t xml:space="preserve"> market. </w:t>
      </w:r>
    </w:p>
    <w:p>
      <w:pPr>
        <w:pStyle w:val="Normal"/>
        <w:rPr>
          <w:sz w:val="20"/>
        </w:rPr>
      </w:pPr>
      <w:r>
        <w:rPr>
          <w:sz w:val="20"/>
        </w:rPr>
      </w:r>
    </w:p>
    <w:p>
      <w:pPr>
        <w:pStyle w:val="Normal"/>
        <w:rPr/>
      </w:pPr>
      <w:r>
        <w:rPr>
          <w:sz w:val="20"/>
        </w:rPr>
        <w:t xml:space="preserve">ERCOT makes an assessment of the ancillary services needed to accommodate the bilateral schedules and the scheduling entities are asked to either provide their share of these services from their own resources or let ERCOT purchase these services from the market on their behalf. Market Participants may self provide all or part of their share of ancillary services. </w:t>
      </w:r>
      <w:r>
        <w:fldChar w:fldCharType="begin"/>
      </w:r>
      <w:r>
        <w:rPr/>
        <w:instrText xml:space="preserve"> XE "ancillary services" </w:instrText>
      </w:r>
      <w:r>
        <w:rPr/>
        <w:fldChar w:fldCharType="separate"/>
      </w:r>
      <w:r>
        <w:rPr/>
      </w:r>
      <w:r>
        <w:rPr/>
        <w:fldChar w:fldCharType="end"/>
      </w:r>
      <w:r>
        <w:rPr>
          <w:sz w:val="20"/>
        </w:rPr>
        <w:t>ERCOT is uniquely positioned to identify the ancillary services needed to resolve system conditions like capacity inadequacy and congestion</w:t>
      </w:r>
      <w:r>
        <w:fldChar w:fldCharType="begin"/>
      </w:r>
      <w:r>
        <w:rPr/>
        <w:instrText xml:space="preserve"> XE "congestion" </w:instrText>
      </w:r>
      <w:r>
        <w:rPr/>
        <w:fldChar w:fldCharType="separate"/>
      </w:r>
      <w:r>
        <w:rPr/>
      </w:r>
      <w:r>
        <w:rPr/>
        <w:fldChar w:fldCharType="end"/>
      </w:r>
      <w:r>
        <w:rPr>
          <w:sz w:val="20"/>
        </w:rPr>
        <w:t>, to maintain reliability, as shown in the previous section.</w:t>
      </w:r>
    </w:p>
    <w:p>
      <w:pPr>
        <w:pStyle w:val="Normal"/>
        <w:rPr>
          <w:rFonts w:eastAsia="Book Antiqua"/>
          <w:sz w:val="20"/>
        </w:rPr>
      </w:pPr>
      <w:r>
        <w:rPr>
          <w:rFonts w:eastAsia="Book Antiqua"/>
          <w:sz w:val="20"/>
        </w:rPr>
        <w:t xml:space="preserve"> </w:t>
      </w:r>
    </w:p>
    <w:p>
      <w:pPr>
        <w:pStyle w:val="Normal"/>
        <w:rPr/>
      </w:pPr>
      <w:r>
        <w:rPr>
          <w:sz w:val="20"/>
        </w:rPr>
        <w:t xml:space="preserve">For the market to operate reliably and efficiently, the various market participants need to work closely together and operate according to standard market rules or Protocols. A description of the ERCOT Protocols can be found on the </w:t>
      </w:r>
      <w:hyperlink r:id="rId12">
        <w:r>
          <w:rPr>
            <w:rStyle w:val="Hyperlink"/>
            <w:sz w:val="20"/>
          </w:rPr>
          <w:t>www.TexasChoiceProgram.com</w:t>
        </w:r>
      </w:hyperlink>
      <w:r>
        <w:rPr>
          <w:sz w:val="20"/>
        </w:rPr>
        <w:t xml:space="preserve"> website.</w:t>
      </w:r>
    </w:p>
    <w:p>
      <w:pPr>
        <w:pStyle w:val="Normal"/>
        <w:rPr>
          <w:sz w:val="20"/>
        </w:rPr>
      </w:pPr>
      <w:r>
        <w:rPr>
          <w:sz w:val="20"/>
        </w:rPr>
      </w:r>
    </w:p>
    <w:p>
      <w:pPr>
        <w:pStyle w:val="Style11"/>
        <w:rPr>
          <w:sz w:val="20"/>
        </w:rPr>
      </w:pPr>
      <w:r>
        <w:rPr>
          <w:sz w:val="20"/>
        </w:rPr>
      </w:r>
    </w:p>
    <w:p>
      <w:pPr>
        <w:pStyle w:val="Style11"/>
        <w:rPr/>
      </w:pPr>
      <w:r>
        <w:rPr/>
        <w:t>The next figure illustrates the main market participant relationships in the ERCOT region competitive retail market. A description of these market participants follows.</w:t>
      </w:r>
    </w:p>
    <w:p>
      <w:pPr>
        <w:pStyle w:val="Style11"/>
        <w:rPr/>
      </w:pPr>
      <w:r>
        <w:rPr/>
      </w:r>
    </w:p>
    <w:p>
      <w:pPr>
        <w:pStyle w:val="Style11"/>
        <w:rPr/>
      </w:pPr>
      <w:r>
        <w:drawing>
          <wp:anchor behindDoc="0" distT="0" distB="0" distL="114935" distR="114935" simplePos="0" locked="0" layoutInCell="0" allowOverlap="1" relativeHeight="166">
            <wp:simplePos x="0" y="0"/>
            <wp:positionH relativeFrom="column">
              <wp:posOffset>0</wp:posOffset>
            </wp:positionH>
            <wp:positionV relativeFrom="paragraph">
              <wp:posOffset>635</wp:posOffset>
            </wp:positionV>
            <wp:extent cx="5310505" cy="3940175"/>
            <wp:effectExtent l="0" t="0" r="0" b="0"/>
            <wp:wrapTopAndBottom/>
            <wp:docPr id="1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 descr="" title=""/>
                    <pic:cNvPicPr>
                      <a:picLocks noChangeAspect="1" noChangeArrowheads="1"/>
                    </pic:cNvPicPr>
                  </pic:nvPicPr>
                  <pic:blipFill>
                    <a:blip r:embed="rId13"/>
                    <a:srcRect l="-7" t="-9" r="-7" b="-9"/>
                    <a:stretch>
                      <a:fillRect/>
                    </a:stretch>
                  </pic:blipFill>
                  <pic:spPr bwMode="auto">
                    <a:xfrm>
                      <a:off x="0" y="0"/>
                      <a:ext cx="5310505" cy="3940175"/>
                    </a:xfrm>
                    <a:prstGeom prst="rect">
                      <a:avLst/>
                    </a:prstGeom>
                    <a:noFill/>
                  </pic:spPr>
                </pic:pic>
              </a:graphicData>
            </a:graphic>
          </wp:anchor>
        </w:drawing>
      </w:r>
      <w:r>
        <w:rPr>
          <w:b/>
        </w:rPr>
        <w:t>Qualified Scheduling Entities (QSEs</w:t>
      </w:r>
      <w:r>
        <w:fldChar w:fldCharType="begin"/>
      </w:r>
      <w:r>
        <w:rPr/>
        <w:instrText xml:space="preserve"> XE "QSEs" </w:instrText>
      </w:r>
      <w:r>
        <w:rPr/>
        <w:fldChar w:fldCharType="separate"/>
      </w:r>
      <w:r>
        <w:rPr/>
      </w:r>
      <w:r>
        <w:rPr/>
        <w:fldChar w:fldCharType="end"/>
      </w:r>
      <w:r>
        <w:rPr>
          <w:b/>
        </w:rPr>
        <w:t xml:space="preserve">) </w:t>
      </w:r>
      <w:r>
        <w:rPr/>
        <w:t xml:space="preserve">will play a key role in the competitive retail market. From a market operations perspective, QSEs will provide the main information interface with ERCOT. For example, market participant scheduling of energy or bidding for ancillary services must be done by a QSE. </w:t>
      </w:r>
    </w:p>
    <w:p>
      <w:pPr>
        <w:pStyle w:val="Style11"/>
        <w:rPr/>
      </w:pPr>
      <w:r>
        <w:rPr/>
      </w:r>
    </w:p>
    <w:p>
      <w:pPr>
        <w:pStyle w:val="Style11"/>
        <w:rPr/>
      </w:pPr>
      <w:r>
        <w:rPr/>
        <w:t>ERCOT will then send instructions to the QSEs</w:t>
      </w:r>
      <w:r>
        <w:fldChar w:fldCharType="begin"/>
      </w:r>
      <w:r>
        <w:rPr/>
        <w:instrText xml:space="preserve"> XE "QSEs" </w:instrText>
      </w:r>
      <w:r>
        <w:rPr/>
        <w:fldChar w:fldCharType="separate"/>
      </w:r>
      <w:r>
        <w:rPr/>
      </w:r>
      <w:r>
        <w:rPr/>
        <w:fldChar w:fldCharType="end"/>
      </w:r>
      <w:r>
        <w:rPr/>
        <w:t>, including regulation signals, balancing instructions, and accepted bid information. QSEs will relay the instructions to the appropriate market participants, as required.</w:t>
      </w:r>
    </w:p>
    <w:p>
      <w:pPr>
        <w:pStyle w:val="Style11"/>
        <w:rPr/>
      </w:pPr>
      <w:r>
        <w:rPr/>
      </w:r>
    </w:p>
    <w:p>
      <w:pPr>
        <w:pStyle w:val="Style11"/>
        <w:rPr/>
      </w:pPr>
      <w:r>
        <w:rPr/>
        <w:t>The schedules that QSEs</w:t>
      </w:r>
      <w:r>
        <w:fldChar w:fldCharType="begin"/>
      </w:r>
      <w:r>
        <w:rPr/>
        <w:instrText xml:space="preserve"> XE "QSEs" </w:instrText>
      </w:r>
      <w:r>
        <w:rPr/>
        <w:fldChar w:fldCharType="separate"/>
      </w:r>
      <w:r>
        <w:rPr/>
      </w:r>
      <w:r>
        <w:rPr/>
        <w:fldChar w:fldCharType="end"/>
      </w:r>
      <w:r>
        <w:rPr/>
        <w:t xml:space="preserve"> submit will have to be “balanced” in terms of loads and their corresponding resources. For example, a schedule that indicates a load of 2MW but corresponding resources of only 1MW will not be balanced because there are insufficient resources for the load.</w:t>
      </w:r>
    </w:p>
    <w:p>
      <w:pPr>
        <w:pStyle w:val="Style11"/>
        <w:rPr/>
      </w:pPr>
      <w:r>
        <w:rPr/>
      </w:r>
    </w:p>
    <w:p>
      <w:pPr>
        <w:pStyle w:val="Style11"/>
        <w:rPr/>
      </w:pPr>
      <w:r>
        <w:rPr/>
        <w:t>The financial settlement for balancing energy and ancillary services</w:t>
      </w:r>
      <w:r>
        <w:fldChar w:fldCharType="begin"/>
      </w:r>
      <w:r>
        <w:rPr/>
        <w:instrText xml:space="preserve"> XE "ancillary services" </w:instrText>
      </w:r>
      <w:r>
        <w:rPr/>
        <w:fldChar w:fldCharType="separate"/>
      </w:r>
      <w:r>
        <w:rPr/>
      </w:r>
      <w:r>
        <w:rPr/>
        <w:fldChar w:fldCharType="end"/>
      </w:r>
      <w:r>
        <w:rPr/>
        <w:t xml:space="preserve"> that were used by ERCOT will take place between QSEs</w:t>
      </w:r>
      <w:r>
        <w:fldChar w:fldCharType="begin"/>
      </w:r>
      <w:r>
        <w:rPr/>
        <w:instrText xml:space="preserve"> XE "QSEs" </w:instrText>
      </w:r>
      <w:r>
        <w:rPr/>
        <w:fldChar w:fldCharType="separate"/>
      </w:r>
      <w:r>
        <w:rPr/>
      </w:r>
      <w:r>
        <w:rPr/>
        <w:fldChar w:fldCharType="end"/>
      </w:r>
      <w:r>
        <w:rPr/>
        <w:t xml:space="preserve"> and ERCOT. Settlement of the balancing energy will be based on the load imbalance and resource imbalances from each QSE. The load imbalance is the difference between the scheduled load and actual load from each QSE. Resource imbalance is the difference between the scheduled energy and actual energy for each QSE. The actual load and energy amounts are derived from the load and resource meter readings. For example, when a QSE’s actual energy supplied from its resources it represents is insufficient to match the scheduled energy in the balanced schedule it provided to ERCOT, that QSE would be required to reimburse ERCOT for the balancing energy ERCOT procured, at the Market Clearing Price. On the other hand, if ERCOT accepts a balancing energy bid by a QSE from the ancillary services market, ERCOT will pay the QSE as appropriate at the Market Clearing Price. </w:t>
      </w:r>
    </w:p>
    <w:p>
      <w:pPr>
        <w:pStyle w:val="Style11"/>
        <w:rPr>
          <w:b/>
        </w:rPr>
      </w:pPr>
      <w:r>
        <w:rPr>
          <w:b/>
        </w:rPr>
      </w:r>
    </w:p>
    <w:p>
      <w:pPr>
        <w:pStyle w:val="Style11"/>
        <w:rPr>
          <w:b/>
        </w:rPr>
      </w:pPr>
      <w:r>
        <w:rPr>
          <w:b/>
        </w:rPr>
      </w:r>
    </w:p>
    <w:p>
      <w:pPr>
        <w:pStyle w:val="Style11"/>
        <w:rPr/>
      </w:pPr>
      <w:r>
        <w:rPr>
          <w:b/>
        </w:rPr>
        <w:t>ERCOT</w:t>
      </w:r>
      <w:r>
        <w:rPr/>
        <w:t>, in addition to the activities already described in this Guide, will help market participants plan and manage their competitive market operations effectively by giving them timely information like forecasts of weather, load, losses, and ancillary services</w:t>
      </w:r>
      <w:r>
        <w:fldChar w:fldCharType="begin"/>
      </w:r>
      <w:r>
        <w:rPr/>
        <w:instrText xml:space="preserve"> XE "ancillary services" </w:instrText>
      </w:r>
      <w:r>
        <w:rPr/>
        <w:fldChar w:fldCharType="separate"/>
      </w:r>
      <w:r>
        <w:rPr/>
      </w:r>
      <w:r>
        <w:rPr/>
        <w:fldChar w:fldCharType="end"/>
      </w:r>
      <w:r>
        <w:rPr/>
        <w:t xml:space="preserve"> requirements.</w:t>
      </w:r>
    </w:p>
    <w:p>
      <w:pPr>
        <w:pStyle w:val="Style11"/>
        <w:rPr>
          <w:rFonts w:eastAsia="Book Antiqua"/>
        </w:rPr>
      </w:pPr>
      <w:r>
        <w:rPr>
          <w:rFonts w:eastAsia="Book Antiqua"/>
        </w:rPr>
        <w:t xml:space="preserve"> </w:t>
      </w:r>
    </w:p>
    <w:p>
      <w:pPr>
        <w:pStyle w:val="Style11"/>
        <w:rPr/>
      </w:pPr>
      <w:r>
        <w:rPr/>
        <w:t>For every Settlement Interval, which lasts 15 minutes, ERCOT will accept balanced schedules from QSEs</w:t>
      </w:r>
      <w:r>
        <w:fldChar w:fldCharType="begin"/>
      </w:r>
      <w:r>
        <w:rPr/>
        <w:instrText xml:space="preserve"> XE "QSEs" </w:instrText>
      </w:r>
      <w:r>
        <w:rPr/>
        <w:fldChar w:fldCharType="separate"/>
      </w:r>
      <w:r>
        <w:rPr/>
      </w:r>
      <w:r>
        <w:rPr/>
        <w:fldChar w:fldCharType="end"/>
      </w:r>
      <w:r>
        <w:rPr/>
        <w:t xml:space="preserve"> that identify the source and destination of contracted power flows, as well as their amount and timing. ERCOT will compare the sum of these schedules to its own load forecasts, to determine balancing energy and ancillary services</w:t>
      </w:r>
      <w:r>
        <w:fldChar w:fldCharType="begin"/>
      </w:r>
      <w:r>
        <w:rPr/>
        <w:instrText xml:space="preserve"> XE "ancillary services" </w:instrText>
      </w:r>
      <w:r>
        <w:rPr/>
        <w:fldChar w:fldCharType="separate"/>
      </w:r>
      <w:r>
        <w:rPr/>
      </w:r>
      <w:r>
        <w:rPr/>
        <w:fldChar w:fldCharType="end"/>
      </w:r>
      <w:r>
        <w:rPr/>
        <w:t xml:space="preserve"> requirements. </w:t>
      </w:r>
    </w:p>
    <w:p>
      <w:pPr>
        <w:pStyle w:val="Style11"/>
        <w:rPr/>
      </w:pPr>
      <w:r>
        <w:rPr/>
      </w:r>
    </w:p>
    <w:p>
      <w:pPr>
        <w:pStyle w:val="Style11"/>
        <w:rPr/>
      </w:pPr>
      <w:r>
        <w:rPr/>
        <w:t>ERCOT will work with QSEs</w:t>
      </w:r>
      <w:r>
        <w:fldChar w:fldCharType="begin"/>
      </w:r>
      <w:r>
        <w:rPr/>
        <w:instrText xml:space="preserve"> XE "QSEs" </w:instrText>
      </w:r>
      <w:r>
        <w:rPr/>
        <w:fldChar w:fldCharType="separate"/>
      </w:r>
      <w:r>
        <w:rPr/>
      </w:r>
      <w:r>
        <w:rPr/>
        <w:fldChar w:fldCharType="end"/>
      </w:r>
      <w:r>
        <w:rPr/>
        <w:t xml:space="preserve"> to procure ancillary services</w:t>
      </w:r>
      <w:r>
        <w:fldChar w:fldCharType="begin"/>
      </w:r>
      <w:r>
        <w:rPr/>
        <w:instrText xml:space="preserve"> XE "ancillary services" </w:instrText>
      </w:r>
      <w:r>
        <w:rPr/>
        <w:fldChar w:fldCharType="separate"/>
      </w:r>
      <w:r>
        <w:rPr/>
      </w:r>
      <w:r>
        <w:rPr/>
        <w:fldChar w:fldCharType="end"/>
      </w:r>
      <w:r>
        <w:rPr/>
        <w:t xml:space="preserve"> through a series of markets, which ERCOT will operate, and will deploy them as needed to ensure system reliability. If the submitted schedules ultimately result in congestion</w:t>
      </w:r>
      <w:r>
        <w:fldChar w:fldCharType="begin"/>
      </w:r>
      <w:r>
        <w:rPr/>
        <w:instrText xml:space="preserve"> XE "congestion" </w:instrText>
      </w:r>
      <w:r>
        <w:rPr/>
        <w:fldChar w:fldCharType="separate"/>
      </w:r>
      <w:r>
        <w:rPr/>
      </w:r>
      <w:r>
        <w:rPr/>
        <w:fldChar w:fldCharType="end"/>
      </w:r>
      <w:r>
        <w:rPr/>
        <w:t xml:space="preserve"> of the transmission system and ERCOT needs to redispatch system resources to resolve the congestion, market participants will pay for the redispatching or congestion costs.</w:t>
      </w:r>
      <w:r>
        <w:rPr>
          <w:rStyle w:val="FootnoteCharacters"/>
          <w:rStyle w:val="FootnoteReference"/>
        </w:rPr>
        <w:footnoteReference w:id="10"/>
      </w:r>
      <w:r>
        <w:rPr/>
        <w:t xml:space="preserve"> </w:t>
      </w:r>
    </w:p>
    <w:p>
      <w:pPr>
        <w:pStyle w:val="Style11"/>
        <w:rPr/>
      </w:pPr>
      <w:r>
        <w:rPr/>
      </w:r>
    </w:p>
    <w:p>
      <w:pPr>
        <w:pStyle w:val="Style11"/>
        <w:rPr/>
      </w:pPr>
      <w:r>
        <w:rPr/>
        <w:t>In order to settle with QSEs</w:t>
      </w:r>
      <w:r>
        <w:fldChar w:fldCharType="begin"/>
      </w:r>
      <w:r>
        <w:rPr/>
        <w:instrText xml:space="preserve"> XE "QSEs" </w:instrText>
      </w:r>
      <w:r>
        <w:rPr/>
        <w:fldChar w:fldCharType="separate"/>
      </w:r>
      <w:r>
        <w:rPr/>
      </w:r>
      <w:r>
        <w:rPr/>
        <w:fldChar w:fldCharType="end"/>
      </w:r>
      <w:r>
        <w:rPr/>
        <w:t xml:space="preserve"> </w:t>
      </w:r>
      <w:r>
        <w:fldChar w:fldCharType="begin"/>
      </w:r>
      <w:r>
        <w:rPr/>
        <w:instrText xml:space="preserve"> XE "ancillary services" </w:instrText>
      </w:r>
      <w:r>
        <w:rPr/>
        <w:fldChar w:fldCharType="separate"/>
      </w:r>
      <w:r>
        <w:rPr/>
      </w:r>
      <w:r>
        <w:rPr/>
        <w:fldChar w:fldCharType="end"/>
      </w:r>
      <w:r>
        <w:rPr/>
        <w:t xml:space="preserve">, ERCOT will aggregate load and resource data </w:t>
      </w:r>
      <w:r>
        <w:fldChar w:fldCharType="begin"/>
      </w:r>
      <w:r>
        <w:rPr/>
        <w:instrText xml:space="preserve"> XE "REP" </w:instrText>
      </w:r>
      <w:r>
        <w:rPr/>
        <w:fldChar w:fldCharType="separate"/>
      </w:r>
      <w:r>
        <w:rPr/>
      </w:r>
      <w:r>
        <w:rPr/>
        <w:fldChar w:fldCharType="end"/>
      </w:r>
      <w:r>
        <w:rPr/>
        <w:t xml:space="preserve">for every settlement interval. ERCOT will then calculate the load imbalance as the difference between scheduled and the aggregated load data, to issue the appropriate credits and/or debits to QSEs. The same comparison is made between aggregated energy supplied from the resources provided by the QSE and the scheduled energy to allocate the appropriate debits and/or credits due to the resource imbalance.  </w:t>
      </w:r>
    </w:p>
    <w:p>
      <w:pPr>
        <w:pStyle w:val="Style11"/>
        <w:rPr/>
      </w:pPr>
      <w:r>
        <w:rPr/>
      </w:r>
    </w:p>
    <w:p>
      <w:pPr>
        <w:pStyle w:val="Style11"/>
        <w:rPr/>
      </w:pPr>
      <w:r>
        <w:rPr/>
        <w:t>ERCOT will also work with TDSPs</w:t>
      </w:r>
      <w:r>
        <w:fldChar w:fldCharType="begin"/>
      </w:r>
      <w:r>
        <w:rPr/>
        <w:instrText xml:space="preserve"> XE "TDSPs" </w:instrText>
      </w:r>
      <w:r>
        <w:rPr/>
        <w:fldChar w:fldCharType="separate"/>
      </w:r>
      <w:r>
        <w:rPr/>
      </w:r>
      <w:r>
        <w:rPr/>
        <w:fldChar w:fldCharType="end"/>
      </w:r>
      <w:r>
        <w:rPr/>
        <w:t xml:space="preserve"> to manage the transmission system. TDSPs are also responsible for load and resource meters installation as well as submitting meter data for all loads and resource meters that are not directly polled by ERCOT.</w:t>
      </w:r>
    </w:p>
    <w:p>
      <w:pPr>
        <w:pStyle w:val="Style11"/>
        <w:rPr/>
      </w:pPr>
      <w:r>
        <w:rPr/>
      </w:r>
    </w:p>
    <w:p>
      <w:pPr>
        <w:pStyle w:val="Style11"/>
        <w:rPr/>
      </w:pPr>
      <w:r>
        <w:rPr/>
        <w:t xml:space="preserve">ERCOT will have a central premise registration system that will facilitate the customer switching process by transmitting </w:t>
      </w:r>
      <w:r>
        <w:fldChar w:fldCharType="begin"/>
      </w:r>
      <w:r>
        <w:rPr/>
        <w:instrText xml:space="preserve"> XE "REPs" </w:instrText>
      </w:r>
      <w:r>
        <w:rPr/>
        <w:fldChar w:fldCharType="separate"/>
      </w:r>
      <w:r>
        <w:rPr/>
      </w:r>
      <w:r>
        <w:rPr/>
        <w:fldChar w:fldCharType="end"/>
      </w:r>
      <w:r>
        <w:rPr/>
        <w:t>switch requests and meter consumption data between CRs and TDSPs and keeping track of the association between premises and load serving entities in the ERCOT centralized statewide registration system.</w:t>
      </w:r>
      <w:r>
        <w:rPr>
          <w:b/>
        </w:rPr>
        <w:t xml:space="preserve"> </w:t>
      </w:r>
    </w:p>
    <w:p>
      <w:pPr>
        <w:pStyle w:val="Style11"/>
        <w:rPr>
          <w:b/>
        </w:rPr>
      </w:pPr>
      <w:r>
        <w:rPr>
          <w:b/>
        </w:rPr>
      </w:r>
    </w:p>
    <w:p>
      <w:pPr>
        <w:pStyle w:val="Style11"/>
        <w:rPr>
          <w:b/>
        </w:rPr>
      </w:pPr>
      <w:r>
        <w:rPr>
          <w:b/>
        </w:rPr>
      </w:r>
    </w:p>
    <w:p>
      <w:pPr>
        <w:pStyle w:val="Normal"/>
        <w:rPr/>
      </w:pPr>
      <w:r>
        <w:rPr>
          <w:b/>
          <w:sz w:val="20"/>
        </w:rPr>
        <w:t>Resources</w:t>
      </w:r>
      <w:r>
        <w:fldChar w:fldCharType="begin"/>
      </w:r>
      <w:r>
        <w:rPr/>
        <w:instrText xml:space="preserve"> XE "PGCs" </w:instrText>
      </w:r>
      <w:r>
        <w:rPr/>
        <w:fldChar w:fldCharType="separate"/>
      </w:r>
      <w:r>
        <w:rPr/>
      </w:r>
      <w:r>
        <w:rPr/>
        <w:fldChar w:fldCharType="end"/>
      </w:r>
      <w:r>
        <w:rPr>
          <w:b/>
          <w:sz w:val="20"/>
        </w:rPr>
        <w:t xml:space="preserve"> </w:t>
      </w:r>
      <w:r>
        <w:rPr>
          <w:sz w:val="20"/>
        </w:rPr>
        <w:t>are the only entities that can own generation or loads that can act as resources. . They negotiate privately with other market participants to sell their energy, and communicate the resulting schedules to ERCOT through their QSEs</w:t>
      </w:r>
      <w:r>
        <w:fldChar w:fldCharType="begin"/>
      </w:r>
      <w:r>
        <w:rPr/>
        <w:instrText xml:space="preserve"> XE "QSEs" </w:instrText>
      </w:r>
      <w:r>
        <w:rPr/>
        <w:fldChar w:fldCharType="separate"/>
      </w:r>
      <w:r>
        <w:rPr/>
      </w:r>
      <w:r>
        <w:rPr/>
        <w:fldChar w:fldCharType="end"/>
      </w:r>
      <w:r>
        <w:rPr>
          <w:sz w:val="20"/>
        </w:rPr>
        <w:t>.</w:t>
      </w:r>
    </w:p>
    <w:p>
      <w:pPr>
        <w:pStyle w:val="Style11"/>
        <w:rPr>
          <w:rFonts w:eastAsia="Book Antiqua"/>
        </w:rPr>
      </w:pPr>
      <w:r>
        <w:rPr>
          <w:rFonts w:eastAsia="Book Antiqua"/>
        </w:rPr>
        <w:t xml:space="preserve"> </w:t>
      </w:r>
    </w:p>
    <w:p>
      <w:pPr>
        <w:pStyle w:val="Style11"/>
        <w:rPr/>
      </w:pPr>
      <w:r>
        <w:rPr/>
        <w:t>QSEs can also bid into the balancing energy market and other ancillary services</w:t>
      </w:r>
      <w:r>
        <w:fldChar w:fldCharType="begin"/>
      </w:r>
      <w:r>
        <w:rPr/>
        <w:instrText xml:space="preserve"> XE "ancillary services" </w:instrText>
      </w:r>
      <w:r>
        <w:rPr/>
        <w:fldChar w:fldCharType="separate"/>
      </w:r>
      <w:r>
        <w:rPr/>
      </w:r>
      <w:r>
        <w:rPr/>
        <w:fldChar w:fldCharType="end"/>
      </w:r>
      <w:r>
        <w:rPr/>
        <w:t xml:space="preserve"> markets from the Resources in their portfolio</w:t>
      </w:r>
      <w:r>
        <w:fldChar w:fldCharType="begin"/>
      </w:r>
      <w:r>
        <w:rPr/>
        <w:instrText xml:space="preserve"> XE "PGCs" </w:instrText>
      </w:r>
      <w:r>
        <w:rPr/>
        <w:fldChar w:fldCharType="separate"/>
      </w:r>
      <w:r>
        <w:rPr/>
      </w:r>
      <w:r>
        <w:rPr/>
        <w:fldChar w:fldCharType="end"/>
      </w:r>
      <w:r>
        <w:rPr/>
        <w:t xml:space="preserve">. ERCOT reimburses the QSE at the Market Clearing Price if ERCOT selects the bid. </w:t>
      </w:r>
    </w:p>
    <w:p>
      <w:pPr>
        <w:pStyle w:val="Style11"/>
        <w:rPr/>
      </w:pPr>
      <w:r>
        <w:rPr/>
      </w:r>
    </w:p>
    <w:p>
      <w:pPr>
        <w:pStyle w:val="Style11"/>
        <w:rPr/>
      </w:pPr>
      <w:r>
        <w:rPr/>
      </w:r>
    </w:p>
    <w:p>
      <w:pPr>
        <w:pStyle w:val="Style11"/>
        <w:rPr/>
      </w:pPr>
      <w:r>
        <w:drawing>
          <wp:anchor behindDoc="0" distT="0" distB="0" distL="114935" distR="114935" simplePos="0" locked="0" layoutInCell="0" allowOverlap="1" relativeHeight="167">
            <wp:simplePos x="0" y="0"/>
            <wp:positionH relativeFrom="column">
              <wp:posOffset>4097655</wp:posOffset>
            </wp:positionH>
            <wp:positionV relativeFrom="paragraph">
              <wp:posOffset>178435</wp:posOffset>
            </wp:positionV>
            <wp:extent cx="2400300" cy="2037715"/>
            <wp:effectExtent l="0" t="0" r="0" b="0"/>
            <wp:wrapTopAndBottom/>
            <wp:docPr id="1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5" descr="" title=""/>
                    <pic:cNvPicPr>
                      <a:picLocks noChangeAspect="1" noChangeArrowheads="1"/>
                    </pic:cNvPicPr>
                  </pic:nvPicPr>
                  <pic:blipFill>
                    <a:blip r:embed="rId14"/>
                    <a:srcRect l="-5" t="-6" r="-5" b="-6"/>
                    <a:stretch>
                      <a:fillRect/>
                    </a:stretch>
                  </pic:blipFill>
                  <pic:spPr bwMode="auto">
                    <a:xfrm>
                      <a:off x="0" y="0"/>
                      <a:ext cx="2400300" cy="2037715"/>
                    </a:xfrm>
                    <a:prstGeom prst="rect">
                      <a:avLst/>
                    </a:prstGeom>
                    <a:noFill/>
                  </pic:spPr>
                </pic:pic>
              </a:graphicData>
            </a:graphic>
          </wp:anchor>
        </w:drawing>
      </w:r>
      <w:r>
        <w:rPr>
          <w:b/>
        </w:rPr>
        <w:t xml:space="preserve">Load Serving Entities (LSEs) </w:t>
      </w:r>
      <w:r>
        <w:rPr>
          <w:bCs/>
        </w:rPr>
        <w:t>represent either Competitive Retailers (CRs</w:t>
      </w:r>
      <w:r>
        <w:fldChar w:fldCharType="begin"/>
      </w:r>
      <w:r>
        <w:rPr/>
        <w:instrText xml:space="preserve"> XE "REPs" </w:instrText>
      </w:r>
      <w:r>
        <w:rPr/>
        <w:fldChar w:fldCharType="separate"/>
      </w:r>
      <w:r>
        <w:rPr/>
      </w:r>
      <w:r>
        <w:rPr/>
        <w:fldChar w:fldCharType="end"/>
      </w:r>
      <w:r>
        <w:rPr>
          <w:bCs/>
        </w:rPr>
        <w:t>)</w:t>
      </w:r>
      <w:r>
        <w:rPr/>
        <w:t xml:space="preserve"> which will be the only organizations authorized to sell electricity directly to retail customers who have customer choice or Non Opt-in entities which will be represented by wholesale load points. CRs may be Retail Electric Providers (REPs) or Opt-in Municipally Owned Utilities or Cooperatives. LSEs will forecast their customer load and negotiate privately with other market participants, like resources</w:t>
      </w:r>
      <w:r>
        <w:fldChar w:fldCharType="begin"/>
      </w:r>
      <w:r>
        <w:rPr/>
        <w:instrText xml:space="preserve"> XE "PGCs" </w:instrText>
      </w:r>
      <w:r>
        <w:rPr/>
        <w:fldChar w:fldCharType="separate"/>
      </w:r>
      <w:r>
        <w:rPr/>
      </w:r>
      <w:r>
        <w:rPr/>
        <w:fldChar w:fldCharType="end"/>
      </w:r>
      <w:r>
        <w:rPr/>
        <w:t xml:space="preserve"> or power marketers, to buy energy. LSEs will communicate the resulting schedules to ERCOT through a QSE.</w:t>
      </w:r>
    </w:p>
    <w:p>
      <w:pPr>
        <w:pStyle w:val="Style11"/>
        <w:rPr/>
      </w:pPr>
      <w:r>
        <w:rPr/>
      </w:r>
    </w:p>
    <w:p>
      <w:pPr>
        <w:pStyle w:val="Normal"/>
        <w:rPr/>
      </w:pPr>
      <w:r>
        <w:rPr>
          <w:sz w:val="20"/>
        </w:rPr>
        <w:t>CRs</w:t>
      </w:r>
      <w:r>
        <w:fldChar w:fldCharType="begin"/>
      </w:r>
      <w:r>
        <w:rPr/>
        <w:instrText xml:space="preserve"> XE "REPs" </w:instrText>
      </w:r>
      <w:r>
        <w:rPr/>
        <w:fldChar w:fldCharType="separate"/>
      </w:r>
      <w:r>
        <w:rPr/>
      </w:r>
      <w:r>
        <w:rPr/>
        <w:fldChar w:fldCharType="end"/>
      </w:r>
      <w:r>
        <w:rPr>
          <w:sz w:val="20"/>
        </w:rPr>
        <w:t xml:space="preserve"> will interact directly with ERCOT when they need to submit switching requests, where customers choose a new CR</w:t>
      </w:r>
      <w:r>
        <w:fldChar w:fldCharType="begin"/>
      </w:r>
      <w:r>
        <w:rPr/>
        <w:instrText xml:space="preserve"> XE "REP" </w:instrText>
      </w:r>
      <w:r>
        <w:rPr/>
        <w:fldChar w:fldCharType="separate"/>
      </w:r>
      <w:r>
        <w:rPr/>
      </w:r>
      <w:r>
        <w:rPr/>
        <w:fldChar w:fldCharType="end"/>
      </w:r>
      <w:r>
        <w:rPr>
          <w:sz w:val="20"/>
        </w:rPr>
        <w:t>. ERCOT will process the switching requests by working with TDSPs</w:t>
      </w:r>
      <w:r>
        <w:fldChar w:fldCharType="begin"/>
      </w:r>
      <w:r>
        <w:rPr/>
        <w:instrText xml:space="preserve"> XE "TDSPs" </w:instrText>
      </w:r>
      <w:r>
        <w:rPr/>
        <w:fldChar w:fldCharType="separate"/>
      </w:r>
      <w:r>
        <w:rPr/>
      </w:r>
      <w:r>
        <w:rPr/>
        <w:fldChar w:fldCharType="end"/>
      </w:r>
      <w:r>
        <w:rPr>
          <w:sz w:val="20"/>
        </w:rPr>
        <w:t xml:space="preserve"> to obtain the initial and final meter reads, confirming switches with customers, and confirming the switch with the relevant CRs once the switch is approved. ERCOT also sends switch confirmation notices to consumers to help control “slamming” or unauthorized switching. </w:t>
      </w:r>
    </w:p>
    <w:p>
      <w:pPr>
        <w:pStyle w:val="Normal"/>
        <w:rPr>
          <w:sz w:val="20"/>
        </w:rPr>
      </w:pPr>
      <w:r>
        <w:rPr>
          <w:sz w:val="20"/>
        </w:rPr>
      </w:r>
    </w:p>
    <w:p>
      <w:pPr>
        <w:pStyle w:val="Style11"/>
        <w:rPr>
          <w:sz w:val="20"/>
        </w:rPr>
      </w:pPr>
      <w:r>
        <w:rPr>
          <w:sz w:val="20"/>
        </w:rPr>
      </w:r>
    </w:p>
    <w:p>
      <w:pPr>
        <w:pStyle w:val="Style11"/>
        <w:rPr/>
      </w:pPr>
      <w:r>
        <w:rPr>
          <w:b/>
        </w:rPr>
        <w:t>Transmission and/or Distribution Service Providers (TDSPs</w:t>
      </w:r>
      <w:r>
        <w:fldChar w:fldCharType="begin"/>
      </w:r>
      <w:r>
        <w:rPr/>
        <w:instrText xml:space="preserve"> XE "TDSP" </w:instrText>
      </w:r>
      <w:r>
        <w:rPr/>
        <w:fldChar w:fldCharType="separate"/>
      </w:r>
      <w:r>
        <w:rPr/>
      </w:r>
      <w:r>
        <w:rPr/>
        <w:fldChar w:fldCharType="end"/>
      </w:r>
      <w:r>
        <w:rPr>
          <w:b/>
        </w:rPr>
        <w:t>)</w:t>
      </w:r>
      <w:r>
        <w:rPr/>
        <w:t xml:space="preserve"> will provide the electricity transportation infrastructure, and will work with ERCOT to jointly manage the transmission system. Until 2004, TDSPs</w:t>
      </w:r>
      <w:r>
        <w:fldChar w:fldCharType="begin"/>
      </w:r>
      <w:r>
        <w:rPr/>
        <w:instrText xml:space="preserve"> XE "TDSPs" </w:instrText>
      </w:r>
      <w:r>
        <w:rPr/>
        <w:fldChar w:fldCharType="separate"/>
      </w:r>
      <w:r>
        <w:rPr/>
      </w:r>
      <w:r>
        <w:rPr/>
        <w:fldChar w:fldCharType="end"/>
      </w:r>
      <w:r>
        <w:rPr/>
        <w:t xml:space="preserve"> are also charged with meter management and meter reading activities until those services are opened to competition. </w:t>
      </w:r>
    </w:p>
    <w:p>
      <w:pPr>
        <w:pStyle w:val="Style11"/>
        <w:rPr/>
      </w:pPr>
      <w:r>
        <w:rPr/>
      </w:r>
    </w:p>
    <w:p>
      <w:pPr>
        <w:pStyle w:val="Style11"/>
        <w:rPr/>
      </w:pPr>
      <w:r>
        <w:rPr/>
        <w:t>ERCOT will need TDSPs</w:t>
      </w:r>
      <w:r>
        <w:fldChar w:fldCharType="begin"/>
      </w:r>
      <w:r>
        <w:rPr/>
        <w:instrText xml:space="preserve"> XE "TDSPs" </w:instrText>
      </w:r>
      <w:r>
        <w:rPr/>
        <w:fldChar w:fldCharType="separate"/>
      </w:r>
      <w:r>
        <w:rPr/>
      </w:r>
      <w:r>
        <w:rPr/>
        <w:fldChar w:fldCharType="end"/>
      </w:r>
      <w:r>
        <w:rPr/>
        <w:t xml:space="preserve"> to provide meter reading and consumption information, in order to correctly settle the balancing energy and ancillary service markets. For example, consumption information for each LSE</w:t>
      </w:r>
      <w:r>
        <w:fldChar w:fldCharType="begin"/>
      </w:r>
      <w:r>
        <w:rPr/>
        <w:instrText xml:space="preserve"> XE "REP" </w:instrText>
      </w:r>
      <w:r>
        <w:rPr/>
        <w:fldChar w:fldCharType="separate"/>
      </w:r>
      <w:r>
        <w:rPr/>
      </w:r>
      <w:r>
        <w:rPr/>
        <w:fldChar w:fldCharType="end"/>
      </w:r>
      <w:r>
        <w:rPr/>
        <w:t xml:space="preserve"> will be needed to determine whether the actual load matches the schedules submitted by a QSE, on behalf of its LSE. If it did not match, the difference will be settled with QSEs</w:t>
      </w:r>
      <w:r>
        <w:fldChar w:fldCharType="begin"/>
      </w:r>
      <w:r>
        <w:rPr/>
        <w:instrText xml:space="preserve"> XE "QSEs" </w:instrText>
      </w:r>
      <w:r>
        <w:rPr/>
        <w:fldChar w:fldCharType="separate"/>
      </w:r>
      <w:r>
        <w:rPr/>
      </w:r>
      <w:r>
        <w:rPr/>
        <w:fldChar w:fldCharType="end"/>
      </w:r>
      <w:r>
        <w:rPr/>
        <w:t xml:space="preserve"> at the balancing energy Market Clearing Price.</w:t>
      </w:r>
    </w:p>
    <w:p>
      <w:pPr>
        <w:pStyle w:val="Style11"/>
        <w:rPr/>
      </w:pPr>
      <w:r>
        <w:rPr/>
      </w:r>
    </w:p>
    <w:p>
      <w:pPr>
        <w:pStyle w:val="Style11"/>
        <w:rPr/>
      </w:pPr>
      <w:r>
        <w:rPr/>
        <w:t>At the present time the majority of customer meters measure accumulated consumption between meter read dates and are typically read once per month. An estimate of the energy consumption for each 15-minute period is needed to properly perform 15-minute settlement. To manage this issue, ERCOT utilizes standard load profiles (or shapes) to estimate how monthly consumption breaks down into 15-minute intervals for the different customer segments in the region. Over time it is anticipated that additional meters, which measure usage in 15-minute intervals will be deployed to more customers, reducing the need for this estimation process using load profiles.</w:t>
      </w:r>
    </w:p>
    <w:p>
      <w:pPr>
        <w:pStyle w:val="Style11"/>
        <w:rPr/>
      </w:pPr>
      <w:r>
        <w:rPr/>
      </w:r>
    </w:p>
    <w:p>
      <w:pPr>
        <w:pStyle w:val="Style11"/>
        <w:rPr/>
      </w:pPr>
      <w:r>
        <w:rPr/>
      </w:r>
    </w:p>
    <w:p>
      <w:pPr>
        <w:pStyle w:val="Style11"/>
        <w:rPr/>
      </w:pPr>
      <w:r>
        <w:rPr>
          <w:b/>
        </w:rPr>
        <w:t>Non Opt-In</w:t>
      </w:r>
      <w:r>
        <w:fldChar w:fldCharType="begin"/>
      </w:r>
      <w:r>
        <w:rPr/>
        <w:instrText xml:space="preserve"> XE "Opt-Out" </w:instrText>
      </w:r>
      <w:r>
        <w:rPr/>
        <w:fldChar w:fldCharType="separate"/>
      </w:r>
      <w:r>
        <w:rPr/>
      </w:r>
      <w:r>
        <w:rPr/>
        <w:fldChar w:fldCharType="end"/>
      </w:r>
      <w:r>
        <w:rPr>
          <w:b/>
        </w:rPr>
        <w:t xml:space="preserve"> Entities (NOIEs) </w:t>
      </w:r>
      <w:r>
        <w:rPr/>
        <w:t xml:space="preserve">Municipalities and Cooperatives may remain functionally bundled organizations, and will not need to submit switching requests to ERCOT because their customers will not have a choice of electric retailer. </w:t>
      </w:r>
    </w:p>
    <w:p>
      <w:pPr>
        <w:pStyle w:val="Style11"/>
        <w:rPr/>
      </w:pPr>
      <w:r>
        <w:rPr/>
      </w:r>
    </w:p>
    <w:p>
      <w:pPr>
        <w:pStyle w:val="Style11"/>
        <w:rPr/>
      </w:pPr>
      <w:r>
        <w:rPr/>
        <w:t>However, these utilities will still continue participating in all the wholesale competitive market transactions, including acquiring energy through private bilateral</w:t>
      </w:r>
      <w:r>
        <w:fldChar w:fldCharType="begin"/>
      </w:r>
      <w:r>
        <w:rPr/>
        <w:instrText xml:space="preserve"> XE "bilateral" </w:instrText>
      </w:r>
      <w:r>
        <w:rPr/>
        <w:fldChar w:fldCharType="separate"/>
      </w:r>
      <w:r>
        <w:rPr/>
      </w:r>
      <w:r>
        <w:rPr/>
        <w:fldChar w:fldCharType="end"/>
      </w:r>
      <w:r>
        <w:rPr/>
        <w:t xml:space="preserve"> transactions, and submitting balanced schedules for energy to ERCOT. </w:t>
      </w:r>
    </w:p>
    <w:p>
      <w:pPr>
        <w:pStyle w:val="Style11"/>
        <w:rPr/>
      </w:pPr>
      <w:r>
        <w:rPr/>
      </w:r>
    </w:p>
    <w:p>
      <w:pPr>
        <w:pStyle w:val="Style11"/>
        <w:rPr/>
      </w:pPr>
      <w:r>
        <w:rPr/>
      </w:r>
    </w:p>
    <w:p>
      <w:pPr>
        <w:pStyle w:val="Style11"/>
        <w:rPr/>
      </w:pPr>
      <w:r>
        <w:rPr>
          <w:b/>
        </w:rPr>
        <w:t>Other Participants</w:t>
      </w:r>
      <w:r>
        <w:rPr/>
        <w:t xml:space="preserve"> may also operate in the ERCOT market. Power Marketers</w:t>
      </w:r>
      <w:r>
        <w:fldChar w:fldCharType="begin"/>
      </w:r>
      <w:r>
        <w:rPr/>
        <w:instrText xml:space="preserve"> XE "Power Marketers" </w:instrText>
      </w:r>
      <w:r>
        <w:rPr/>
        <w:fldChar w:fldCharType="separate"/>
      </w:r>
      <w:r>
        <w:rPr/>
      </w:r>
      <w:r>
        <w:rPr/>
        <w:fldChar w:fldCharType="end"/>
      </w:r>
      <w:r>
        <w:rPr/>
        <w:t xml:space="preserve"> who buy and sell blocks of energy will need to schedule that power with ERCOT through a QSE. Aggregators that acquire groups of retail customers may also operate in this market. The PUCT will oversee the entire market, including customer participation matters, and monitor market activity to deal with market abuses and gaming.</w:t>
      </w:r>
    </w:p>
    <w:p>
      <w:pPr>
        <w:pStyle w:val="Normal"/>
        <w:rPr>
          <w:sz w:val="20"/>
        </w:rPr>
      </w:pPr>
      <w:r>
        <w:rPr>
          <w:sz w:val="20"/>
        </w:rPr>
      </w:r>
    </w:p>
    <w:p>
      <w:pPr>
        <w:pStyle w:val="Normal"/>
        <w:rPr>
          <w:sz w:val="20"/>
        </w:rPr>
      </w:pPr>
      <w:r>
        <w:rPr>
          <w:sz w:val="20"/>
        </w:rPr>
      </w:r>
    </w:p>
    <w:p>
      <w:pPr>
        <w:pStyle w:val="Normal"/>
        <w:rPr>
          <w:sz w:val="20"/>
        </w:rPr>
      </w:pPr>
      <w:r>
        <w:rPr>
          <w:sz w:val="20"/>
        </w:rPr>
        <w:t xml:space="preserve">It is important to recognize that not all processes needed to operate the competitive market will be facilitated by ERCOT. For example, ERCOT will not provide a facility to bring buyers and sellers of energy together. If there is sufficient demand for this service, the market will present opportunities for other organizations to provide it, or buyers and sellers will develop it for themselves. </w:t>
      </w:r>
    </w:p>
    <w:p>
      <w:pPr>
        <w:pStyle w:val="Normal"/>
        <w:rPr>
          <w:sz w:val="20"/>
        </w:rPr>
      </w:pPr>
      <w:r>
        <w:rPr>
          <w:sz w:val="20"/>
        </w:rPr>
      </w:r>
    </w:p>
    <w:p>
      <w:pPr>
        <w:pStyle w:val="Normal"/>
        <w:rPr/>
      </w:pPr>
      <w:r>
        <w:rPr>
          <w:sz w:val="20"/>
        </w:rPr>
        <w:t>ERCOT will also not facilitate interactions between TDSPs</w:t>
      </w:r>
      <w:r>
        <w:fldChar w:fldCharType="begin"/>
      </w:r>
      <w:r>
        <w:rPr/>
        <w:instrText xml:space="preserve"> XE "TDSPs" </w:instrText>
      </w:r>
      <w:r>
        <w:rPr/>
        <w:fldChar w:fldCharType="separate"/>
      </w:r>
      <w:r>
        <w:rPr/>
      </w:r>
      <w:r>
        <w:rPr/>
        <w:fldChar w:fldCharType="end"/>
      </w:r>
      <w:r>
        <w:rPr>
          <w:sz w:val="20"/>
        </w:rPr>
        <w:t xml:space="preserve"> and other market participants to support processes such as Outage Management or Meter Service Order Management. It is up to market participants to define how these activities will occur, and manage their implementation.</w:t>
      </w:r>
    </w:p>
    <w:p>
      <w:pPr>
        <w:pStyle w:val="Normal"/>
        <w:rPr>
          <w:sz w:val="20"/>
        </w:rPr>
      </w:pPr>
      <w:r>
        <w:rPr>
          <w:sz w:val="20"/>
        </w:rPr>
      </w:r>
    </w:p>
    <w:p>
      <w:pPr>
        <w:pStyle w:val="Normal"/>
        <w:rPr>
          <w:sz w:val="20"/>
        </w:rPr>
      </w:pPr>
      <w:r>
        <w:rPr>
          <w:sz w:val="20"/>
        </w:rPr>
      </w:r>
    </w:p>
    <w:p>
      <w:pPr>
        <w:pStyle w:val="Normal"/>
        <w:rPr>
          <w:sz w:val="20"/>
        </w:rPr>
      </w:pPr>
      <w:r>
        <w:rPr>
          <w:sz w:val="20"/>
        </w:rPr>
        <w:t xml:space="preserve">ERCOT will undergo significant changes as it shifts to a more active role in the operation of the competitive retail market. The rest of the Market Guide is focused on how the ERCOT competitive retail market processes will work, as well as the requirements for organizations wishing to participate through one or more of the roles described above. </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DFDFDF" w:val="clear"/>
        <w:rPr>
          <w:i/>
          <w:i/>
          <w:sz w:val="20"/>
        </w:rPr>
      </w:pPr>
      <w:r>
        <w:rPr>
          <w:i/>
          <w:sz w:val="20"/>
        </w:rPr>
        <w:t>Sections 4 and 5 are written in the present tense in order to make them easier to read, even though they represent what will happen in the future when the competitive retail market starts.</w:t>
      </w:r>
      <w:r>
        <w:br w:type="page"/>
      </w:r>
    </w:p>
    <w:p>
      <w:pPr>
        <w:pStyle w:val="Normal"/>
        <w:rPr>
          <w:i/>
          <w:i/>
          <w:sz w:val="20"/>
        </w:rPr>
      </w:pPr>
      <w:r>
        <w:rPr>
          <w:i/>
          <w:sz w:val="20"/>
        </w:rPr>
      </w:r>
    </w:p>
    <w:p>
      <w:pPr>
        <w:pStyle w:val="Heading1"/>
        <w:rPr/>
      </w:pPr>
      <w:bookmarkStart w:id="7" w:name="__RefHeading___Toc505989397"/>
      <w:bookmarkEnd w:id="7"/>
      <w:r>
        <w:rPr/>
        <w:t>4. ERCOT Core Processes</w:t>
      </w:r>
    </w:p>
    <w:p>
      <w:pPr>
        <w:pStyle w:val="Style11"/>
        <w:rPr/>
      </w:pPr>
      <w:r>
        <w:rPr/>
        <w:t>ERCOT is continuously performing five major processes to support the competitive retail market:</w:t>
      </w:r>
    </w:p>
    <w:p>
      <w:pPr>
        <w:pStyle w:val="Style11"/>
        <w:rPr/>
      </w:pPr>
      <w:r>
        <w:rPr/>
      </w:r>
    </w:p>
    <w:p>
      <w:pPr>
        <w:pStyle w:val="Style11"/>
        <w:numPr>
          <w:ilvl w:val="0"/>
          <w:numId w:val="33"/>
        </w:numPr>
        <w:rPr/>
      </w:pPr>
      <w:r>
        <w:rPr/>
        <w:t>Registration</w:t>
      </w:r>
      <w:r>
        <w:fldChar w:fldCharType="begin"/>
      </w:r>
      <w:r>
        <w:rPr/>
        <w:instrText xml:space="preserve"> XE "Registration" </w:instrText>
      </w:r>
      <w:r>
        <w:rPr/>
        <w:fldChar w:fldCharType="separate"/>
      </w:r>
      <w:r>
        <w:rPr/>
      </w:r>
      <w:r>
        <w:rPr/>
        <w:fldChar w:fldCharType="end"/>
      </w:r>
    </w:p>
    <w:p>
      <w:pPr>
        <w:pStyle w:val="Style11"/>
        <w:numPr>
          <w:ilvl w:val="0"/>
          <w:numId w:val="33"/>
        </w:numPr>
        <w:rPr/>
      </w:pPr>
      <w:r>
        <w:rPr/>
        <w:t>Market Operations</w:t>
      </w:r>
    </w:p>
    <w:p>
      <w:pPr>
        <w:pStyle w:val="Style11"/>
        <w:numPr>
          <w:ilvl w:val="0"/>
          <w:numId w:val="33"/>
        </w:numPr>
        <w:rPr/>
      </w:pPr>
      <w:r>
        <w:rPr/>
        <w:t>Power Operations</w:t>
      </w:r>
    </w:p>
    <w:p>
      <w:pPr>
        <w:pStyle w:val="Style11"/>
        <w:numPr>
          <w:ilvl w:val="0"/>
          <w:numId w:val="33"/>
        </w:numPr>
        <w:rPr/>
      </w:pPr>
      <w:r>
        <w:rPr/>
        <w:t>Load Profiling</w:t>
      </w:r>
      <w:r>
        <w:fldChar w:fldCharType="begin"/>
      </w:r>
      <w:r>
        <w:rPr/>
        <w:instrText xml:space="preserve"> XE "Profiling" </w:instrText>
      </w:r>
      <w:r>
        <w:rPr/>
        <w:fldChar w:fldCharType="separate"/>
      </w:r>
      <w:r>
        <w:rPr/>
      </w:r>
      <w:r>
        <w:rPr/>
        <w:fldChar w:fldCharType="end"/>
      </w:r>
      <w:r>
        <w:rPr/>
        <w:t>, Data Acquisition</w:t>
      </w:r>
      <w:r>
        <w:fldChar w:fldCharType="begin"/>
      </w:r>
      <w:r>
        <w:rPr/>
        <w:instrText xml:space="preserve"> XE "Data Acquisition" </w:instrText>
      </w:r>
      <w:r>
        <w:rPr/>
        <w:fldChar w:fldCharType="separate"/>
      </w:r>
      <w:r>
        <w:rPr/>
      </w:r>
      <w:r>
        <w:rPr/>
        <w:fldChar w:fldCharType="end"/>
      </w:r>
      <w:r>
        <w:rPr/>
        <w:t xml:space="preserve"> &amp; Aggregation</w:t>
      </w:r>
      <w:r>
        <w:fldChar w:fldCharType="begin"/>
      </w:r>
      <w:r>
        <w:rPr/>
        <w:instrText xml:space="preserve"> XE "Aggregation" </w:instrText>
      </w:r>
      <w:r>
        <w:rPr/>
        <w:fldChar w:fldCharType="separate"/>
      </w:r>
      <w:r>
        <w:rPr/>
      </w:r>
      <w:r>
        <w:rPr/>
        <w:fldChar w:fldCharType="end"/>
      </w:r>
    </w:p>
    <w:p>
      <w:pPr>
        <w:pStyle w:val="Style11"/>
        <w:numPr>
          <w:ilvl w:val="0"/>
          <w:numId w:val="33"/>
        </w:numPr>
        <w:rPr/>
      </w:pPr>
      <w:r>
        <w:rPr/>
        <w:t>Settlements</w:t>
      </w:r>
      <w:r>
        <w:fldChar w:fldCharType="begin"/>
      </w:r>
      <w:r>
        <w:rPr/>
        <w:instrText xml:space="preserve"> XE "Settlements" </w:instrText>
      </w:r>
      <w:r>
        <w:rPr/>
        <w:fldChar w:fldCharType="separate"/>
      </w:r>
      <w:r>
        <w:rPr/>
      </w:r>
      <w:r>
        <w:rPr/>
        <w:fldChar w:fldCharType="end"/>
      </w:r>
      <w:r>
        <w:rPr/>
        <w:t>, Billing &amp; Financial Transfer</w:t>
      </w:r>
    </w:p>
    <w:p>
      <w:pPr>
        <w:pStyle w:val="Style11"/>
        <w:rPr/>
      </w:pPr>
      <w:r>
        <w:rPr/>
        <w:drawing>
          <wp:anchor behindDoc="0" distT="0" distB="0" distL="114935" distR="114935" simplePos="0" locked="0" layoutInCell="0" allowOverlap="1" relativeHeight="154">
            <wp:simplePos x="0" y="0"/>
            <wp:positionH relativeFrom="column">
              <wp:posOffset>0</wp:posOffset>
            </wp:positionH>
            <wp:positionV relativeFrom="paragraph">
              <wp:posOffset>158115</wp:posOffset>
            </wp:positionV>
            <wp:extent cx="5760720" cy="1404620"/>
            <wp:effectExtent l="0" t="0" r="0" b="0"/>
            <wp:wrapTopAndBottom/>
            <wp:docPr id="1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 descr="" title=""/>
                    <pic:cNvPicPr>
                      <a:picLocks noChangeAspect="1" noChangeArrowheads="1"/>
                    </pic:cNvPicPr>
                  </pic:nvPicPr>
                  <pic:blipFill>
                    <a:blip r:embed="rId15"/>
                    <a:srcRect l="-7" t="-29" r="-7" b="-29"/>
                    <a:stretch>
                      <a:fillRect/>
                    </a:stretch>
                  </pic:blipFill>
                  <pic:spPr bwMode="auto">
                    <a:xfrm>
                      <a:off x="0" y="0"/>
                      <a:ext cx="5760720" cy="1404620"/>
                    </a:xfrm>
                    <a:prstGeom prst="rect">
                      <a:avLst/>
                    </a:prstGeom>
                    <a:noFill/>
                  </pic:spPr>
                </pic:pic>
              </a:graphicData>
            </a:graphic>
          </wp:anchor>
        </w:drawing>
      </w:r>
    </w:p>
    <w:p>
      <w:pPr>
        <w:pStyle w:val="Style11"/>
        <w:rPr>
          <w:b/>
        </w:rPr>
      </w:pPr>
      <w:r>
        <w:rPr>
          <w:b/>
        </w:rPr>
      </w:r>
    </w:p>
    <w:p>
      <w:pPr>
        <w:pStyle w:val="Style11"/>
        <w:rPr>
          <w:b/>
        </w:rPr>
      </w:pPr>
      <w:r>
        <w:rPr>
          <w:b/>
        </w:rPr>
      </w:r>
    </w:p>
    <w:p>
      <w:pPr>
        <w:pStyle w:val="Style11"/>
        <w:rPr/>
      </w:pPr>
      <w:r>
        <w:rPr/>
        <w:t>Each process is described next. In section 4B a market timeline is used to introduce the closely related operations and settlements processes.</w:t>
      </w:r>
    </w:p>
    <w:p>
      <w:pPr>
        <w:pStyle w:val="Heading2"/>
        <w:rPr/>
      </w:pPr>
      <w:bookmarkStart w:id="8" w:name="__RefHeading___Toc505989398"/>
      <w:bookmarkEnd w:id="8"/>
      <w:r>
        <w:rPr/>
        <w:t>4A.  Registration</w:t>
      </w:r>
      <w:r>
        <w:fldChar w:fldCharType="begin"/>
      </w:r>
      <w:r>
        <w:rPr/>
        <w:instrText xml:space="preserve"> XE "Registration" </w:instrText>
      </w:r>
      <w:r>
        <w:rPr/>
        <w:fldChar w:fldCharType="separate"/>
      </w:r>
      <w:r>
        <w:rPr/>
      </w:r>
      <w:r>
        <w:rPr/>
        <w:fldChar w:fldCharType="end"/>
      </w:r>
      <w:r>
        <w:rPr/>
        <w:t xml:space="preserve"> Process</w:t>
      </w:r>
    </w:p>
    <w:p>
      <w:pPr>
        <w:pStyle w:val="Normal"/>
        <w:rPr>
          <w:sz w:val="20"/>
        </w:rPr>
      </w:pPr>
      <w:r>
        <mc:AlternateContent>
          <mc:Choice Requires="wpg">
            <w:drawing>
              <wp:anchor behindDoc="0" distT="0" distB="0" distL="114935" distR="114935" simplePos="0" locked="0" layoutInCell="1" allowOverlap="1" relativeHeight="157">
                <wp:simplePos x="0" y="0"/>
                <wp:positionH relativeFrom="column">
                  <wp:posOffset>3931920</wp:posOffset>
                </wp:positionH>
                <wp:positionV relativeFrom="paragraph">
                  <wp:posOffset>391160</wp:posOffset>
                </wp:positionV>
                <wp:extent cx="2484120" cy="815340"/>
                <wp:effectExtent l="24130" t="0" r="0" b="5715"/>
                <wp:wrapNone/>
                <wp:docPr id="17" name=""/>
                <a:graphic xmlns:a="http://schemas.openxmlformats.org/drawingml/2006/main">
                  <a:graphicData uri="http://schemas.microsoft.com/office/word/2010/wordprocessingGroup">
                    <wpg:wgp>
                      <wpg:cNvGrpSpPr/>
                      <wpg:grpSpPr>
                        <a:xfrm>
                          <a:off x="0" y="0"/>
                          <a:ext cx="2484000" cy="815400"/>
                          <a:chOff x="0" y="0"/>
                          <a:chExt cx="2484000" cy="815400"/>
                        </a:xfrm>
                      </wpg:grpSpPr>
                      <pic:pic xmlns:pic="http://schemas.openxmlformats.org/drawingml/2006/picture">
                        <pic:nvPicPr>
                          <pic:cNvPr id="18" name="" descr=""/>
                          <pic:cNvPicPr/>
                        </pic:nvPicPr>
                        <pic:blipFill>
                          <a:blip r:embed="rId16"/>
                          <a:stretch/>
                        </pic:blipFill>
                        <pic:spPr>
                          <a:xfrm>
                            <a:off x="12240" y="0"/>
                            <a:ext cx="2472120" cy="601920"/>
                          </a:xfrm>
                          <a:prstGeom prst="rect">
                            <a:avLst/>
                          </a:prstGeom>
                          <a:noFill/>
                          <a:ln w="0">
                            <a:noFill/>
                          </a:ln>
                        </pic:spPr>
                      </pic:pic>
                      <wps:wsp>
                        <wps:cNvPr id="19" name=""/>
                        <wps:cNvSpPr/>
                        <wps:spPr>
                          <a:xfrm>
                            <a:off x="0" y="358200"/>
                            <a:ext cx="548640" cy="457200"/>
                          </a:xfrm>
                          <a:prstGeom prst="upArrow">
                            <a:avLst>
                              <a:gd name="adj1" fmla="val 50000"/>
                              <a:gd name="adj2" fmla="val 25000"/>
                            </a:avLst>
                          </a:prstGeom>
                          <a:solidFill>
                            <a:srgbClr val="ff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9.6pt;margin-top:30.8pt;width:195.6pt;height:64.25pt" coordorigin="6192,616" coordsize="3912,1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6211;top:616;width:3892;height:947;mso-wrap-style:none;v-text-anchor:middle" type="_x0000_t75">
                  <v:imagedata r:id="rId17" o:detectmouseclick="t"/>
                  <v:stroke color="#3465a4" joinstyle="round" endcap="flat"/>
                  <w10:wrap type="none"/>
                </v:shape>
                <v:shapetype id="_x0000_t68" coordsize="21600,21600" o:spt="68" adj="10800,10800" path="m0@3l10800,l21600@3l@6@3l@6,21600l@5,21600l@5@3xe">
                  <v:stroke joinstyle="miter"/>
                  <v:formulas>
                    <v:f eqn="val 21600"/>
                    <v:f eqn="val #1"/>
                    <v:f eqn="val #0"/>
                    <v:f eqn="sum 0 @2 0"/>
                    <v:f eqn="prod 1 @1 2"/>
                    <v:f eqn="sum 10800 0 @4"/>
                    <v:f eqn="sum 10800 @4 0"/>
                    <v:f eqn="prod @5 @2 10800"/>
                    <v:f eqn="sum @3 0 @7"/>
                  </v:formulas>
                  <v:path gradientshapeok="t" o:connecttype="rect" textboxrect="@5,@8,@6,21600"/>
                  <v:handles>
                    <v:h position="@5,21600"/>
                    <v:h position="0,@3"/>
                  </v:handles>
                </v:shapetype>
                <v:shape id="shape_0" fillcolor="red" stroked="t" o:allowincell="f" style="position:absolute;left:6192;top:1180;width:863;height:719;mso-wrap-style:none;v-text-anchor:middle" type="_x0000_t68">
                  <v:fill o:detectmouseclick="t" type="solid" color2="aqua"/>
                  <v:stroke color="black" weight="9360" joinstyle="miter" endcap="flat"/>
                  <w10:wrap type="none"/>
                </v:shape>
              </v:group>
            </w:pict>
          </mc:Fallback>
        </mc:AlternateContent>
      </w:r>
      <w:r>
        <w:rPr>
          <w:sz w:val="20"/>
        </w:rPr>
        <w:t>ERCOT is the registration agent for the entire state of Texas. It uses a centralized registration system to register retail premises and market participants alike.</w:t>
      </w:r>
    </w:p>
    <w:p>
      <w:pPr>
        <w:pStyle w:val="Normal"/>
        <w:rPr>
          <w:sz w:val="20"/>
        </w:rPr>
      </w:pPr>
      <w:r>
        <w:rPr>
          <w:sz w:val="20"/>
        </w:rPr>
      </w:r>
    </w:p>
    <w:p>
      <w:pPr>
        <w:pStyle w:val="Normal"/>
        <w:rPr>
          <w:sz w:val="20"/>
        </w:rPr>
      </w:pPr>
      <w:r>
        <w:rPr>
          <w:sz w:val="20"/>
        </w:rPr>
        <w:t>ERCOT is responsible for the registration of:</w:t>
      </w:r>
    </w:p>
    <w:p>
      <w:pPr>
        <w:pStyle w:val="Normal"/>
        <w:rPr>
          <w:sz w:val="20"/>
        </w:rPr>
      </w:pPr>
      <w:r>
        <w:rPr>
          <w:sz w:val="20"/>
        </w:rPr>
      </w:r>
    </w:p>
    <w:p>
      <w:pPr>
        <w:pStyle w:val="Normal"/>
        <w:numPr>
          <w:ilvl w:val="0"/>
          <w:numId w:val="37"/>
        </w:numPr>
        <w:rPr>
          <w:sz w:val="20"/>
        </w:rPr>
      </w:pPr>
      <w:r>
        <w:rPr>
          <w:sz w:val="20"/>
        </w:rPr>
        <w:t xml:space="preserve">Market participant </w:t>
      </w:r>
      <w:r>
        <w:rPr>
          <w:b/>
          <w:sz w:val="20"/>
        </w:rPr>
        <w:t>organizations</w:t>
      </w:r>
      <w:r>
        <w:rPr>
          <w:sz w:val="20"/>
        </w:rPr>
        <w:t>, and the people within those organizations who are authorized to access ERCOT computer systems. Each time an organization joins the ERCOT market, it will provide this information.</w:t>
      </w:r>
    </w:p>
    <w:p>
      <w:pPr>
        <w:pStyle w:val="Normal"/>
        <w:rPr>
          <w:sz w:val="20"/>
        </w:rPr>
      </w:pPr>
      <w:r>
        <w:rPr>
          <w:sz w:val="20"/>
        </w:rPr>
      </w:r>
    </w:p>
    <w:p>
      <w:pPr>
        <w:pStyle w:val="Normal"/>
        <w:numPr>
          <w:ilvl w:val="0"/>
          <w:numId w:val="37"/>
        </w:numPr>
        <w:rPr>
          <w:sz w:val="20"/>
        </w:rPr>
      </w:pPr>
      <w:r>
        <w:rPr>
          <w:sz w:val="20"/>
        </w:rPr>
        <w:t xml:space="preserve">Market participant </w:t>
      </w:r>
      <w:r>
        <w:rPr>
          <w:b/>
          <w:sz w:val="20"/>
        </w:rPr>
        <w:t>assets,</w:t>
      </w:r>
      <w:r>
        <w:rPr>
          <w:sz w:val="20"/>
        </w:rPr>
        <w:t xml:space="preserve"> which are resources that participate in the supply of energy and ancillary services</w:t>
      </w:r>
      <w:r>
        <w:fldChar w:fldCharType="begin"/>
      </w:r>
      <w:r>
        <w:rPr/>
        <w:instrText xml:space="preserve"> XE "ancillary services" </w:instrText>
      </w:r>
      <w:r>
        <w:rPr/>
        <w:fldChar w:fldCharType="separate"/>
      </w:r>
      <w:r>
        <w:rPr/>
      </w:r>
      <w:r>
        <w:rPr/>
        <w:fldChar w:fldCharType="end"/>
      </w:r>
      <w:r>
        <w:rPr>
          <w:sz w:val="20"/>
        </w:rPr>
        <w:t xml:space="preserve">, including both generating units and loads acting as resources. </w:t>
      </w:r>
    </w:p>
    <w:p>
      <w:pPr>
        <w:pStyle w:val="Normal"/>
        <w:rPr>
          <w:sz w:val="20"/>
        </w:rPr>
      </w:pPr>
      <w:r>
        <w:rPr>
          <w:sz w:val="20"/>
        </w:rPr>
      </w:r>
    </w:p>
    <w:p>
      <w:pPr>
        <w:pStyle w:val="Normal"/>
        <w:numPr>
          <w:ilvl w:val="0"/>
          <w:numId w:val="37"/>
        </w:numPr>
        <w:rPr>
          <w:sz w:val="20"/>
        </w:rPr>
      </w:pPr>
      <w:r>
        <w:rPr>
          <w:sz w:val="20"/>
        </w:rPr>
        <w:t xml:space="preserve">Metered and un-metered retail </w:t>
      </w:r>
      <w:r>
        <w:rPr>
          <w:b/>
          <w:sz w:val="20"/>
        </w:rPr>
        <w:t>premises</w:t>
      </w:r>
      <w:r>
        <w:rPr>
          <w:sz w:val="20"/>
        </w:rPr>
        <w:t xml:space="preserve"> of customers who are in the competitive market. This information is sent to the ERCOT database by the TDSPs</w:t>
      </w:r>
      <w:r>
        <w:fldChar w:fldCharType="begin"/>
      </w:r>
      <w:r>
        <w:rPr/>
        <w:instrText xml:space="preserve"> XE "TDSPs" </w:instrText>
      </w:r>
      <w:r>
        <w:rPr/>
        <w:fldChar w:fldCharType="separate"/>
      </w:r>
      <w:r>
        <w:rPr/>
      </w:r>
      <w:r>
        <w:rPr/>
        <w:fldChar w:fldCharType="end"/>
      </w:r>
      <w:r>
        <w:rPr>
          <w:sz w:val="20"/>
        </w:rPr>
        <w:t xml:space="preserve"> that serve those retail customers.</w:t>
      </w:r>
    </w:p>
    <w:p>
      <w:pPr>
        <w:pStyle w:val="Normal"/>
        <w:rPr>
          <w:sz w:val="20"/>
        </w:rPr>
      </w:pPr>
      <w:r>
        <w:rPr>
          <w:sz w:val="20"/>
        </w:rPr>
      </w:r>
    </w:p>
    <w:p>
      <w:pPr>
        <w:pStyle w:val="Normal"/>
        <w:rPr/>
      </w:pPr>
      <w:r>
        <w:rPr>
          <w:sz w:val="20"/>
        </w:rPr>
        <w:t>The ERCOT centralized registration database contains the minimal information that ERCOT needs to facilitate the process of a customer switching CRs</w:t>
      </w:r>
      <w:r>
        <w:fldChar w:fldCharType="begin"/>
      </w:r>
      <w:r>
        <w:rPr/>
        <w:instrText xml:space="preserve"> XE "REPs" </w:instrText>
      </w:r>
      <w:r>
        <w:rPr/>
        <w:fldChar w:fldCharType="separate"/>
      </w:r>
      <w:r>
        <w:rPr/>
      </w:r>
      <w:r>
        <w:rPr/>
        <w:fldChar w:fldCharType="end"/>
      </w:r>
      <w:r>
        <w:rPr>
          <w:sz w:val="20"/>
        </w:rPr>
        <w:t>. Additional information on retail premises such as customer names and telephone numbers is not stored by ERCOT.</w:t>
      </w:r>
    </w:p>
    <w:p>
      <w:pPr>
        <w:pStyle w:val="Normal"/>
        <w:rPr>
          <w:sz w:val="20"/>
        </w:rPr>
      </w:pPr>
      <w:r>
        <w:rPr>
          <w:sz w:val="20"/>
        </w:rPr>
      </w:r>
    </w:p>
    <w:p>
      <w:pPr>
        <w:pStyle w:val="Normal"/>
        <w:rPr/>
      </w:pPr>
      <w:r>
        <w:rPr>
          <w:sz w:val="20"/>
        </w:rPr>
        <w:t>The ability for customers to switch CRs</w:t>
      </w:r>
      <w:r>
        <w:fldChar w:fldCharType="begin"/>
      </w:r>
      <w:r>
        <w:rPr/>
        <w:instrText xml:space="preserve"> XE "REPs" </w:instrText>
      </w:r>
      <w:r>
        <w:rPr/>
        <w:fldChar w:fldCharType="separate"/>
      </w:r>
      <w:r>
        <w:rPr/>
      </w:r>
      <w:r>
        <w:rPr/>
        <w:fldChar w:fldCharType="end"/>
      </w:r>
      <w:r>
        <w:rPr>
          <w:sz w:val="20"/>
        </w:rPr>
        <w:t xml:space="preserve"> is fundamental to supporting retail competition. The figure below shows how ERCOT processes a customer switch.</w:t>
      </w:r>
    </w:p>
    <w:p>
      <w:pPr>
        <w:pStyle w:val="Normal"/>
        <w:rPr>
          <w:sz w:val="20"/>
        </w:rPr>
      </w:pPr>
      <w:r>
        <w:rPr>
          <w:sz w:val="20"/>
        </w:rPr>
      </w:r>
    </w:p>
    <w:p>
      <w:pPr>
        <w:pStyle w:val="Normal"/>
        <w:rPr>
          <w:sz w:val="20"/>
        </w:rPr>
      </w:pPr>
      <w:r>
        <w:rPr>
          <w:sz w:val="20"/>
        </w:rPr>
        <w:drawing>
          <wp:anchor behindDoc="0" distT="0" distB="0" distL="114935" distR="114935" simplePos="0" locked="0" layoutInCell="0" allowOverlap="1" relativeHeight="161">
            <wp:simplePos x="0" y="0"/>
            <wp:positionH relativeFrom="column">
              <wp:posOffset>0</wp:posOffset>
            </wp:positionH>
            <wp:positionV relativeFrom="paragraph">
              <wp:posOffset>635</wp:posOffset>
            </wp:positionV>
            <wp:extent cx="5483225" cy="3444240"/>
            <wp:effectExtent l="0" t="0" r="0" b="0"/>
            <wp:wrapTopAndBottom/>
            <wp:docPr id="20"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7" descr="" title=""/>
                    <pic:cNvPicPr>
                      <a:picLocks noChangeAspect="1" noChangeArrowheads="1"/>
                    </pic:cNvPicPr>
                  </pic:nvPicPr>
                  <pic:blipFill>
                    <a:blip r:embed="rId18"/>
                    <a:srcRect l="-5" t="-7" r="-5" b="-7"/>
                    <a:stretch>
                      <a:fillRect/>
                    </a:stretch>
                  </pic:blipFill>
                  <pic:spPr bwMode="auto">
                    <a:xfrm>
                      <a:off x="0" y="0"/>
                      <a:ext cx="5483225" cy="3444240"/>
                    </a:xfrm>
                    <a:prstGeom prst="rect">
                      <a:avLst/>
                    </a:prstGeom>
                    <a:noFill/>
                  </pic:spPr>
                </pic:pic>
              </a:graphicData>
            </a:graphic>
          </wp:anchor>
        </w:drawing>
      </w:r>
    </w:p>
    <w:p>
      <w:pPr>
        <w:pStyle w:val="Normal"/>
        <w:rPr>
          <w:sz w:val="20"/>
        </w:rPr>
      </w:pPr>
      <w:r>
        <w:rPr>
          <w:sz w:val="20"/>
        </w:rPr>
      </w:r>
    </w:p>
    <w:p>
      <w:pPr>
        <w:pStyle w:val="Normal"/>
        <w:rPr>
          <w:sz w:val="20"/>
        </w:rPr>
      </w:pPr>
      <w:r>
        <w:rPr>
          <w:sz w:val="20"/>
        </w:rPr>
      </w:r>
    </w:p>
    <w:p>
      <w:pPr>
        <w:pStyle w:val="Normal"/>
        <w:rPr/>
      </w:pPr>
      <w:r>
        <w:rPr>
          <w:sz w:val="20"/>
        </w:rPr>
        <w:t>When ERCOT receives a switch request from a customer’s New CR</w:t>
      </w:r>
      <w:r>
        <w:fldChar w:fldCharType="begin"/>
      </w:r>
      <w:r>
        <w:rPr/>
        <w:instrText xml:space="preserve"> XE "REP" </w:instrText>
      </w:r>
      <w:r>
        <w:rPr/>
        <w:fldChar w:fldCharType="separate"/>
      </w:r>
      <w:r>
        <w:rPr/>
      </w:r>
      <w:r>
        <w:rPr/>
        <w:fldChar w:fldCharType="end"/>
      </w:r>
      <w:r>
        <w:rPr>
          <w:sz w:val="20"/>
        </w:rPr>
        <w:t>, it verifies that the New CR is certified by the PUCT, registered with ERCOT, and authorized to serve the customer’s premise area.</w:t>
      </w:r>
    </w:p>
    <w:p>
      <w:pPr>
        <w:pStyle w:val="Normal"/>
        <w:rPr>
          <w:sz w:val="20"/>
        </w:rPr>
      </w:pPr>
      <w:r>
        <w:rPr>
          <w:sz w:val="20"/>
        </w:rPr>
      </w:r>
    </w:p>
    <w:p>
      <w:pPr>
        <w:pStyle w:val="Normal"/>
        <w:rPr/>
      </w:pPr>
      <w:r>
        <w:rPr>
          <w:sz w:val="20"/>
        </w:rPr>
        <w:t>ERCOT notifies the customer and both CRs</w:t>
      </w:r>
      <w:r>
        <w:fldChar w:fldCharType="begin"/>
      </w:r>
      <w:r>
        <w:rPr/>
        <w:instrText xml:space="preserve"> XE "REPs" </w:instrText>
      </w:r>
      <w:r>
        <w:rPr/>
        <w:fldChar w:fldCharType="separate"/>
      </w:r>
      <w:r>
        <w:rPr/>
      </w:r>
      <w:r>
        <w:rPr/>
        <w:fldChar w:fldCharType="end"/>
      </w:r>
      <w:r>
        <w:rPr>
          <w:sz w:val="20"/>
        </w:rPr>
        <w:t xml:space="preserve"> about the impending switch. ERCOT also notifies the TDSP</w:t>
      </w:r>
      <w:r>
        <w:fldChar w:fldCharType="begin"/>
      </w:r>
      <w:r>
        <w:rPr/>
        <w:instrText xml:space="preserve"> XE "TDSP" </w:instrText>
      </w:r>
      <w:r>
        <w:rPr/>
        <w:fldChar w:fldCharType="separate"/>
      </w:r>
      <w:r>
        <w:rPr/>
      </w:r>
      <w:r>
        <w:rPr/>
        <w:fldChar w:fldCharType="end"/>
      </w:r>
      <w:r>
        <w:rPr>
          <w:sz w:val="20"/>
        </w:rPr>
        <w:t xml:space="preserve"> so it can send detailed premise data, like historical usage, the rate class and meter type. This information is sent from the TDSP to ERCOT, which forwards it to the New CR</w:t>
      </w:r>
      <w:r>
        <w:fldChar w:fldCharType="begin"/>
      </w:r>
      <w:r>
        <w:rPr/>
        <w:instrText xml:space="preserve"> XE "REP" </w:instrText>
      </w:r>
      <w:r>
        <w:rPr/>
        <w:fldChar w:fldCharType="separate"/>
      </w:r>
      <w:r>
        <w:rPr/>
      </w:r>
      <w:r>
        <w:rPr/>
        <w:fldChar w:fldCharType="end"/>
      </w:r>
      <w:r>
        <w:rPr>
          <w:sz w:val="20"/>
        </w:rPr>
        <w:t xml:space="preserve">. The New CR needs this data in order to prepare for the switch. </w:t>
      </w:r>
    </w:p>
    <w:p>
      <w:pPr>
        <w:pStyle w:val="Normal"/>
        <w:rPr>
          <w:sz w:val="20"/>
        </w:rPr>
      </w:pPr>
      <w:r>
        <w:rPr>
          <w:sz w:val="20"/>
        </w:rPr>
      </w:r>
    </w:p>
    <w:p>
      <w:pPr>
        <w:pStyle w:val="Normal"/>
        <w:rPr/>
      </w:pPr>
      <w:r>
        <w:rPr>
          <w:sz w:val="20"/>
        </w:rPr>
        <w:t>When the TDSP</w:t>
      </w:r>
      <w:r>
        <w:fldChar w:fldCharType="begin"/>
      </w:r>
      <w:r>
        <w:rPr/>
        <w:instrText xml:space="preserve"> XE "TDSP" </w:instrText>
      </w:r>
      <w:r>
        <w:rPr/>
        <w:fldChar w:fldCharType="separate"/>
      </w:r>
      <w:r>
        <w:rPr/>
      </w:r>
      <w:r>
        <w:rPr/>
        <w:fldChar w:fldCharType="end"/>
      </w:r>
      <w:r>
        <w:rPr>
          <w:sz w:val="20"/>
        </w:rPr>
        <w:t xml:space="preserve"> reads the customer’s meter, it sends the reading data to ERCOT, which forwards it to both CRs</w:t>
      </w:r>
      <w:r>
        <w:fldChar w:fldCharType="begin"/>
      </w:r>
      <w:r>
        <w:rPr/>
        <w:instrText xml:space="preserve"> XE "REPs" </w:instrText>
      </w:r>
      <w:r>
        <w:rPr/>
        <w:fldChar w:fldCharType="separate"/>
      </w:r>
      <w:r>
        <w:rPr/>
      </w:r>
      <w:r>
        <w:rPr/>
        <w:fldChar w:fldCharType="end"/>
      </w:r>
      <w:r>
        <w:rPr>
          <w:sz w:val="20"/>
        </w:rPr>
        <w:t xml:space="preserve"> and finalizes the switch. The CRs need this meter reading information in order to determine when the customer stops being billed by the Current CR</w:t>
      </w:r>
      <w:r>
        <w:fldChar w:fldCharType="begin"/>
      </w:r>
      <w:r>
        <w:rPr/>
        <w:instrText xml:space="preserve"> XE "REP" </w:instrText>
      </w:r>
      <w:r>
        <w:rPr/>
        <w:fldChar w:fldCharType="separate"/>
      </w:r>
      <w:r>
        <w:rPr/>
      </w:r>
      <w:r>
        <w:rPr/>
        <w:fldChar w:fldCharType="end"/>
      </w:r>
      <w:r>
        <w:rPr>
          <w:sz w:val="20"/>
        </w:rPr>
        <w:t xml:space="preserve"> and starts being billed by the New CR.</w:t>
      </w:r>
    </w:p>
    <w:p>
      <w:pPr>
        <w:pStyle w:val="Normal"/>
        <w:rPr>
          <w:sz w:val="20"/>
        </w:rPr>
      </w:pPr>
      <w:r>
        <w:rPr>
          <w:sz w:val="20"/>
        </w:rPr>
      </w:r>
    </w:p>
    <w:p>
      <w:pPr>
        <w:pStyle w:val="Normal"/>
        <w:rPr>
          <w:sz w:val="20"/>
        </w:rPr>
      </w:pPr>
      <w:r>
        <w:rPr>
          <w:sz w:val="20"/>
        </w:rPr>
      </w:r>
    </w:p>
    <w:p>
      <w:pPr>
        <w:pStyle w:val="Normal"/>
        <w:rPr>
          <w:sz w:val="20"/>
        </w:rPr>
      </w:pPr>
      <w:r>
        <w:rPr>
          <w:sz w:val="20"/>
        </w:rPr>
      </w:r>
    </w:p>
    <w:p>
      <w:pPr>
        <w:pStyle w:val="Heading2"/>
        <w:rPr/>
      </w:pPr>
      <w:bookmarkStart w:id="9" w:name="__RefHeading___Toc505989399"/>
      <w:bookmarkEnd w:id="9"/>
      <w:r>
        <w:rPr/>
        <w:t>4B. Market Timeline</w:t>
      </w:r>
    </w:p>
    <w:p>
      <w:pPr>
        <w:pStyle w:val="Style11"/>
        <w:rPr/>
      </w:pPr>
      <w:r>
        <w:drawing>
          <wp:anchor behindDoc="0" distT="0" distB="0" distL="114935" distR="114935" simplePos="0" locked="0" layoutInCell="0" allowOverlap="1" relativeHeight="168">
            <wp:simplePos x="0" y="0"/>
            <wp:positionH relativeFrom="column">
              <wp:posOffset>4075430</wp:posOffset>
            </wp:positionH>
            <wp:positionV relativeFrom="paragraph">
              <wp:posOffset>520700</wp:posOffset>
            </wp:positionV>
            <wp:extent cx="2536825" cy="6804025"/>
            <wp:effectExtent l="0" t="0" r="0" b="0"/>
            <wp:wrapTopAndBottom/>
            <wp:docPr id="2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8" descr="" title=""/>
                    <pic:cNvPicPr>
                      <a:picLocks noChangeAspect="1" noChangeArrowheads="1"/>
                    </pic:cNvPicPr>
                  </pic:nvPicPr>
                  <pic:blipFill>
                    <a:blip r:embed="rId19"/>
                    <a:srcRect l="-14" t="-5" r="-14" b="-5"/>
                    <a:stretch>
                      <a:fillRect/>
                    </a:stretch>
                  </pic:blipFill>
                  <pic:spPr bwMode="auto">
                    <a:xfrm>
                      <a:off x="0" y="0"/>
                      <a:ext cx="2536825" cy="6804025"/>
                    </a:xfrm>
                    <a:prstGeom prst="rect">
                      <a:avLst/>
                    </a:prstGeom>
                    <a:noFill/>
                  </pic:spPr>
                </pic:pic>
              </a:graphicData>
            </a:graphic>
          </wp:anchor>
        </w:drawing>
      </w:r>
      <w:r>
        <w:rPr/>
        <w:t>The market timeline introduces the operations processes in sections 4C and 4D, and the settlements process in section 4F. Market operations enable a competitive ancillary services</w:t>
      </w:r>
      <w:r>
        <w:fldChar w:fldCharType="begin"/>
      </w:r>
      <w:r>
        <w:rPr/>
        <w:instrText xml:space="preserve"> XE "ancillary services" </w:instrText>
      </w:r>
      <w:r>
        <w:rPr/>
        <w:fldChar w:fldCharType="separate"/>
      </w:r>
      <w:r>
        <w:rPr/>
      </w:r>
      <w:r>
        <w:rPr/>
        <w:fldChar w:fldCharType="end"/>
      </w:r>
      <w:r>
        <w:rPr/>
        <w:t xml:space="preserve"> market. Power operations support the reliability of the grid. Settlements</w:t>
      </w:r>
      <w:r>
        <w:fldChar w:fldCharType="begin"/>
      </w:r>
      <w:r>
        <w:rPr/>
        <w:instrText xml:space="preserve"> XE "Settlements" </w:instrText>
      </w:r>
      <w:r>
        <w:rPr/>
        <w:fldChar w:fldCharType="separate"/>
      </w:r>
      <w:r>
        <w:rPr/>
      </w:r>
      <w:r>
        <w:rPr/>
        <w:fldChar w:fldCharType="end"/>
      </w:r>
      <w:r>
        <w:rPr/>
        <w:t xml:space="preserve"> allocate the resulting costs among QSEs</w:t>
      </w:r>
      <w:r>
        <w:fldChar w:fldCharType="begin"/>
      </w:r>
      <w:r>
        <w:rPr/>
        <w:instrText xml:space="preserve"> XE "QSEs" </w:instrText>
      </w:r>
      <w:r>
        <w:rPr/>
        <w:fldChar w:fldCharType="separate"/>
      </w:r>
      <w:r>
        <w:rPr/>
      </w:r>
      <w:r>
        <w:rPr/>
        <w:fldChar w:fldCharType="end"/>
      </w:r>
      <w:r>
        <w:rPr/>
        <w:t xml:space="preserve">. </w:t>
      </w:r>
    </w:p>
    <w:p>
      <w:pPr>
        <w:pStyle w:val="Heading3"/>
        <w:rPr/>
      </w:pPr>
      <w:bookmarkStart w:id="10" w:name="__RefHeading___Toc505989400"/>
      <w:bookmarkEnd w:id="10"/>
      <w:r>
        <w:rPr/>
        <w:t>Market Operations</w:t>
      </w:r>
    </w:p>
    <w:p>
      <w:pPr>
        <w:pStyle w:val="Normal"/>
        <w:ind w:start="450" w:end="0"/>
        <w:rPr/>
      </w:pPr>
      <w:r>
        <w:rPr>
          <w:sz w:val="20"/>
          <w:u w:val="single"/>
        </w:rPr>
        <w:t>Day-Ahead Market</w:t>
      </w:r>
      <w:r>
        <w:rPr>
          <w:sz w:val="20"/>
        </w:rPr>
        <w:t xml:space="preserve"> occurs from 6:00AM to 4:30PM on the day prior to the operating day. QSEs</w:t>
      </w:r>
      <w:r>
        <w:fldChar w:fldCharType="begin"/>
      </w:r>
      <w:r>
        <w:rPr/>
        <w:instrText xml:space="preserve"> XE "QSEs" </w:instrText>
      </w:r>
      <w:r>
        <w:rPr/>
        <w:fldChar w:fldCharType="separate"/>
      </w:r>
      <w:r>
        <w:rPr/>
      </w:r>
      <w:r>
        <w:rPr/>
        <w:fldChar w:fldCharType="end"/>
      </w:r>
      <w:r>
        <w:rPr>
          <w:sz w:val="20"/>
        </w:rPr>
        <w:t xml:space="preserve"> submit balanced schedules and ancillary services</w:t>
      </w:r>
      <w:r>
        <w:fldChar w:fldCharType="begin"/>
      </w:r>
      <w:r>
        <w:rPr/>
        <w:instrText xml:space="preserve"> XE "ancillary services" </w:instrText>
      </w:r>
      <w:r>
        <w:rPr/>
        <w:fldChar w:fldCharType="separate"/>
      </w:r>
      <w:r>
        <w:rPr/>
      </w:r>
      <w:r>
        <w:rPr/>
        <w:fldChar w:fldCharType="end"/>
      </w:r>
      <w:r>
        <w:rPr>
          <w:sz w:val="20"/>
        </w:rPr>
        <w:t xml:space="preserve"> bids based on operation forecasts. Ancillary services for Regulation, Responsive, Non-Spinning and Replacement Reserve capacity markets clear, and ERCOT publishes the results.</w:t>
      </w:r>
    </w:p>
    <w:p>
      <w:pPr>
        <w:pStyle w:val="Normal"/>
        <w:ind w:start="450" w:end="0"/>
        <w:rPr>
          <w:sz w:val="20"/>
        </w:rPr>
      </w:pPr>
      <w:r>
        <w:rPr>
          <w:sz w:val="20"/>
        </w:rPr>
      </w:r>
    </w:p>
    <w:p>
      <w:pPr>
        <w:pStyle w:val="Normal"/>
        <w:ind w:start="450" w:end="0"/>
        <w:rPr/>
      </w:pPr>
      <w:r>
        <w:rPr>
          <w:sz w:val="20"/>
          <w:u w:val="single"/>
        </w:rPr>
        <w:t xml:space="preserve">Adjustment Period </w:t>
      </w:r>
      <w:r>
        <w:rPr>
          <w:sz w:val="20"/>
        </w:rPr>
        <w:t>happens in the time between the Day-Ahead Market and Hour-Ahead Period. QSEs</w:t>
      </w:r>
      <w:r>
        <w:fldChar w:fldCharType="begin"/>
      </w:r>
      <w:r>
        <w:rPr/>
        <w:instrText xml:space="preserve"> XE "QSEs" </w:instrText>
      </w:r>
      <w:r>
        <w:rPr/>
        <w:fldChar w:fldCharType="separate"/>
      </w:r>
      <w:r>
        <w:rPr/>
      </w:r>
      <w:r>
        <w:rPr/>
        <w:fldChar w:fldCharType="end"/>
      </w:r>
      <w:r>
        <w:rPr>
          <w:sz w:val="20"/>
        </w:rPr>
        <w:t xml:space="preserve"> may modify their schedules and outstanding bids.  ERCOT may procure additional ancillary services</w:t>
      </w:r>
      <w:r>
        <w:fldChar w:fldCharType="begin"/>
      </w:r>
      <w:r>
        <w:rPr/>
        <w:instrText xml:space="preserve"> XE "ancillary services" </w:instrText>
      </w:r>
      <w:r>
        <w:rPr/>
        <w:fldChar w:fldCharType="separate"/>
      </w:r>
      <w:r>
        <w:rPr/>
      </w:r>
      <w:r>
        <w:rPr/>
        <w:fldChar w:fldCharType="end"/>
      </w:r>
      <w:r>
        <w:rPr>
          <w:sz w:val="20"/>
        </w:rPr>
        <w:t xml:space="preserve"> as needed, based on its analysis of changed schedules, resource plans, load forecasts, and other system conditions.</w:t>
      </w:r>
    </w:p>
    <w:p>
      <w:pPr>
        <w:pStyle w:val="Normal"/>
        <w:ind w:start="450" w:end="0"/>
        <w:rPr>
          <w:sz w:val="20"/>
        </w:rPr>
      </w:pPr>
      <w:r>
        <w:rPr>
          <w:sz w:val="20"/>
        </w:rPr>
      </w:r>
    </w:p>
    <w:p>
      <w:pPr>
        <w:pStyle w:val="Normal"/>
        <w:ind w:start="450" w:end="0"/>
        <w:rPr/>
      </w:pPr>
      <w:r>
        <w:rPr>
          <w:sz w:val="20"/>
          <w:u w:val="single"/>
        </w:rPr>
        <w:t>Operating Period</w:t>
      </w:r>
      <w:r>
        <w:rPr>
          <w:sz w:val="20"/>
        </w:rPr>
        <w:t xml:space="preserve"> includes the Operating hour and the hour prior to Operating hour. During the Operating period, ERCOT performs look-ahead analysis of the physical system and identifies operational constraints.  If necessary, ERCOT requests unit-specific energy bids, as well as Out-of-Merit Energy, Reliability-Must-Run units, or Non-Spinning Reserve</w:t>
      </w:r>
      <w:r>
        <w:fldChar w:fldCharType="begin"/>
      </w:r>
      <w:r>
        <w:rPr/>
        <w:instrText xml:space="preserve"> XE "Non-Spinning Reserve" </w:instrText>
      </w:r>
      <w:r>
        <w:rPr/>
        <w:fldChar w:fldCharType="separate"/>
      </w:r>
      <w:r>
        <w:rPr/>
      </w:r>
      <w:r>
        <w:rPr/>
        <w:fldChar w:fldCharType="end"/>
      </w:r>
      <w:r>
        <w:rPr>
          <w:sz w:val="20"/>
        </w:rPr>
        <w:t xml:space="preserve"> energy. 10 minutes prior to the Settlement Interval, ERCOT clears the balancing energy market, and instructs those QSEs</w:t>
      </w:r>
      <w:r>
        <w:fldChar w:fldCharType="begin"/>
      </w:r>
      <w:r>
        <w:rPr/>
        <w:instrText xml:space="preserve"> XE "QSEs" </w:instrText>
      </w:r>
      <w:r>
        <w:rPr/>
        <w:fldChar w:fldCharType="separate"/>
      </w:r>
      <w:r>
        <w:rPr/>
      </w:r>
      <w:r>
        <w:rPr/>
        <w:fldChar w:fldCharType="end"/>
      </w:r>
      <w:r>
        <w:rPr>
          <w:sz w:val="20"/>
        </w:rPr>
        <w:t xml:space="preserve"> whose bids were selected to provide balancing energy for the Settlement Interval.</w:t>
      </w:r>
    </w:p>
    <w:p>
      <w:pPr>
        <w:pStyle w:val="Heading3"/>
        <w:rPr>
          <w:sz w:val="20"/>
          <w:u w:val="single"/>
        </w:rPr>
      </w:pPr>
      <w:bookmarkStart w:id="11" w:name="__RefHeading___Toc505989401"/>
      <w:bookmarkEnd w:id="11"/>
      <w:r>
        <w:rPr/>
        <w:t>Power Operations</w:t>
      </w:r>
    </w:p>
    <w:p>
      <w:pPr>
        <w:pStyle w:val="Style11"/>
        <w:ind w:start="450" w:end="0"/>
        <w:rPr/>
      </w:pPr>
      <w:r>
        <w:rPr/>
        <w:t>Power Operations run continuously. ERCOT operates the grid according to market rules. The ERCOT power operations system monitors and analyzes all grid components every 2-4 seconds for status, loading and output. In conjunction with the transmission control centers of the TDSPs</w:t>
      </w:r>
      <w:r>
        <w:fldChar w:fldCharType="begin"/>
      </w:r>
      <w:r>
        <w:rPr/>
        <w:instrText xml:space="preserve"> XE "TDSPs" </w:instrText>
      </w:r>
      <w:r>
        <w:rPr/>
        <w:fldChar w:fldCharType="separate"/>
      </w:r>
      <w:r>
        <w:rPr/>
      </w:r>
      <w:r>
        <w:rPr/>
        <w:fldChar w:fldCharType="end"/>
      </w:r>
      <w:r>
        <w:rPr/>
        <w:t xml:space="preserve"> in the ERCOT region, ERCOT supports the safe and reliable operation of the power system.</w:t>
      </w:r>
    </w:p>
    <w:p>
      <w:pPr>
        <w:pStyle w:val="Heading3"/>
        <w:rPr/>
      </w:pPr>
      <w:bookmarkStart w:id="12" w:name="__RefHeading___Toc505989402"/>
      <w:bookmarkEnd w:id="12"/>
      <w:r>
        <w:rPr/>
        <w:t>Settlements</w:t>
      </w:r>
      <w:r>
        <w:fldChar w:fldCharType="begin"/>
      </w:r>
      <w:r>
        <w:rPr/>
        <w:instrText xml:space="preserve"> XE "Settlements" </w:instrText>
      </w:r>
      <w:r>
        <w:rPr/>
        <w:fldChar w:fldCharType="separate"/>
      </w:r>
      <w:r>
        <w:rPr/>
      </w:r>
      <w:r>
        <w:rPr/>
        <w:fldChar w:fldCharType="end"/>
      </w:r>
    </w:p>
    <w:p>
      <w:pPr>
        <w:pStyle w:val="Normal"/>
        <w:ind w:start="450" w:end="0"/>
        <w:rPr/>
      </w:pPr>
      <w:r>
        <w:rPr>
          <w:sz w:val="20"/>
          <w:u w:val="single"/>
        </w:rPr>
        <w:t>Initial Settlement</w:t>
      </w:r>
      <w:r>
        <w:rPr>
          <w:sz w:val="20"/>
        </w:rPr>
        <w:t>: 3 days after the operating day, ERCOT runs the settlement program for the Settlement Intervals in that day. For most premises this settlement is based on estimated consumption using average daily usage from previous months.</w:t>
      </w:r>
    </w:p>
    <w:p>
      <w:pPr>
        <w:pStyle w:val="Normal"/>
        <w:ind w:start="450" w:end="0"/>
        <w:rPr>
          <w:sz w:val="20"/>
        </w:rPr>
      </w:pPr>
      <w:r>
        <w:rPr>
          <w:sz w:val="20"/>
        </w:rPr>
        <w:t>.</w:t>
      </w:r>
    </w:p>
    <w:p>
      <w:pPr>
        <w:pStyle w:val="Normal"/>
        <w:ind w:start="450" w:end="0"/>
        <w:rPr>
          <w:sz w:val="20"/>
        </w:rPr>
      </w:pPr>
      <w:r>
        <w:rPr>
          <w:sz w:val="20"/>
        </w:rPr>
      </w:r>
    </w:p>
    <w:p>
      <w:pPr>
        <w:pStyle w:val="Normal"/>
        <w:ind w:start="450" w:end="0"/>
        <w:rPr>
          <w:sz w:val="20"/>
        </w:rPr>
      </w:pPr>
      <w:r>
        <w:rPr>
          <w:sz w:val="20"/>
        </w:rPr>
      </w:r>
    </w:p>
    <w:p>
      <w:pPr>
        <w:pStyle w:val="Normal"/>
        <w:ind w:start="450" w:end="0"/>
        <w:rPr/>
      </w:pPr>
      <w:r>
        <w:rPr>
          <w:sz w:val="20"/>
          <w:u w:val="single"/>
        </w:rPr>
        <w:t>Final Settlement:</w:t>
      </w:r>
      <w:r>
        <w:rPr>
          <w:sz w:val="20"/>
        </w:rPr>
        <w:t xml:space="preserve"> 45 days after the operating day, ERCOT runs the final settlement program for the Settlement Intervals, and incorporates any revised results. This settlement is based on actual premise consumption.</w:t>
      </w:r>
    </w:p>
    <w:p>
      <w:pPr>
        <w:pStyle w:val="Normal"/>
        <w:ind w:start="450" w:end="0"/>
        <w:rPr>
          <w:sz w:val="20"/>
        </w:rPr>
      </w:pPr>
      <w:r>
        <w:rPr>
          <w:sz w:val="20"/>
        </w:rPr>
      </w:r>
    </w:p>
    <w:p>
      <w:pPr>
        <w:pStyle w:val="Normal"/>
        <w:ind w:start="450" w:end="0"/>
        <w:rPr>
          <w:sz w:val="20"/>
        </w:rPr>
      </w:pPr>
      <w:r>
        <w:rPr>
          <w:sz w:val="20"/>
        </w:rPr>
        <w:drawing>
          <wp:anchor behindDoc="0" distT="0" distB="0" distL="114935" distR="114935" simplePos="0" locked="0" layoutInCell="0" allowOverlap="1" relativeHeight="169">
            <wp:simplePos x="0" y="0"/>
            <wp:positionH relativeFrom="column">
              <wp:posOffset>4211955</wp:posOffset>
            </wp:positionH>
            <wp:positionV relativeFrom="paragraph">
              <wp:posOffset>127635</wp:posOffset>
            </wp:positionV>
            <wp:extent cx="2258695" cy="6057900"/>
            <wp:effectExtent l="0" t="0" r="0" b="0"/>
            <wp:wrapTopAndBottom/>
            <wp:docPr id="22"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 descr="" title=""/>
                    <pic:cNvPicPr>
                      <a:picLocks noChangeAspect="1" noChangeArrowheads="1"/>
                    </pic:cNvPicPr>
                  </pic:nvPicPr>
                  <pic:blipFill>
                    <a:blip r:embed="rId20"/>
                    <a:srcRect l="-14" t="-5" r="-14" b="-5"/>
                    <a:stretch>
                      <a:fillRect/>
                    </a:stretch>
                  </pic:blipFill>
                  <pic:spPr bwMode="auto">
                    <a:xfrm>
                      <a:off x="0" y="0"/>
                      <a:ext cx="2258695" cy="6057900"/>
                    </a:xfrm>
                    <a:prstGeom prst="rect">
                      <a:avLst/>
                    </a:prstGeom>
                    <a:noFill/>
                  </pic:spPr>
                </pic:pic>
              </a:graphicData>
            </a:graphic>
          </wp:anchor>
        </w:drawing>
      </w:r>
    </w:p>
    <w:p>
      <w:pPr>
        <w:pStyle w:val="Normal"/>
        <w:ind w:start="450" w:end="0"/>
        <w:rPr/>
      </w:pPr>
      <w:r>
        <w:rPr>
          <w:sz w:val="20"/>
          <w:u w:val="single"/>
        </w:rPr>
        <w:t>True-Up Settlement</w:t>
      </w:r>
      <w:r>
        <w:rPr>
          <w:sz w:val="20"/>
        </w:rPr>
        <w:t>: In six months ERCOT issues this statement to reconcile any late or final metering information, and resolve any outstanding disputes.</w:t>
      </w:r>
    </w:p>
    <w:p>
      <w:pPr>
        <w:pStyle w:val="Normal"/>
        <w:ind w:start="450" w:end="0"/>
        <w:rPr>
          <w:sz w:val="20"/>
        </w:rPr>
      </w:pPr>
      <w:r>
        <w:rPr>
          <w:sz w:val="20"/>
        </w:rPr>
      </w:r>
    </w:p>
    <w:p>
      <w:pPr>
        <w:pStyle w:val="Normal"/>
        <w:ind w:start="450" w:end="0"/>
        <w:rPr/>
      </w:pPr>
      <w:r>
        <w:rPr>
          <w:sz w:val="20"/>
          <w:u w:val="single"/>
        </w:rPr>
        <w:t xml:space="preserve">Resettlement: ERCOT may run a resettlement </w:t>
      </w:r>
      <w:r>
        <w:rPr>
          <w:sz w:val="20"/>
        </w:rPr>
        <w:t>as needed if disputes or data error result in an impact greater than two-percent (2%) of the ERCOT Operating Day market transaction dollars, excluding bilateral transactions</w:t>
      </w:r>
    </w:p>
    <w:p>
      <w:pPr>
        <w:pStyle w:val="Normal"/>
        <w:ind w:start="720" w:end="0"/>
        <w:rPr>
          <w:sz w:val="20"/>
        </w:rPr>
      </w:pPr>
      <w:r>
        <w:rPr>
          <w:sz w:val="20"/>
        </w:rPr>
      </w:r>
    </w:p>
    <w:p>
      <w:pPr>
        <w:pStyle w:val="Normal"/>
        <w:rPr>
          <w:sz w:val="20"/>
        </w:rPr>
      </w:pPr>
      <w:r>
        <w:rPr>
          <w:sz w:val="20"/>
        </w:rPr>
        <w:t xml:space="preserve">At any point in time, several operations and settlements activities are taking place concurrently. </w:t>
      </w:r>
    </w:p>
    <w:p>
      <w:pPr>
        <w:pStyle w:val="Normal"/>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DFDFDF" w:val="clear"/>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DFDFDF" w:val="clear"/>
        <w:rPr>
          <w:sz w:val="20"/>
        </w:rPr>
      </w:pPr>
      <w:r>
        <w:rPr>
          <w:sz w:val="20"/>
        </w:rPr>
        <w:t>For example, just for market and power operations, the following is taking place at 1:35PM:</w:t>
      </w:r>
    </w:p>
    <w:p>
      <w:pPr>
        <w:pStyle w:val="Normal"/>
        <w:pBdr>
          <w:top w:val="single" w:sz="4" w:space="1" w:color="000000"/>
          <w:left w:val="single" w:sz="4" w:space="4" w:color="000000"/>
          <w:bottom w:val="single" w:sz="4" w:space="1" w:color="000000"/>
          <w:right w:val="single" w:sz="4" w:space="4" w:color="000000"/>
        </w:pBdr>
        <w:shd w:fill="DFDFDF" w:val="clear"/>
        <w:rPr>
          <w:sz w:val="20"/>
        </w:rPr>
      </w:pPr>
      <w:r>
        <w:rPr>
          <w:sz w:val="20"/>
        </w:rPr>
      </w:r>
    </w:p>
    <w:p>
      <w:pPr>
        <w:pStyle w:val="Normal"/>
        <w:numPr>
          <w:ilvl w:val="0"/>
          <w:numId w:val="74"/>
        </w:numPr>
        <w:pBdr>
          <w:top w:val="single" w:sz="4" w:space="1" w:color="000000"/>
          <w:left w:val="single" w:sz="4" w:space="4" w:color="000000"/>
          <w:bottom w:val="single" w:sz="4" w:space="1" w:color="000000"/>
          <w:right w:val="single" w:sz="4" w:space="4" w:color="000000"/>
        </w:pBdr>
        <w:shd w:fill="DFDFDF" w:val="clear"/>
        <w:rPr>
          <w:sz w:val="20"/>
        </w:rPr>
      </w:pPr>
      <w:r>
        <w:rPr>
          <w:sz w:val="20"/>
        </w:rPr>
        <w:t>The Day-Ahead Market is active for the next Operating Day.</w:t>
      </w:r>
    </w:p>
    <w:p>
      <w:pPr>
        <w:pStyle w:val="Normal"/>
        <w:pBdr>
          <w:top w:val="single" w:sz="4" w:space="1" w:color="000000"/>
          <w:left w:val="single" w:sz="4" w:space="4" w:color="000000"/>
          <w:bottom w:val="single" w:sz="4" w:space="1" w:color="000000"/>
          <w:right w:val="single" w:sz="4" w:space="4" w:color="000000"/>
        </w:pBdr>
        <w:shd w:fill="DFDFDF" w:val="clear"/>
        <w:rPr>
          <w:sz w:val="20"/>
        </w:rPr>
      </w:pPr>
      <w:r>
        <w:rPr>
          <w:sz w:val="20"/>
        </w:rPr>
      </w:r>
    </w:p>
    <w:p>
      <w:pPr>
        <w:pStyle w:val="Normal"/>
        <w:numPr>
          <w:ilvl w:val="0"/>
          <w:numId w:val="74"/>
        </w:numPr>
        <w:pBdr>
          <w:top w:val="single" w:sz="4" w:space="1" w:color="000000"/>
          <w:left w:val="single" w:sz="4" w:space="4" w:color="000000"/>
          <w:bottom w:val="single" w:sz="4" w:space="1" w:color="000000"/>
          <w:right w:val="single" w:sz="4" w:space="4" w:color="000000"/>
        </w:pBdr>
        <w:shd w:fill="DFDFDF" w:val="clear"/>
        <w:rPr>
          <w:sz w:val="20"/>
        </w:rPr>
      </w:pPr>
      <w:r>
        <w:rPr>
          <w:sz w:val="20"/>
        </w:rPr>
        <w:t>The Adjustment Period is active for the 3:00PM-4:00PM Operating Hour and subsequent Operating Hours in the Operating Day (i.e. 4:00PM-5:00PM, 5:00PM-6:00PM, etc.)</w:t>
      </w:r>
    </w:p>
    <w:p>
      <w:pPr>
        <w:pStyle w:val="Normal"/>
        <w:pBdr>
          <w:top w:val="single" w:sz="4" w:space="1" w:color="000000"/>
          <w:left w:val="single" w:sz="4" w:space="4" w:color="000000"/>
          <w:bottom w:val="single" w:sz="4" w:space="1" w:color="000000"/>
          <w:right w:val="single" w:sz="4" w:space="4" w:color="000000"/>
        </w:pBdr>
        <w:shd w:fill="DFDFDF" w:val="clear"/>
        <w:rPr>
          <w:sz w:val="20"/>
        </w:rPr>
      </w:pPr>
      <w:r>
        <w:rPr>
          <w:sz w:val="20"/>
        </w:rPr>
      </w:r>
    </w:p>
    <w:p>
      <w:pPr>
        <w:pStyle w:val="Normal"/>
        <w:numPr>
          <w:ilvl w:val="0"/>
          <w:numId w:val="74"/>
        </w:numPr>
        <w:pBdr>
          <w:top w:val="single" w:sz="4" w:space="1" w:color="000000"/>
          <w:left w:val="single" w:sz="4" w:space="4" w:color="000000"/>
          <w:bottom w:val="single" w:sz="4" w:space="1" w:color="000000"/>
          <w:right w:val="single" w:sz="4" w:space="4" w:color="000000"/>
        </w:pBdr>
        <w:shd w:fill="DFDFDF" w:val="clear"/>
        <w:rPr>
          <w:sz w:val="20"/>
        </w:rPr>
      </w:pPr>
      <w:r>
        <w:rPr>
          <w:sz w:val="20"/>
        </w:rPr>
        <w:t>The Hour-Ahead Period is active for the 2:00PM-3:00PM Operating Hour.</w:t>
      </w:r>
    </w:p>
    <w:p>
      <w:pPr>
        <w:pStyle w:val="Normal"/>
        <w:pBdr>
          <w:top w:val="single" w:sz="4" w:space="1" w:color="000000"/>
          <w:left w:val="single" w:sz="4" w:space="4" w:color="000000"/>
          <w:bottom w:val="single" w:sz="4" w:space="1" w:color="000000"/>
          <w:right w:val="single" w:sz="4" w:space="4" w:color="000000"/>
        </w:pBdr>
        <w:shd w:fill="DFDFDF" w:val="clear"/>
        <w:rPr>
          <w:sz w:val="20"/>
        </w:rPr>
      </w:pPr>
      <w:r>
        <w:rPr>
          <w:sz w:val="20"/>
        </w:rPr>
      </w:r>
    </w:p>
    <w:p>
      <w:pPr>
        <w:pStyle w:val="Normal"/>
        <w:numPr>
          <w:ilvl w:val="0"/>
          <w:numId w:val="74"/>
        </w:numPr>
        <w:pBdr>
          <w:top w:val="single" w:sz="4" w:space="1" w:color="000000"/>
          <w:left w:val="single" w:sz="4" w:space="4" w:color="000000"/>
          <w:bottom w:val="single" w:sz="4" w:space="1" w:color="000000"/>
          <w:right w:val="single" w:sz="4" w:space="4" w:color="000000"/>
        </w:pBdr>
        <w:shd w:fill="DFDFDF" w:val="clear"/>
        <w:rPr>
          <w:sz w:val="20"/>
        </w:rPr>
      </w:pPr>
      <w:r>
        <w:rPr>
          <w:sz w:val="20"/>
        </w:rPr>
        <w:t>The Real Time Balancing Energy Market has just cleared and deployment instructions are being sent for the 1:45PM-2:00PM Settlement Interval.</w:t>
      </w:r>
    </w:p>
    <w:p>
      <w:pPr>
        <w:pStyle w:val="Normal"/>
        <w:pBdr>
          <w:top w:val="single" w:sz="4" w:space="1" w:color="000000"/>
          <w:left w:val="single" w:sz="4" w:space="4" w:color="000000"/>
          <w:bottom w:val="single" w:sz="4" w:space="1" w:color="000000"/>
          <w:right w:val="single" w:sz="4" w:space="4" w:color="000000"/>
        </w:pBdr>
        <w:shd w:fill="DFDFDF" w:val="clear"/>
        <w:rPr>
          <w:sz w:val="20"/>
        </w:rPr>
      </w:pPr>
      <w:r>
        <w:rPr>
          <w:sz w:val="20"/>
        </w:rPr>
      </w:r>
    </w:p>
    <w:p>
      <w:pPr>
        <w:pStyle w:val="Normal"/>
        <w:numPr>
          <w:ilvl w:val="0"/>
          <w:numId w:val="74"/>
        </w:numPr>
        <w:pBdr>
          <w:top w:val="single" w:sz="4" w:space="1" w:color="000000"/>
          <w:left w:val="single" w:sz="4" w:space="4" w:color="000000"/>
          <w:bottom w:val="single" w:sz="4" w:space="1" w:color="000000"/>
          <w:right w:val="single" w:sz="4" w:space="4" w:color="000000"/>
        </w:pBdr>
        <w:shd w:fill="DFDFDF" w:val="clear"/>
        <w:rPr>
          <w:sz w:val="20"/>
        </w:rPr>
      </w:pPr>
      <w:r>
        <w:rPr>
          <w:sz w:val="20"/>
        </w:rPr>
        <w:t>Power is flowing for the 1:30-1:45 Settlement Interval, and the power operations system is conducting analysis of grid reliability every 2-4 seconds.</w:t>
      </w:r>
    </w:p>
    <w:p>
      <w:pPr>
        <w:pStyle w:val="Style11"/>
        <w:pBdr>
          <w:top w:val="single" w:sz="4" w:space="1" w:color="000000"/>
          <w:left w:val="single" w:sz="4" w:space="4" w:color="000000"/>
          <w:bottom w:val="single" w:sz="4" w:space="1" w:color="000000"/>
          <w:right w:val="single" w:sz="4" w:space="4" w:color="000000"/>
        </w:pBdr>
        <w:shd w:fill="DFDFDF" w:val="clear"/>
        <w:rPr>
          <w:sz w:val="20"/>
        </w:rPr>
      </w:pPr>
      <w:r>
        <w:rPr>
          <w:sz w:val="20"/>
        </w:rPr>
      </w:r>
    </w:p>
    <w:p>
      <w:pPr>
        <w:pStyle w:val="Style11"/>
        <w:rPr/>
      </w:pPr>
      <w:r>
        <w:rPr/>
      </w:r>
    </w:p>
    <w:p>
      <w:pPr>
        <w:pStyle w:val="Style11"/>
        <w:rPr/>
      </w:pPr>
      <w:r>
        <w:rPr/>
        <w:t>Similarly, on any given day, the following settlement runs for multiple trade days are also running concurrently:</w:t>
      </w:r>
    </w:p>
    <w:p>
      <w:pPr>
        <w:pStyle w:val="Style11"/>
        <w:numPr>
          <w:ilvl w:val="0"/>
          <w:numId w:val="38"/>
        </w:numPr>
        <w:rPr/>
      </w:pPr>
      <w:r>
        <w:rPr/>
        <w:t>Initial Settlement for 3 days ago</w:t>
      </w:r>
    </w:p>
    <w:p>
      <w:pPr>
        <w:pStyle w:val="Style11"/>
        <w:numPr>
          <w:ilvl w:val="0"/>
          <w:numId w:val="38"/>
        </w:numPr>
        <w:rPr/>
      </w:pPr>
      <w:r>
        <w:rPr/>
        <w:t>Final Settlement for 45 days ago</w:t>
      </w:r>
    </w:p>
    <w:p>
      <w:pPr>
        <w:pStyle w:val="Style11"/>
        <w:numPr>
          <w:ilvl w:val="0"/>
          <w:numId w:val="38"/>
        </w:numPr>
        <w:rPr/>
      </w:pPr>
      <w:r>
        <w:rPr/>
        <w:t>True-up Settlement for 6 months ago</w:t>
      </w:r>
    </w:p>
    <w:p>
      <w:pPr>
        <w:pStyle w:val="Style11"/>
        <w:numPr>
          <w:ilvl w:val="0"/>
          <w:numId w:val="38"/>
        </w:numPr>
        <w:rPr/>
      </w:pPr>
      <w:r>
        <w:rPr/>
        <w:t>Possible Resettlement of a day 6 months or less</w:t>
      </w:r>
    </w:p>
    <w:p>
      <w:pPr>
        <w:pStyle w:val="Normal"/>
        <w:rPr>
          <w:sz w:val="20"/>
        </w:rPr>
      </w:pPr>
      <w:r>
        <w:rPr>
          <w:sz w:val="20"/>
        </w:rPr>
      </w:r>
      <w:r>
        <w:br w:type="page"/>
      </w:r>
    </w:p>
    <w:p>
      <w:pPr>
        <w:pStyle w:val="Heading2"/>
        <w:rPr/>
      </w:pPr>
      <w:bookmarkStart w:id="13" w:name="__RefHeading___Toc505989403"/>
      <w:bookmarkEnd w:id="13"/>
      <w:r>
        <w:rPr/>
        <w:t>4C. Market Operations Process</w:t>
      </w:r>
    </w:p>
    <w:p>
      <w:pPr>
        <w:pStyle w:val="Normal"/>
        <w:rPr/>
      </w:pPr>
      <w:r>
        <mc:AlternateContent>
          <mc:Choice Requires="wps">
            <w:drawing>
              <wp:anchor behindDoc="0" distT="0" distB="0" distL="114935" distR="114935" simplePos="0" locked="0" layoutInCell="1" allowOverlap="1" relativeHeight="152">
                <wp:simplePos x="0" y="0"/>
                <wp:positionH relativeFrom="column">
                  <wp:posOffset>-2194560</wp:posOffset>
                </wp:positionH>
                <wp:positionV relativeFrom="paragraph">
                  <wp:posOffset>426085</wp:posOffset>
                </wp:positionV>
                <wp:extent cx="548640" cy="457200"/>
                <wp:effectExtent l="24130" t="5715" r="24765" b="5715"/>
                <wp:wrapNone/>
                <wp:docPr id="23" name=""/>
                <a:graphic xmlns:a="http://schemas.openxmlformats.org/drawingml/2006/main">
                  <a:graphicData uri="http://schemas.microsoft.com/office/word/2010/wordprocessingShape">
                    <wps:wsp>
                      <wps:cNvSpPr/>
                      <wps:spPr>
                        <a:xfrm>
                          <a:off x="0" y="0"/>
                          <a:ext cx="548640" cy="457200"/>
                        </a:xfrm>
                        <a:prstGeom prst="upArrow">
                          <a:avLst>
                            <a:gd name="adj1" fmla="val 50000"/>
                            <a:gd name="adj2" fmla="val 25000"/>
                          </a:avLst>
                        </a:prstGeom>
                        <a:solidFill>
                          <a:srgbClr val="ff0000"/>
                        </a:solidFill>
                        <a:ln w="9360">
                          <a:solidFill>
                            <a:srgbClr val="000000"/>
                          </a:solidFill>
                          <a:miter/>
                        </a:ln>
                      </wps:spPr>
                      <wps:style>
                        <a:lnRef idx="0"/>
                        <a:fillRef idx="0"/>
                        <a:effectRef idx="0"/>
                        <a:fontRef idx="minor"/>
                      </wps:style>
                      <wps:bodyPr/>
                    </wps:wsp>
                  </a:graphicData>
                </a:graphic>
              </wp:anchor>
            </w:drawing>
          </mc:Choice>
          <mc:Fallback>
            <w:pict>
              <v:shape id="shape_0" fillcolor="red" stroked="t" o:allowincell="f" style="position:absolute;margin-left:-172.8pt;margin-top:33.55pt;width:43.15pt;height:35.95pt;mso-wrap-style:none;v-text-anchor:middle" type="_x0000_t68">
                <v:fill o:detectmouseclick="t" type="solid" color2="aqua"/>
                <v:stroke color="black" weight="9360" joinstyle="miter" endcap="flat"/>
                <w10:wrap type="none"/>
              </v:shape>
            </w:pict>
          </mc:Fallback>
        </mc:AlternateContent>
      </w:r>
      <w:r>
        <w:rPr>
          <w:sz w:val="20"/>
        </w:rPr>
        <w:t>In this process ERCOT assesses the amount of ancillary services</w:t>
      </w:r>
      <w:r>
        <w:fldChar w:fldCharType="begin"/>
      </w:r>
      <w:r>
        <w:rPr/>
        <w:instrText xml:space="preserve"> XE "ancillary services" </w:instrText>
      </w:r>
      <w:r>
        <w:rPr/>
        <w:fldChar w:fldCharType="separate"/>
      </w:r>
      <w:r>
        <w:rPr/>
      </w:r>
      <w:r>
        <w:rPr/>
        <w:fldChar w:fldCharType="end"/>
      </w:r>
      <w:r>
        <w:rPr>
          <w:sz w:val="20"/>
        </w:rPr>
        <w:t xml:space="preserve"> required to support the reliable operation of the grid, and procures those services. The market operations process contains four major sets of activities: Day-Ahead Market, Adjustment Period, Hour-Ahead Period, and the Real Time Balancing Energy Market Clearing.</w:t>
      </w:r>
    </w:p>
    <w:p>
      <w:pPr>
        <w:pStyle w:val="Style11"/>
        <w:rPr>
          <w:sz w:val="20"/>
        </w:rPr>
      </w:pPr>
      <w:r>
        <w:rPr>
          <w:sz w:val="20"/>
        </w:rPr>
      </w:r>
    </w:p>
    <w:p>
      <w:pPr>
        <w:pStyle w:val="Heading3"/>
        <w:rPr/>
      </w:pPr>
      <w:bookmarkStart w:id="14" w:name="__RefHeading___Toc505989404"/>
      <w:bookmarkEnd w:id="14"/>
      <w:r>
        <w:rPr/>
        <w:t>Day-Ahead Market</w:t>
      </w:r>
    </w:p>
    <w:p>
      <w:pPr>
        <w:pStyle w:val="Normal"/>
        <w:rPr/>
      </w:pPr>
      <w:r>
        <w:rPr/>
        <w:t>Adjustment Period</w:t>
      </w:r>
    </w:p>
    <w:p>
      <w:pPr>
        <w:pStyle w:val="Normal"/>
        <w:rPr/>
      </w:pPr>
      <w:r>
        <w:rPr/>
      </w:r>
    </w:p>
    <w:p>
      <w:pPr>
        <w:pStyle w:val="Normal"/>
        <w:rPr/>
      </w:pPr>
      <w:r>
        <mc:AlternateContent>
          <mc:Choice Requires="wpg">
            <w:drawing>
              <wp:anchor behindDoc="0" distT="0" distB="0" distL="114935" distR="114935" simplePos="0" locked="0" layoutInCell="1" allowOverlap="1" relativeHeight="155">
                <wp:simplePos x="0" y="0"/>
                <wp:positionH relativeFrom="column">
                  <wp:posOffset>3931920</wp:posOffset>
                </wp:positionH>
                <wp:positionV relativeFrom="paragraph">
                  <wp:posOffset>218440</wp:posOffset>
                </wp:positionV>
                <wp:extent cx="2472055" cy="800735"/>
                <wp:effectExtent l="0" t="0" r="0" b="5715"/>
                <wp:wrapNone/>
                <wp:docPr id="24" name=""/>
                <a:graphic xmlns:a="http://schemas.openxmlformats.org/drawingml/2006/main">
                  <a:graphicData uri="http://schemas.microsoft.com/office/word/2010/wordprocessingGroup">
                    <wpg:wgp>
                      <wpg:cNvGrpSpPr/>
                      <wpg:grpSpPr>
                        <a:xfrm>
                          <a:off x="0" y="0"/>
                          <a:ext cx="2472120" cy="800640"/>
                          <a:chOff x="0" y="0"/>
                          <a:chExt cx="2472120" cy="800640"/>
                        </a:xfrm>
                      </wpg:grpSpPr>
                      <pic:pic xmlns:pic="http://schemas.openxmlformats.org/drawingml/2006/picture">
                        <pic:nvPicPr>
                          <pic:cNvPr id="25" name="" descr=""/>
                          <pic:cNvPicPr/>
                        </pic:nvPicPr>
                        <pic:blipFill>
                          <a:blip r:embed="rId21"/>
                          <a:stretch/>
                        </pic:blipFill>
                        <pic:spPr>
                          <a:xfrm>
                            <a:off x="0" y="0"/>
                            <a:ext cx="2472120" cy="601920"/>
                          </a:xfrm>
                          <a:prstGeom prst="rect">
                            <a:avLst/>
                          </a:prstGeom>
                          <a:noFill/>
                          <a:ln w="0">
                            <a:noFill/>
                          </a:ln>
                        </pic:spPr>
                      </pic:pic>
                      <wps:wsp>
                        <wps:cNvPr id="26" name=""/>
                        <wps:cNvSpPr/>
                        <wps:spPr>
                          <a:xfrm>
                            <a:off x="457200" y="343440"/>
                            <a:ext cx="548640" cy="457200"/>
                          </a:xfrm>
                          <a:prstGeom prst="upArrow">
                            <a:avLst>
                              <a:gd name="adj1" fmla="val 50000"/>
                              <a:gd name="adj2" fmla="val 25000"/>
                            </a:avLst>
                          </a:prstGeom>
                          <a:solidFill>
                            <a:srgbClr val="ff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9.6pt;margin-top:17.2pt;width:194.65pt;height:63.05pt" coordorigin="6192,344" coordsize="3893,1261">
                <v:shape id="shape_0" stroked="f" o:allowincell="f" style="position:absolute;left:6192;top:344;width:3892;height:947;mso-wrap-style:none;v-text-anchor:middle" type="_x0000_t75">
                  <v:imagedata r:id="rId22" o:detectmouseclick="t"/>
                  <v:stroke color="#3465a4" joinstyle="round" endcap="flat"/>
                  <w10:wrap type="none"/>
                </v:shape>
                <v:shape id="shape_0" fillcolor="red" stroked="t" o:allowincell="f" style="position:absolute;left:6912;top:885;width:863;height:719;mso-wrap-style:none;v-text-anchor:middle" type="_x0000_t68">
                  <v:fill o:detectmouseclick="t" type="solid" color2="aqua"/>
                  <v:stroke color="black" weight="9360" joinstyle="miter" endcap="flat"/>
                  <w10:wrap type="none"/>
                </v:shape>
              </v:group>
            </w:pict>
          </mc:Fallback>
        </mc:AlternateContent>
      </w:r>
      <w:r>
        <w:rPr>
          <w:b/>
          <w:sz w:val="20"/>
        </w:rPr>
        <w:t>By 06:00AM</w:t>
      </w:r>
      <w:r>
        <w:rPr>
          <w:sz w:val="20"/>
        </w:rPr>
        <w:t>- ERCOT publishes operational information for the next day that includes:</w:t>
      </w:r>
    </w:p>
    <w:p>
      <w:pPr>
        <w:pStyle w:val="Normal"/>
        <w:rPr>
          <w:sz w:val="20"/>
        </w:rPr>
      </w:pPr>
      <w:r>
        <w:rPr>
          <w:sz w:val="20"/>
        </w:rPr>
      </w:r>
    </w:p>
    <w:p>
      <w:pPr>
        <w:pStyle w:val="Normal"/>
        <w:numPr>
          <w:ilvl w:val="0"/>
          <w:numId w:val="77"/>
        </w:numPr>
        <w:rPr>
          <w:sz w:val="20"/>
        </w:rPr>
      </w:pPr>
      <w:r>
        <w:rPr>
          <w:sz w:val="20"/>
        </w:rPr>
        <w:t>Forecast of hourly load by congestion</w:t>
      </w:r>
      <w:r>
        <w:fldChar w:fldCharType="begin"/>
      </w:r>
      <w:r>
        <w:rPr/>
        <w:instrText xml:space="preserve"> XE "congestion" </w:instrText>
      </w:r>
      <w:r>
        <w:rPr/>
        <w:fldChar w:fldCharType="separate"/>
      </w:r>
      <w:r>
        <w:rPr/>
      </w:r>
      <w:r>
        <w:rPr/>
        <w:fldChar w:fldCharType="end"/>
      </w:r>
      <w:r>
        <w:rPr>
          <w:sz w:val="20"/>
        </w:rPr>
        <w:t xml:space="preserve"> zones.</w:t>
      </w:r>
    </w:p>
    <w:p>
      <w:pPr>
        <w:pStyle w:val="Normal"/>
        <w:numPr>
          <w:ilvl w:val="0"/>
          <w:numId w:val="77"/>
        </w:numPr>
        <w:rPr>
          <w:sz w:val="20"/>
        </w:rPr>
      </w:pPr>
      <w:r>
        <w:rPr>
          <w:sz w:val="20"/>
        </w:rPr>
        <w:t>Transmission and distribution loads</w:t>
      </w:r>
    </w:p>
    <w:p>
      <w:pPr>
        <w:pStyle w:val="Normal"/>
        <w:numPr>
          <w:ilvl w:val="0"/>
          <w:numId w:val="77"/>
        </w:numPr>
        <w:rPr>
          <w:sz w:val="20"/>
        </w:rPr>
      </w:pPr>
      <w:r>
        <w:rPr>
          <w:sz w:val="20"/>
        </w:rPr>
        <w:t>Forecast of hourly system ancillary service requirements.</w:t>
      </w:r>
    </w:p>
    <w:p>
      <w:pPr>
        <w:pStyle w:val="Normal"/>
        <w:numPr>
          <w:ilvl w:val="0"/>
          <w:numId w:val="77"/>
        </w:numPr>
        <w:rPr>
          <w:sz w:val="20"/>
        </w:rPr>
      </w:pPr>
      <w:r>
        <w:rPr>
          <w:sz w:val="20"/>
        </w:rPr>
        <w:t>Allocation of ancillary service obligations for the QSEs</w:t>
      </w:r>
      <w:r>
        <w:fldChar w:fldCharType="begin"/>
      </w:r>
      <w:r>
        <w:rPr/>
        <w:instrText xml:space="preserve"> XE "QSEs" </w:instrText>
      </w:r>
      <w:r>
        <w:rPr/>
        <w:fldChar w:fldCharType="separate"/>
      </w:r>
      <w:r>
        <w:rPr/>
      </w:r>
      <w:r>
        <w:rPr/>
        <w:fldChar w:fldCharType="end"/>
      </w:r>
      <w:r>
        <w:rPr>
          <w:sz w:val="20"/>
        </w:rPr>
        <w:t>, based on historical load share ratios.</w:t>
      </w:r>
    </w:p>
    <w:p>
      <w:pPr>
        <w:pStyle w:val="Normal"/>
        <w:rPr>
          <w:sz w:val="20"/>
        </w:rPr>
      </w:pPr>
      <w:r>
        <w:rPr>
          <w:sz w:val="20"/>
        </w:rPr>
      </w:r>
    </w:p>
    <w:p>
      <w:pPr>
        <w:pStyle w:val="Normal"/>
        <w:rPr/>
      </w:pPr>
      <w:r>
        <w:rPr>
          <w:b/>
          <w:sz w:val="20"/>
        </w:rPr>
        <w:t>By 11:00AM</w:t>
      </w:r>
      <w:r>
        <w:rPr>
          <w:sz w:val="20"/>
        </w:rPr>
        <w:t>- QSEs</w:t>
      </w:r>
      <w:r>
        <w:fldChar w:fldCharType="begin"/>
      </w:r>
      <w:r>
        <w:rPr/>
        <w:instrText xml:space="preserve"> XE "QSEs" </w:instrText>
      </w:r>
      <w:r>
        <w:rPr/>
        <w:fldChar w:fldCharType="separate"/>
      </w:r>
      <w:r>
        <w:rPr/>
      </w:r>
      <w:r>
        <w:rPr/>
        <w:fldChar w:fldCharType="end"/>
      </w:r>
      <w:r>
        <w:rPr>
          <w:sz w:val="20"/>
        </w:rPr>
        <w:t xml:space="preserve"> use the information that ERCOT published to:</w:t>
      </w:r>
    </w:p>
    <w:p>
      <w:pPr>
        <w:pStyle w:val="Normal"/>
        <w:rPr>
          <w:sz w:val="20"/>
        </w:rPr>
      </w:pPr>
      <w:r>
        <w:rPr>
          <w:sz w:val="20"/>
        </w:rPr>
      </w:r>
    </w:p>
    <w:p>
      <w:pPr>
        <w:pStyle w:val="Normal"/>
        <w:numPr>
          <w:ilvl w:val="0"/>
          <w:numId w:val="17"/>
        </w:numPr>
        <w:rPr>
          <w:sz w:val="20"/>
        </w:rPr>
      </w:pPr>
      <w:r>
        <w:rPr>
          <w:sz w:val="20"/>
        </w:rPr>
        <w:t>Submit balanced schedules.</w:t>
      </w:r>
    </w:p>
    <w:p>
      <w:pPr>
        <w:pStyle w:val="Normal"/>
        <w:numPr>
          <w:ilvl w:val="0"/>
          <w:numId w:val="17"/>
        </w:numPr>
        <w:rPr>
          <w:sz w:val="20"/>
        </w:rPr>
      </w:pPr>
      <w:r>
        <w:rPr>
          <w:sz w:val="20"/>
        </w:rPr>
        <w:t>Submit ancillary services</w:t>
      </w:r>
      <w:r>
        <w:fldChar w:fldCharType="begin"/>
      </w:r>
      <w:r>
        <w:rPr/>
        <w:instrText xml:space="preserve"> XE "ancillary services" </w:instrText>
      </w:r>
      <w:r>
        <w:rPr/>
        <w:fldChar w:fldCharType="separate"/>
      </w:r>
      <w:r>
        <w:rPr/>
      </w:r>
      <w:r>
        <w:rPr/>
        <w:fldChar w:fldCharType="end"/>
      </w:r>
      <w:r>
        <w:rPr>
          <w:sz w:val="20"/>
        </w:rPr>
        <w:t xml:space="preserve"> schedules indicating what the QSE will self-arrange.</w:t>
      </w:r>
    </w:p>
    <w:p>
      <w:pPr>
        <w:pStyle w:val="Normal"/>
        <w:rPr>
          <w:sz w:val="20"/>
        </w:rPr>
      </w:pPr>
      <w:r>
        <w:rPr>
          <w:sz w:val="20"/>
        </w:rPr>
      </w:r>
    </w:p>
    <w:p>
      <w:pPr>
        <w:pStyle w:val="Normal"/>
        <w:rPr/>
      </w:pPr>
      <w:r>
        <w:rPr>
          <w:b/>
          <w:sz w:val="20"/>
        </w:rPr>
        <w:t>By 11:15AM</w:t>
      </w:r>
      <w:r>
        <w:rPr>
          <w:sz w:val="20"/>
        </w:rPr>
        <w:t>- ERCOT matches the schedules of all QSEs</w:t>
      </w:r>
      <w:r>
        <w:fldChar w:fldCharType="begin"/>
      </w:r>
      <w:r>
        <w:rPr/>
        <w:instrText xml:space="preserve"> XE "QSEs" </w:instrText>
      </w:r>
      <w:r>
        <w:rPr/>
        <w:fldChar w:fldCharType="separate"/>
      </w:r>
      <w:r>
        <w:rPr/>
      </w:r>
      <w:r>
        <w:rPr/>
        <w:fldChar w:fldCharType="end"/>
      </w:r>
      <w:r>
        <w:rPr>
          <w:sz w:val="20"/>
        </w:rPr>
        <w:t xml:space="preserve"> to verify that inter-QSE trades match. ERCOT also evaluates its Commercially Significant Constraints (CSCs). Specifically ERCOT:</w:t>
      </w:r>
    </w:p>
    <w:p>
      <w:pPr>
        <w:pStyle w:val="Normal"/>
        <w:rPr>
          <w:sz w:val="20"/>
        </w:rPr>
      </w:pPr>
      <w:r>
        <w:rPr>
          <w:sz w:val="20"/>
        </w:rPr>
      </w:r>
    </w:p>
    <w:p>
      <w:pPr>
        <w:pStyle w:val="Normal"/>
        <w:numPr>
          <w:ilvl w:val="0"/>
          <w:numId w:val="35"/>
        </w:numPr>
        <w:rPr>
          <w:sz w:val="20"/>
        </w:rPr>
      </w:pPr>
      <w:r>
        <w:rPr>
          <w:sz w:val="20"/>
        </w:rPr>
        <w:t>Notifies QSEs</w:t>
      </w:r>
      <w:r>
        <w:fldChar w:fldCharType="begin"/>
      </w:r>
      <w:r>
        <w:rPr/>
        <w:instrText xml:space="preserve"> XE "QSEs" </w:instrText>
      </w:r>
      <w:r>
        <w:rPr/>
        <w:fldChar w:fldCharType="separate"/>
      </w:r>
      <w:r>
        <w:rPr/>
      </w:r>
      <w:r>
        <w:rPr/>
        <w:fldChar w:fldCharType="end"/>
      </w:r>
      <w:r>
        <w:rPr>
          <w:sz w:val="20"/>
        </w:rPr>
        <w:t xml:space="preserve"> of mismatched schedules. An example of a mismatched schedule could be when QSE A submits a schedule to deliver energy to QSE B, but QSE B does not submit a corresponding schedule showing the same amount of energy being delivered from QSEA.</w:t>
      </w:r>
    </w:p>
    <w:p>
      <w:pPr>
        <w:pStyle w:val="Normal"/>
        <w:numPr>
          <w:ilvl w:val="0"/>
          <w:numId w:val="35"/>
        </w:numPr>
        <w:rPr>
          <w:sz w:val="20"/>
        </w:rPr>
      </w:pPr>
      <w:r>
        <w:rPr>
          <w:sz w:val="20"/>
        </w:rPr>
        <w:t>Computes total loads based on the aggregate QSE schedules and notifies QSEs of differences between ERCOT’s load forecast and aggregated QSE load schedules.</w:t>
      </w:r>
    </w:p>
    <w:p>
      <w:pPr>
        <w:pStyle w:val="Normal"/>
        <w:numPr>
          <w:ilvl w:val="0"/>
          <w:numId w:val="35"/>
        </w:numPr>
        <w:rPr>
          <w:sz w:val="20"/>
        </w:rPr>
      </w:pPr>
      <w:r>
        <w:rPr>
          <w:sz w:val="20"/>
        </w:rPr>
        <w:t>Evaluates and publishes CSC congestion</w:t>
      </w:r>
      <w:r>
        <w:fldChar w:fldCharType="begin"/>
      </w:r>
      <w:r>
        <w:rPr/>
        <w:instrText xml:space="preserve"> XE "congestion" </w:instrText>
      </w:r>
      <w:r>
        <w:rPr/>
        <w:fldChar w:fldCharType="separate"/>
      </w:r>
      <w:r>
        <w:rPr/>
      </w:r>
      <w:r>
        <w:rPr/>
        <w:fldChar w:fldCharType="end"/>
      </w:r>
      <w:r>
        <w:rPr>
          <w:sz w:val="20"/>
        </w:rPr>
        <w:t xml:space="preserve"> analysis.</w:t>
      </w:r>
    </w:p>
    <w:p>
      <w:pPr>
        <w:pStyle w:val="Normal"/>
        <w:numPr>
          <w:ilvl w:val="0"/>
          <w:numId w:val="35"/>
        </w:numPr>
        <w:rPr>
          <w:sz w:val="20"/>
        </w:rPr>
      </w:pPr>
      <w:r>
        <w:rPr>
          <w:sz w:val="20"/>
        </w:rPr>
        <w:t>Publishes hourly load based on QSE schedules and hourly ERCOT load forecasts.</w:t>
      </w:r>
    </w:p>
    <w:p>
      <w:pPr>
        <w:pStyle w:val="Normal"/>
        <w:rPr>
          <w:sz w:val="20"/>
        </w:rPr>
      </w:pPr>
      <w:r>
        <w:rPr>
          <w:sz w:val="20"/>
        </w:rPr>
      </w:r>
    </w:p>
    <w:p>
      <w:pPr>
        <w:pStyle w:val="Normal"/>
        <w:rPr/>
      </w:pPr>
      <w:r>
        <w:rPr>
          <w:b/>
          <w:sz w:val="20"/>
        </w:rPr>
        <w:t>By 1:00PM</w:t>
      </w:r>
      <w:r>
        <w:rPr>
          <w:sz w:val="20"/>
        </w:rPr>
        <w:t>- QSEs</w:t>
      </w:r>
      <w:r>
        <w:fldChar w:fldCharType="begin"/>
      </w:r>
      <w:r>
        <w:rPr/>
        <w:instrText xml:space="preserve"> XE "QSEs" </w:instrText>
      </w:r>
      <w:r>
        <w:rPr/>
        <w:fldChar w:fldCharType="separate"/>
      </w:r>
      <w:r>
        <w:rPr/>
      </w:r>
      <w:r>
        <w:rPr/>
        <w:fldChar w:fldCharType="end"/>
      </w:r>
      <w:r>
        <w:rPr>
          <w:sz w:val="20"/>
        </w:rPr>
        <w:t xml:space="preserve"> submit adjusted schedules in response to the information that ERCOT published. ERCOT re-evaluates the adjusted schedules by: </w:t>
      </w:r>
    </w:p>
    <w:p>
      <w:pPr>
        <w:pStyle w:val="Style11"/>
        <w:rPr>
          <w:sz w:val="20"/>
        </w:rPr>
      </w:pPr>
      <w:r>
        <w:rPr>
          <w:sz w:val="20"/>
        </w:rPr>
      </w:r>
    </w:p>
    <w:p>
      <w:pPr>
        <w:pStyle w:val="Normal"/>
        <w:numPr>
          <w:ilvl w:val="0"/>
          <w:numId w:val="75"/>
        </w:numPr>
        <w:rPr>
          <w:sz w:val="20"/>
        </w:rPr>
      </w:pPr>
      <w:r>
        <w:rPr>
          <w:sz w:val="20"/>
        </w:rPr>
        <w:t>Checking for matching of adjusted schedules, and notifying QSEs</w:t>
      </w:r>
      <w:r>
        <w:fldChar w:fldCharType="begin"/>
      </w:r>
      <w:r>
        <w:rPr/>
        <w:instrText xml:space="preserve"> XE "QSEs" </w:instrText>
      </w:r>
      <w:r>
        <w:rPr/>
        <w:fldChar w:fldCharType="separate"/>
      </w:r>
      <w:r>
        <w:rPr/>
      </w:r>
      <w:r>
        <w:rPr/>
        <w:fldChar w:fldCharType="end"/>
      </w:r>
      <w:r>
        <w:rPr>
          <w:sz w:val="20"/>
        </w:rPr>
        <w:t xml:space="preserve"> of unmatched schedules. If mismatched schedules are not corrected by the QSEs, ERCOT will adjust the schedules and settle with the QSEs at the market-clearing price for any purchases made on their behalf. </w:t>
      </w:r>
    </w:p>
    <w:p>
      <w:pPr>
        <w:pStyle w:val="Normal"/>
        <w:numPr>
          <w:ilvl w:val="0"/>
          <w:numId w:val="63"/>
        </w:numPr>
        <w:rPr>
          <w:sz w:val="20"/>
        </w:rPr>
      </w:pPr>
      <w:r>
        <w:rPr>
          <w:sz w:val="20"/>
        </w:rPr>
        <w:t>Evaluating CSC congestion</w:t>
      </w:r>
      <w:r>
        <w:fldChar w:fldCharType="begin"/>
      </w:r>
      <w:r>
        <w:rPr/>
        <w:instrText xml:space="preserve"> XE "congestion" </w:instrText>
      </w:r>
      <w:r>
        <w:rPr/>
        <w:fldChar w:fldCharType="separate"/>
      </w:r>
      <w:r>
        <w:rPr/>
      </w:r>
      <w:r>
        <w:rPr/>
        <w:fldChar w:fldCharType="end"/>
      </w:r>
      <w:r>
        <w:rPr>
          <w:sz w:val="20"/>
        </w:rPr>
        <w:t xml:space="preserve"> based on the adjusted schedules. This analysis is done without the resource plan, so ERCOT makes assumptions about the allocation of QSE portfolio schedules to individual</w:t>
      </w:r>
      <w:r>
        <w:fldChar w:fldCharType="begin"/>
      </w:r>
      <w:r>
        <w:rPr/>
        <w:instrText xml:space="preserve"> XE "QSEs" </w:instrText>
      </w:r>
      <w:r>
        <w:rPr/>
        <w:fldChar w:fldCharType="separate"/>
      </w:r>
      <w:r>
        <w:rPr/>
      </w:r>
      <w:r>
        <w:rPr/>
        <w:fldChar w:fldCharType="end"/>
      </w:r>
      <w:r>
        <w:rPr>
          <w:sz w:val="20"/>
        </w:rPr>
        <w:t xml:space="preserve"> resources in order to test for congestion.</w:t>
      </w:r>
    </w:p>
    <w:p>
      <w:pPr>
        <w:pStyle w:val="Style11"/>
        <w:rPr>
          <w:sz w:val="20"/>
        </w:rPr>
      </w:pPr>
      <w:r>
        <w:rPr>
          <w:sz w:val="20"/>
        </w:rPr>
      </w:r>
    </w:p>
    <w:p>
      <w:pPr>
        <w:pStyle w:val="Normal"/>
        <w:rPr/>
      </w:pPr>
      <w:r>
        <w:rPr>
          <w:sz w:val="20"/>
        </w:rPr>
        <w:t>QSEs</w:t>
      </w:r>
      <w:r>
        <w:fldChar w:fldCharType="begin"/>
      </w:r>
      <w:r>
        <w:rPr/>
        <w:instrText xml:space="preserve"> XE "QSEs" </w:instrText>
      </w:r>
      <w:r>
        <w:rPr/>
        <w:fldChar w:fldCharType="separate"/>
      </w:r>
      <w:r>
        <w:rPr/>
      </w:r>
      <w:r>
        <w:rPr/>
        <w:fldChar w:fldCharType="end"/>
      </w:r>
      <w:r>
        <w:rPr>
          <w:sz w:val="20"/>
        </w:rPr>
        <w:t xml:space="preserve"> also submit bids for Regulation-Up and Down, Responsive Reserve</w:t>
      </w:r>
      <w:r>
        <w:fldChar w:fldCharType="begin"/>
      </w:r>
      <w:r>
        <w:rPr/>
        <w:instrText xml:space="preserve"> XE "Responsive Reserve" </w:instrText>
      </w:r>
      <w:r>
        <w:rPr/>
        <w:fldChar w:fldCharType="separate"/>
      </w:r>
      <w:r>
        <w:rPr/>
      </w:r>
      <w:r>
        <w:rPr/>
        <w:fldChar w:fldCharType="end"/>
      </w:r>
      <w:r>
        <w:rPr>
          <w:sz w:val="20"/>
        </w:rPr>
        <w:t>, and Non-Spinning Reserve</w:t>
      </w:r>
      <w:r>
        <w:fldChar w:fldCharType="begin"/>
      </w:r>
      <w:r>
        <w:rPr/>
        <w:instrText xml:space="preserve"> XE "Non-Spinning Reserve" </w:instrText>
      </w:r>
      <w:r>
        <w:rPr/>
        <w:fldChar w:fldCharType="separate"/>
      </w:r>
      <w:r>
        <w:rPr/>
      </w:r>
      <w:r>
        <w:rPr/>
        <w:fldChar w:fldCharType="end"/>
      </w:r>
      <w:r>
        <w:rPr>
          <w:sz w:val="20"/>
        </w:rPr>
        <w:t>.</w:t>
      </w:r>
    </w:p>
    <w:p>
      <w:pPr>
        <w:pStyle w:val="Normal"/>
        <w:rPr>
          <w:sz w:val="20"/>
        </w:rPr>
      </w:pPr>
      <w:r>
        <w:rPr>
          <w:sz w:val="20"/>
        </w:rPr>
        <w:drawing>
          <wp:anchor behindDoc="0" distT="0" distB="0" distL="114935" distR="114935" simplePos="0" locked="0" layoutInCell="0" allowOverlap="1" relativeHeight="170">
            <wp:simplePos x="0" y="0"/>
            <wp:positionH relativeFrom="column">
              <wp:posOffset>4097655</wp:posOffset>
            </wp:positionH>
            <wp:positionV relativeFrom="paragraph">
              <wp:posOffset>13335</wp:posOffset>
            </wp:positionV>
            <wp:extent cx="2301240" cy="6172200"/>
            <wp:effectExtent l="0" t="0" r="0" b="0"/>
            <wp:wrapTopAndBottom/>
            <wp:docPr id="27"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0" descr="" title=""/>
                    <pic:cNvPicPr>
                      <a:picLocks noChangeAspect="1" noChangeArrowheads="1"/>
                    </pic:cNvPicPr>
                  </pic:nvPicPr>
                  <pic:blipFill>
                    <a:blip r:embed="rId23"/>
                    <a:srcRect l="-14" t="-5" r="-14" b="-5"/>
                    <a:stretch>
                      <a:fillRect/>
                    </a:stretch>
                  </pic:blipFill>
                  <pic:spPr bwMode="auto">
                    <a:xfrm>
                      <a:off x="0" y="0"/>
                      <a:ext cx="2301240" cy="6172200"/>
                    </a:xfrm>
                    <a:prstGeom prst="rect">
                      <a:avLst/>
                    </a:prstGeom>
                    <a:noFill/>
                  </pic:spPr>
                </pic:pic>
              </a:graphicData>
            </a:graphic>
          </wp:anchor>
        </w:drawing>
      </w:r>
    </w:p>
    <w:p>
      <w:pPr>
        <w:pStyle w:val="Normal"/>
        <w:rPr/>
      </w:pPr>
      <w:r>
        <w:rPr>
          <w:b/>
          <w:sz w:val="20"/>
        </w:rPr>
        <w:t>By 1:30 PM</w:t>
      </w:r>
      <w:r>
        <w:rPr>
          <w:sz w:val="20"/>
        </w:rPr>
        <w:t>- ERCOT awards ancillary services</w:t>
      </w:r>
      <w:r>
        <w:fldChar w:fldCharType="begin"/>
      </w:r>
      <w:r>
        <w:rPr/>
        <w:instrText xml:space="preserve"> XE "ancillary services" </w:instrText>
      </w:r>
      <w:r>
        <w:rPr/>
        <w:fldChar w:fldCharType="separate"/>
      </w:r>
      <w:r>
        <w:rPr/>
      </w:r>
      <w:r>
        <w:rPr/>
        <w:fldChar w:fldCharType="end"/>
      </w:r>
      <w:r>
        <w:rPr>
          <w:sz w:val="20"/>
        </w:rPr>
        <w:t xml:space="preserve"> bids for Regulation, Responsive and Non-Spinning Reserves.  ERCOT:</w:t>
      </w:r>
    </w:p>
    <w:p>
      <w:pPr>
        <w:pStyle w:val="Normal"/>
        <w:ind w:start="720" w:end="0"/>
        <w:rPr>
          <w:sz w:val="20"/>
        </w:rPr>
      </w:pPr>
      <w:r>
        <w:rPr>
          <w:sz w:val="20"/>
        </w:rPr>
      </w:r>
    </w:p>
    <w:p>
      <w:pPr>
        <w:pStyle w:val="Normal"/>
        <w:numPr>
          <w:ilvl w:val="0"/>
          <w:numId w:val="43"/>
        </w:numPr>
        <w:rPr>
          <w:sz w:val="20"/>
        </w:rPr>
      </w:pPr>
      <w:r>
        <w:rPr>
          <w:sz w:val="20"/>
        </w:rPr>
        <w:t>Computes aggregated amounts of QSE self-arranged services for Regulation-Up and Down, Responsive Reserve</w:t>
      </w:r>
      <w:r>
        <w:fldChar w:fldCharType="begin"/>
      </w:r>
      <w:r>
        <w:rPr/>
        <w:instrText xml:space="preserve"> XE "Responsive Reserve" </w:instrText>
      </w:r>
      <w:r>
        <w:rPr/>
        <w:fldChar w:fldCharType="separate"/>
      </w:r>
      <w:r>
        <w:rPr/>
      </w:r>
      <w:r>
        <w:rPr/>
        <w:fldChar w:fldCharType="end"/>
      </w:r>
      <w:r>
        <w:rPr>
          <w:sz w:val="20"/>
        </w:rPr>
        <w:t>, and Non-Spinning Reserve</w:t>
      </w:r>
      <w:r>
        <w:fldChar w:fldCharType="begin"/>
      </w:r>
      <w:r>
        <w:rPr/>
        <w:instrText xml:space="preserve"> XE "Non-Spinning Reserve" </w:instrText>
      </w:r>
      <w:r>
        <w:rPr/>
        <w:fldChar w:fldCharType="separate"/>
      </w:r>
      <w:r>
        <w:rPr/>
      </w:r>
      <w:r>
        <w:rPr/>
        <w:fldChar w:fldCharType="end"/>
      </w:r>
      <w:r>
        <w:rPr>
          <w:sz w:val="20"/>
        </w:rPr>
        <w:t>.</w:t>
      </w:r>
    </w:p>
    <w:p>
      <w:pPr>
        <w:pStyle w:val="Normal"/>
        <w:numPr>
          <w:ilvl w:val="0"/>
          <w:numId w:val="43"/>
        </w:numPr>
        <w:rPr>
          <w:sz w:val="20"/>
        </w:rPr>
      </w:pPr>
      <w:r>
        <w:rPr>
          <w:sz w:val="20"/>
        </w:rPr>
        <w:t>Determines, for each type of ancillary service, the remaining amount that needs to be procured in the ancillary services</w:t>
      </w:r>
      <w:r>
        <w:fldChar w:fldCharType="begin"/>
      </w:r>
      <w:r>
        <w:rPr/>
        <w:instrText xml:space="preserve"> XE "ancillary services" </w:instrText>
      </w:r>
      <w:r>
        <w:rPr/>
        <w:fldChar w:fldCharType="separate"/>
      </w:r>
      <w:r>
        <w:rPr/>
      </w:r>
      <w:r>
        <w:rPr/>
        <w:fldChar w:fldCharType="end"/>
      </w:r>
      <w:r>
        <w:rPr>
          <w:sz w:val="20"/>
        </w:rPr>
        <w:t xml:space="preserve"> markets.</w:t>
      </w:r>
    </w:p>
    <w:p>
      <w:pPr>
        <w:pStyle w:val="Normal"/>
        <w:numPr>
          <w:ilvl w:val="0"/>
          <w:numId w:val="43"/>
        </w:numPr>
        <w:rPr>
          <w:sz w:val="20"/>
        </w:rPr>
      </w:pPr>
      <w:r>
        <w:rPr>
          <w:sz w:val="20"/>
        </w:rPr>
        <w:t>Clears ancillary services</w:t>
      </w:r>
      <w:r>
        <w:fldChar w:fldCharType="begin"/>
      </w:r>
      <w:r>
        <w:rPr/>
        <w:instrText xml:space="preserve"> XE "ancillary services" </w:instrText>
      </w:r>
      <w:r>
        <w:rPr/>
        <w:fldChar w:fldCharType="separate"/>
      </w:r>
      <w:r>
        <w:rPr/>
      </w:r>
      <w:r>
        <w:rPr/>
        <w:fldChar w:fldCharType="end"/>
      </w:r>
      <w:r>
        <w:rPr>
          <w:sz w:val="20"/>
        </w:rPr>
        <w:t xml:space="preserve"> markets based on the ancillary services bids.  Different types of ancillary services are cleared in the sequential order of:</w:t>
      </w:r>
    </w:p>
    <w:p>
      <w:pPr>
        <w:pStyle w:val="Normal"/>
        <w:numPr>
          <w:ilvl w:val="0"/>
          <w:numId w:val="72"/>
        </w:numPr>
        <w:tabs>
          <w:tab w:val="clear" w:pos="720"/>
          <w:tab w:val="left" w:pos="1080" w:leader="none"/>
        </w:tabs>
        <w:ind w:hanging="360" w:start="1080" w:end="0"/>
        <w:rPr>
          <w:sz w:val="20"/>
        </w:rPr>
      </w:pPr>
      <w:r>
        <w:rPr>
          <w:sz w:val="20"/>
        </w:rPr>
        <w:t>Regulation Down</w:t>
      </w:r>
      <w:r>
        <w:fldChar w:fldCharType="begin"/>
      </w:r>
      <w:r>
        <w:rPr/>
        <w:instrText xml:space="preserve"> XE "Regulation Down" </w:instrText>
      </w:r>
      <w:r>
        <w:rPr/>
        <w:fldChar w:fldCharType="separate"/>
      </w:r>
      <w:r>
        <w:rPr/>
      </w:r>
      <w:r>
        <w:rPr/>
        <w:fldChar w:fldCharType="end"/>
      </w:r>
    </w:p>
    <w:p>
      <w:pPr>
        <w:pStyle w:val="Normal"/>
        <w:numPr>
          <w:ilvl w:val="0"/>
          <w:numId w:val="72"/>
        </w:numPr>
        <w:tabs>
          <w:tab w:val="clear" w:pos="720"/>
          <w:tab w:val="left" w:pos="1080" w:leader="none"/>
        </w:tabs>
        <w:ind w:hanging="360" w:start="1080" w:end="0"/>
        <w:rPr>
          <w:sz w:val="20"/>
        </w:rPr>
      </w:pPr>
      <w:r>
        <w:rPr>
          <w:sz w:val="20"/>
        </w:rPr>
        <w:t>Regulation Up</w:t>
      </w:r>
      <w:r>
        <w:fldChar w:fldCharType="begin"/>
      </w:r>
      <w:r>
        <w:rPr/>
        <w:instrText xml:space="preserve"> XE "Regulation Up" </w:instrText>
      </w:r>
      <w:r>
        <w:rPr/>
        <w:fldChar w:fldCharType="separate"/>
      </w:r>
      <w:r>
        <w:rPr/>
      </w:r>
      <w:r>
        <w:rPr/>
        <w:fldChar w:fldCharType="end"/>
      </w:r>
    </w:p>
    <w:p>
      <w:pPr>
        <w:pStyle w:val="Normal"/>
        <w:numPr>
          <w:ilvl w:val="0"/>
          <w:numId w:val="72"/>
        </w:numPr>
        <w:tabs>
          <w:tab w:val="clear" w:pos="720"/>
          <w:tab w:val="left" w:pos="1080" w:leader="none"/>
        </w:tabs>
        <w:ind w:hanging="360" w:start="1080" w:end="0"/>
        <w:rPr>
          <w:sz w:val="20"/>
        </w:rPr>
      </w:pPr>
      <w:r>
        <w:rPr>
          <w:sz w:val="20"/>
        </w:rPr>
        <w:t>Responsive Reserve</w:t>
      </w:r>
      <w:r>
        <w:fldChar w:fldCharType="begin"/>
      </w:r>
      <w:r>
        <w:rPr/>
        <w:instrText xml:space="preserve"> XE "Responsive Reserve" </w:instrText>
      </w:r>
      <w:r>
        <w:rPr/>
        <w:fldChar w:fldCharType="separate"/>
      </w:r>
      <w:r>
        <w:rPr/>
      </w:r>
      <w:r>
        <w:rPr/>
        <w:fldChar w:fldCharType="end"/>
      </w:r>
    </w:p>
    <w:p>
      <w:pPr>
        <w:pStyle w:val="Normal"/>
        <w:numPr>
          <w:ilvl w:val="0"/>
          <w:numId w:val="72"/>
        </w:numPr>
        <w:tabs>
          <w:tab w:val="clear" w:pos="720"/>
          <w:tab w:val="left" w:pos="1080" w:leader="none"/>
        </w:tabs>
        <w:ind w:hanging="360" w:start="1080" w:end="0"/>
        <w:rPr>
          <w:sz w:val="20"/>
        </w:rPr>
      </w:pPr>
      <w:r>
        <w:rPr>
          <w:sz w:val="20"/>
        </w:rPr>
        <w:t>Non-Spinning Reserve</w:t>
      </w:r>
      <w:r>
        <w:fldChar w:fldCharType="begin"/>
      </w:r>
      <w:r>
        <w:rPr/>
        <w:instrText xml:space="preserve"> XE "Non-Spinning Reserve" </w:instrText>
      </w:r>
      <w:r>
        <w:rPr/>
        <w:fldChar w:fldCharType="separate"/>
      </w:r>
      <w:r>
        <w:rPr/>
      </w:r>
      <w:r>
        <w:rPr/>
        <w:fldChar w:fldCharType="end"/>
      </w:r>
    </w:p>
    <w:p>
      <w:pPr>
        <w:pStyle w:val="Normal"/>
        <w:numPr>
          <w:ilvl w:val="0"/>
          <w:numId w:val="43"/>
        </w:numPr>
        <w:rPr>
          <w:sz w:val="20"/>
        </w:rPr>
      </w:pPr>
      <w:r>
        <w:rPr>
          <w:sz w:val="20"/>
        </w:rPr>
        <w:t>Publishes hourly ancillary services</w:t>
      </w:r>
      <w:r>
        <w:fldChar w:fldCharType="begin"/>
      </w:r>
      <w:r>
        <w:rPr/>
        <w:instrText xml:space="preserve"> XE "ancillary services" </w:instrText>
      </w:r>
      <w:r>
        <w:rPr/>
        <w:fldChar w:fldCharType="separate"/>
      </w:r>
      <w:r>
        <w:rPr/>
      </w:r>
      <w:r>
        <w:rPr/>
        <w:fldChar w:fldCharType="end"/>
      </w:r>
      <w:r>
        <w:rPr>
          <w:sz w:val="20"/>
        </w:rPr>
        <w:t xml:space="preserve"> Market Clearing Prices.</w:t>
      </w:r>
    </w:p>
    <w:p>
      <w:pPr>
        <w:pStyle w:val="Normal"/>
        <w:rPr>
          <w:sz w:val="20"/>
        </w:rPr>
      </w:pPr>
      <w:r>
        <w:rPr>
          <w:sz w:val="20"/>
        </w:rPr>
      </w:r>
    </w:p>
    <w:p>
      <w:pPr>
        <w:pStyle w:val="Normal"/>
        <w:rPr/>
      </w:pPr>
      <w:r>
        <w:rPr>
          <w:sz w:val="20"/>
        </w:rPr>
        <w:t>The methodology described above is used by ERCOT to complete the day-ahead ancillary services</w:t>
      </w:r>
      <w:r>
        <w:fldChar w:fldCharType="begin"/>
      </w:r>
      <w:r>
        <w:rPr/>
        <w:instrText xml:space="preserve"> XE "ancillary services" </w:instrText>
      </w:r>
      <w:r>
        <w:rPr/>
        <w:fldChar w:fldCharType="separate"/>
      </w:r>
      <w:r>
        <w:rPr/>
      </w:r>
      <w:r>
        <w:rPr/>
        <w:fldChar w:fldCharType="end"/>
      </w:r>
      <w:r>
        <w:rPr>
          <w:sz w:val="20"/>
        </w:rPr>
        <w:t xml:space="preserve"> plan by 1:30 PM. As the process moves closer to real-time, changes in both the system and resource plans may require procurement of additional ancillary services to maintain reliability.</w:t>
      </w:r>
    </w:p>
    <w:p>
      <w:pPr>
        <w:pStyle w:val="Normal"/>
        <w:rPr>
          <w:sz w:val="20"/>
        </w:rPr>
      </w:pPr>
      <w:r>
        <w:rPr>
          <w:sz w:val="20"/>
        </w:rPr>
      </w:r>
    </w:p>
    <w:p>
      <w:pPr>
        <w:pStyle w:val="Normal"/>
        <w:ind w:start="1080" w:end="0"/>
        <w:rPr>
          <w:sz w:val="20"/>
        </w:rPr>
      </w:pPr>
      <w:r>
        <w:rPr>
          <w:sz w:val="20"/>
        </w:rPr>
      </w:r>
    </w:p>
    <w:p>
      <w:pPr>
        <w:pStyle w:val="Heading5"/>
        <w:rPr/>
      </w:pPr>
      <w:r>
        <w:rPr>
          <w:sz w:val="20"/>
          <w:u w:val="single"/>
        </w:rPr>
        <w:t>Post-1: 30 PM ancillary services</w:t>
      </w:r>
      <w:r>
        <w:fldChar w:fldCharType="begin"/>
      </w:r>
      <w:r>
        <w:rPr/>
        <w:instrText xml:space="preserve"> XE "ancillary services" </w:instrText>
      </w:r>
      <w:r>
        <w:rPr/>
        <w:fldChar w:fldCharType="separate"/>
      </w:r>
      <w:r>
        <w:rPr/>
      </w:r>
      <w:r>
        <w:rPr/>
        <w:fldChar w:fldCharType="end"/>
      </w:r>
      <w:r>
        <w:rPr>
          <w:sz w:val="20"/>
          <w:u w:val="single"/>
        </w:rPr>
        <w:t xml:space="preserve"> markets</w:t>
      </w:r>
    </w:p>
    <w:p>
      <w:pPr>
        <w:pStyle w:val="Normal"/>
        <w:rPr>
          <w:b/>
          <w:sz w:val="20"/>
          <w:u w:val="single"/>
        </w:rPr>
      </w:pPr>
      <w:r>
        <w:rPr>
          <w:b/>
          <w:sz w:val="20"/>
          <w:u w:val="single"/>
        </w:rPr>
      </w:r>
    </w:p>
    <w:p>
      <w:pPr>
        <w:pStyle w:val="Normal"/>
        <w:rPr/>
      </w:pPr>
      <w:r>
        <w:rPr>
          <w:b/>
          <w:sz w:val="20"/>
        </w:rPr>
        <w:t>By 2:30 PM</w:t>
      </w:r>
      <w:r>
        <w:rPr>
          <w:sz w:val="20"/>
        </w:rPr>
        <w:t>- QSEs</w:t>
      </w:r>
      <w:r>
        <w:fldChar w:fldCharType="begin"/>
      </w:r>
      <w:r>
        <w:rPr/>
        <w:instrText xml:space="preserve"> XE "QSEs" </w:instrText>
      </w:r>
      <w:r>
        <w:rPr/>
        <w:fldChar w:fldCharType="separate"/>
      </w:r>
      <w:r>
        <w:rPr/>
      </w:r>
      <w:r>
        <w:rPr/>
        <w:fldChar w:fldCharType="end"/>
      </w:r>
      <w:r>
        <w:rPr>
          <w:sz w:val="20"/>
        </w:rPr>
        <w:t xml:space="preserve"> submit resource plans, and unit-specific Replacement Reserve bids.  QSEs:</w:t>
      </w:r>
    </w:p>
    <w:p>
      <w:pPr>
        <w:pStyle w:val="Normal"/>
        <w:rPr>
          <w:sz w:val="20"/>
        </w:rPr>
      </w:pPr>
      <w:r>
        <w:rPr>
          <w:sz w:val="20"/>
        </w:rPr>
      </w:r>
    </w:p>
    <w:p>
      <w:pPr>
        <w:pStyle w:val="Normal"/>
        <w:numPr>
          <w:ilvl w:val="0"/>
          <w:numId w:val="25"/>
        </w:numPr>
        <w:rPr>
          <w:sz w:val="20"/>
        </w:rPr>
      </w:pPr>
      <w:r>
        <w:rPr>
          <w:sz w:val="20"/>
        </w:rPr>
        <w:t>Submit hourly unit-specific resource plans.  Each QSE sends ERCOT the resource plan for each resource that the QSE represents.</w:t>
      </w:r>
    </w:p>
    <w:p>
      <w:pPr>
        <w:pStyle w:val="Normal"/>
        <w:numPr>
          <w:ilvl w:val="0"/>
          <w:numId w:val="25"/>
        </w:numPr>
        <w:rPr>
          <w:sz w:val="20"/>
        </w:rPr>
      </w:pPr>
      <w:r>
        <w:rPr>
          <w:sz w:val="20"/>
        </w:rPr>
        <w:t>Submit hourly portfolio of ancillary services</w:t>
      </w:r>
      <w:r>
        <w:fldChar w:fldCharType="begin"/>
      </w:r>
      <w:r>
        <w:rPr/>
        <w:instrText xml:space="preserve"> XE "ancillary services" </w:instrText>
      </w:r>
      <w:r>
        <w:rPr/>
        <w:fldChar w:fldCharType="separate"/>
      </w:r>
      <w:r>
        <w:rPr/>
      </w:r>
      <w:r>
        <w:rPr/>
        <w:fldChar w:fldCharType="end"/>
      </w:r>
      <w:r>
        <w:rPr>
          <w:sz w:val="20"/>
        </w:rPr>
        <w:t xml:space="preserve"> commitments.  Each QSE sends ERCOT the total ancillary services that the QSE has committed to provide.</w:t>
      </w:r>
    </w:p>
    <w:p>
      <w:pPr>
        <w:pStyle w:val="Normal"/>
        <w:numPr>
          <w:ilvl w:val="0"/>
          <w:numId w:val="25"/>
        </w:numPr>
        <w:rPr>
          <w:sz w:val="20"/>
        </w:rPr>
      </w:pPr>
      <w:r>
        <w:rPr>
          <w:sz w:val="20"/>
        </w:rPr>
        <w:t>Submit unit-specific Replacement Reserve bids.</w:t>
      </w:r>
    </w:p>
    <w:p>
      <w:pPr>
        <w:pStyle w:val="Normal"/>
        <w:rPr>
          <w:sz w:val="20"/>
        </w:rPr>
      </w:pPr>
      <w:r>
        <w:rPr>
          <w:sz w:val="20"/>
        </w:rPr>
      </w:r>
    </w:p>
    <w:p>
      <w:pPr>
        <w:pStyle w:val="Normal"/>
        <w:rPr>
          <w:sz w:val="20"/>
        </w:rPr>
      </w:pPr>
      <w:r>
        <w:rPr>
          <w:sz w:val="20"/>
        </w:rPr>
        <w:t>ERCOT:</w:t>
      </w:r>
    </w:p>
    <w:p>
      <w:pPr>
        <w:pStyle w:val="Normal"/>
        <w:rPr>
          <w:sz w:val="20"/>
        </w:rPr>
      </w:pPr>
      <w:r>
        <w:rPr>
          <w:sz w:val="20"/>
        </w:rPr>
      </w:r>
    </w:p>
    <w:p>
      <w:pPr>
        <w:pStyle w:val="Normal"/>
        <w:numPr>
          <w:ilvl w:val="0"/>
          <w:numId w:val="25"/>
        </w:numPr>
        <w:rPr>
          <w:sz w:val="20"/>
        </w:rPr>
      </w:pPr>
      <w:r>
        <w:rPr>
          <w:sz w:val="20"/>
        </w:rPr>
        <w:t>Validates QSE resource plans and ancillary services</w:t>
      </w:r>
      <w:r>
        <w:fldChar w:fldCharType="begin"/>
      </w:r>
      <w:r>
        <w:rPr/>
        <w:instrText xml:space="preserve"> XE "ancillary services" </w:instrText>
      </w:r>
      <w:r>
        <w:rPr/>
        <w:fldChar w:fldCharType="separate"/>
      </w:r>
      <w:r>
        <w:rPr/>
      </w:r>
      <w:r>
        <w:rPr/>
        <w:fldChar w:fldCharType="end"/>
      </w:r>
      <w:r>
        <w:rPr>
          <w:sz w:val="20"/>
        </w:rPr>
        <w:t xml:space="preserve"> commitments against balanced energy schedules.  ERCOT verifies that unit schedules can meet QSE energy and ancillary services obligations, and respect the physical and operating limits of all the units. </w:t>
      </w:r>
    </w:p>
    <w:p>
      <w:pPr>
        <w:pStyle w:val="Normal"/>
        <w:numPr>
          <w:ilvl w:val="0"/>
          <w:numId w:val="25"/>
        </w:numPr>
        <w:rPr>
          <w:sz w:val="20"/>
        </w:rPr>
      </w:pPr>
      <w:r>
        <w:rPr>
          <w:sz w:val="20"/>
        </w:rPr>
        <w:t>Notifies QSE of any discrepancy in total MW values in resource plans and ancillary services</w:t>
      </w:r>
      <w:r>
        <w:fldChar w:fldCharType="begin"/>
      </w:r>
      <w:r>
        <w:rPr/>
        <w:instrText xml:space="preserve"> XE "ancillary services" </w:instrText>
      </w:r>
      <w:r>
        <w:rPr/>
        <w:fldChar w:fldCharType="separate"/>
      </w:r>
      <w:r>
        <w:rPr/>
      </w:r>
      <w:r>
        <w:rPr/>
        <w:fldChar w:fldCharType="end"/>
      </w:r>
      <w:r>
        <w:rPr>
          <w:sz w:val="20"/>
        </w:rPr>
        <w:t xml:space="preserve"> commitments from Day-Ahead balanced schedules.  QSEs</w:t>
      </w:r>
      <w:r>
        <w:fldChar w:fldCharType="begin"/>
      </w:r>
      <w:r>
        <w:rPr/>
        <w:instrText xml:space="preserve"> XE "QSEs" </w:instrText>
      </w:r>
      <w:r>
        <w:rPr/>
        <w:fldChar w:fldCharType="separate"/>
      </w:r>
      <w:r>
        <w:rPr/>
      </w:r>
      <w:r>
        <w:rPr/>
        <w:fldChar w:fldCharType="end"/>
      </w:r>
      <w:r>
        <w:rPr>
          <w:sz w:val="20"/>
        </w:rPr>
        <w:t xml:space="preserve"> are allowed to correct these discrepancies.</w:t>
      </w:r>
    </w:p>
    <w:p>
      <w:pPr>
        <w:pStyle w:val="Normal"/>
        <w:rPr>
          <w:sz w:val="20"/>
        </w:rPr>
      </w:pPr>
      <w:r>
        <w:rPr>
          <w:sz w:val="20"/>
        </w:rPr>
      </w:r>
    </w:p>
    <w:p>
      <w:pPr>
        <w:pStyle w:val="Style11"/>
        <w:rPr/>
      </w:pPr>
      <w:r>
        <w:drawing>
          <wp:anchor behindDoc="0" distT="0" distB="0" distL="114935" distR="114935" simplePos="0" locked="0" layoutInCell="0" allowOverlap="1" relativeHeight="171">
            <wp:simplePos x="0" y="0"/>
            <wp:positionH relativeFrom="column">
              <wp:posOffset>4138295</wp:posOffset>
            </wp:positionH>
            <wp:positionV relativeFrom="paragraph">
              <wp:posOffset>67310</wp:posOffset>
            </wp:positionV>
            <wp:extent cx="2280920" cy="6118225"/>
            <wp:effectExtent l="0" t="0" r="0" b="0"/>
            <wp:wrapTopAndBottom/>
            <wp:docPr id="28"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1" descr="" title=""/>
                    <pic:cNvPicPr>
                      <a:picLocks noChangeAspect="1" noChangeArrowheads="1"/>
                    </pic:cNvPicPr>
                  </pic:nvPicPr>
                  <pic:blipFill>
                    <a:blip r:embed="rId24"/>
                    <a:srcRect l="-14" t="-5" r="-14" b="-5"/>
                    <a:stretch>
                      <a:fillRect/>
                    </a:stretch>
                  </pic:blipFill>
                  <pic:spPr bwMode="auto">
                    <a:xfrm>
                      <a:off x="0" y="0"/>
                      <a:ext cx="2280920" cy="6118225"/>
                    </a:xfrm>
                    <a:prstGeom prst="rect">
                      <a:avLst/>
                    </a:prstGeom>
                    <a:noFill/>
                  </pic:spPr>
                </pic:pic>
              </a:graphicData>
            </a:graphic>
          </wp:anchor>
        </w:drawing>
      </w:r>
      <w:r>
        <w:rPr/>
        <w:t>ERCOT starts to perform security analysis using physical network models and resource plans, for all scheduling intervals in the next calendar day.</w:t>
      </w:r>
    </w:p>
    <w:p>
      <w:pPr>
        <w:pStyle w:val="Style11"/>
        <w:rPr/>
      </w:pPr>
      <w:r>
        <w:rPr/>
      </w:r>
    </w:p>
    <w:p>
      <w:pPr>
        <w:pStyle w:val="Style11"/>
        <w:rPr/>
      </w:pPr>
      <w:r>
        <w:rPr/>
        <w:t>To determine the need for Replacement Reserve bids, ERCOT analyzes simultaneously, for each scheduling interval, the capacity inadequacy, CSC, and Operational Constraint problems.</w:t>
      </w:r>
    </w:p>
    <w:p>
      <w:pPr>
        <w:pStyle w:val="Normal"/>
        <w:ind w:start="1080" w:end="0"/>
        <w:rPr>
          <w:sz w:val="20"/>
        </w:rPr>
      </w:pPr>
      <w:r>
        <w:rPr>
          <w:sz w:val="20"/>
        </w:rPr>
      </w:r>
    </w:p>
    <w:p>
      <w:pPr>
        <w:pStyle w:val="Normal"/>
        <w:rPr/>
      </w:pPr>
      <w:r>
        <w:rPr>
          <w:b/>
          <w:sz w:val="20"/>
        </w:rPr>
        <w:t>By 4:30 PM</w:t>
      </w:r>
      <w:r>
        <w:rPr>
          <w:sz w:val="20"/>
        </w:rPr>
        <w:t>:  Day-Ahead market operation is complete.  ERCOT:</w:t>
      </w:r>
    </w:p>
    <w:p>
      <w:pPr>
        <w:pStyle w:val="Normal"/>
        <w:rPr>
          <w:sz w:val="20"/>
        </w:rPr>
      </w:pPr>
      <w:r>
        <w:rPr>
          <w:sz w:val="20"/>
        </w:rPr>
      </w:r>
    </w:p>
    <w:p>
      <w:pPr>
        <w:pStyle w:val="Normal"/>
        <w:numPr>
          <w:ilvl w:val="0"/>
          <w:numId w:val="55"/>
        </w:numPr>
        <w:rPr>
          <w:sz w:val="20"/>
        </w:rPr>
      </w:pPr>
      <w:r>
        <w:rPr>
          <w:sz w:val="20"/>
        </w:rPr>
        <w:t>Completes procurement of Replacement Reserve for those intervals that have capacity inadequacy, CSC, or Operational Constraint problems.</w:t>
      </w:r>
    </w:p>
    <w:p>
      <w:pPr>
        <w:pStyle w:val="Style11"/>
        <w:numPr>
          <w:ilvl w:val="0"/>
          <w:numId w:val="13"/>
        </w:numPr>
        <w:rPr/>
      </w:pPr>
      <w:r>
        <w:rPr/>
        <w:t>Publishes hourly Replacement Reserve Market Clearing Price by constraint zones.</w:t>
      </w:r>
    </w:p>
    <w:p>
      <w:pPr>
        <w:pStyle w:val="Heading3"/>
        <w:rPr/>
      </w:pPr>
      <w:bookmarkStart w:id="15" w:name="__RefHeading___Toc505989405"/>
      <w:bookmarkEnd w:id="15"/>
      <w:r>
        <w:rPr/>
        <w:t>Adjustment Period</w:t>
      </w:r>
    </w:p>
    <w:p>
      <w:pPr>
        <w:pStyle w:val="Style11"/>
        <w:rPr/>
      </w:pPr>
      <w:r>
        <w:rPr/>
        <w:t>The Adjustment Period starts after the close of the Day-Ahead Market and ends when the Hour-Ahead Period begins. During the Adjustment Period, QSEs</w:t>
      </w:r>
      <w:r>
        <w:fldChar w:fldCharType="begin"/>
      </w:r>
      <w:r>
        <w:rPr/>
        <w:instrText xml:space="preserve"> XE "QSEs" </w:instrText>
      </w:r>
      <w:r>
        <w:rPr/>
        <w:fldChar w:fldCharType="separate"/>
      </w:r>
      <w:r>
        <w:rPr/>
      </w:r>
      <w:r>
        <w:rPr/>
        <w:fldChar w:fldCharType="end"/>
      </w:r>
      <w:r>
        <w:rPr/>
        <w:t xml:space="preserve"> may adjust their energy and ancillary service schedules as well as update their resource plans. QSEs may also submit, remove or adjust their balancing energy and Replacement Reserve bids during the adjustment period.</w:t>
      </w:r>
    </w:p>
    <w:p>
      <w:pPr>
        <w:pStyle w:val="Normal"/>
        <w:rPr>
          <w:sz w:val="20"/>
        </w:rPr>
      </w:pPr>
      <w:r>
        <w:rPr>
          <w:sz w:val="20"/>
        </w:rPr>
      </w:r>
    </w:p>
    <w:p>
      <w:pPr>
        <w:pStyle w:val="Normal"/>
        <w:rPr>
          <w:sz w:val="20"/>
        </w:rPr>
      </w:pPr>
      <w:r>
        <w:rPr>
          <w:sz w:val="20"/>
        </w:rPr>
        <w:t>ERCOT:</w:t>
      </w:r>
    </w:p>
    <w:p>
      <w:pPr>
        <w:pStyle w:val="Normal"/>
        <w:rPr>
          <w:sz w:val="20"/>
        </w:rPr>
      </w:pPr>
      <w:r>
        <w:rPr>
          <w:sz w:val="20"/>
        </w:rPr>
      </w:r>
    </w:p>
    <w:p>
      <w:pPr>
        <w:pStyle w:val="Normal"/>
        <w:numPr>
          <w:ilvl w:val="0"/>
          <w:numId w:val="68"/>
        </w:numPr>
        <w:rPr>
          <w:sz w:val="20"/>
        </w:rPr>
      </w:pPr>
      <w:r>
        <w:rPr>
          <w:sz w:val="20"/>
        </w:rPr>
        <w:t>Verifies that adjusted QSE schedules are balanced and matched.</w:t>
      </w:r>
    </w:p>
    <w:p>
      <w:pPr>
        <w:pStyle w:val="Normal"/>
        <w:numPr>
          <w:ilvl w:val="0"/>
          <w:numId w:val="68"/>
        </w:numPr>
        <w:rPr>
          <w:sz w:val="20"/>
        </w:rPr>
      </w:pPr>
      <w:r>
        <w:rPr>
          <w:sz w:val="20"/>
        </w:rPr>
        <w:t>May perform physical analysis and purchase additional Replacement Reserve to resolve capacity inadequacy, CSC and Operational Constraint problems.</w:t>
      </w:r>
    </w:p>
    <w:p>
      <w:pPr>
        <w:pStyle w:val="Normal"/>
        <w:numPr>
          <w:ilvl w:val="0"/>
          <w:numId w:val="68"/>
        </w:numPr>
        <w:rPr>
          <w:sz w:val="20"/>
        </w:rPr>
      </w:pPr>
      <w:r>
        <w:rPr>
          <w:sz w:val="20"/>
        </w:rPr>
        <w:t>May re-open any Regulation-Up and Down, Responsive Reserve</w:t>
      </w:r>
      <w:r>
        <w:fldChar w:fldCharType="begin"/>
      </w:r>
      <w:r>
        <w:rPr/>
        <w:instrText xml:space="preserve"> XE "Responsive Reserve" </w:instrText>
      </w:r>
      <w:r>
        <w:rPr/>
        <w:fldChar w:fldCharType="separate"/>
      </w:r>
      <w:r>
        <w:rPr/>
      </w:r>
      <w:r>
        <w:rPr/>
        <w:fldChar w:fldCharType="end"/>
      </w:r>
      <w:r>
        <w:rPr>
          <w:sz w:val="20"/>
        </w:rPr>
        <w:t>, Non-Spinning Reserve</w:t>
      </w:r>
      <w:r>
        <w:fldChar w:fldCharType="begin"/>
      </w:r>
      <w:r>
        <w:rPr/>
        <w:instrText xml:space="preserve"> XE "Non-Spinning Reserve" </w:instrText>
      </w:r>
      <w:r>
        <w:rPr/>
        <w:fldChar w:fldCharType="separate"/>
      </w:r>
      <w:r>
        <w:rPr/>
      </w:r>
      <w:r>
        <w:rPr/>
        <w:fldChar w:fldCharType="end"/>
      </w:r>
      <w:r>
        <w:rPr>
          <w:sz w:val="20"/>
        </w:rPr>
        <w:t>, or Replacement Reserve market for any future hours, when ERCOT judges that additional reserves or Replacement Reserve bids are needed to maintain system security for those hours.</w:t>
      </w:r>
    </w:p>
    <w:p>
      <w:pPr>
        <w:pStyle w:val="Normal"/>
        <w:rPr>
          <w:sz w:val="20"/>
        </w:rPr>
      </w:pPr>
      <w:r>
        <w:rPr>
          <w:sz w:val="20"/>
        </w:rPr>
      </w:r>
    </w:p>
    <w:p>
      <w:pPr>
        <w:pStyle w:val="Normal"/>
        <w:rPr>
          <w:sz w:val="20"/>
        </w:rPr>
      </w:pPr>
      <w:r>
        <w:rPr>
          <w:sz w:val="20"/>
        </w:rPr>
        <w:t>During the Adjustment Period ERCOT relies on the same analytical tools it used for Day-Ahead market activities.</w:t>
      </w:r>
    </w:p>
    <w:p>
      <w:pPr>
        <w:pStyle w:val="Heading3"/>
        <w:rPr/>
      </w:pPr>
      <w:bookmarkStart w:id="16" w:name="Operating"/>
      <w:r>
        <w:rPr/>
        <w:t>Operating Period</w:t>
      </w:r>
      <w:bookmarkEnd w:id="16"/>
    </w:p>
    <w:p>
      <w:pPr>
        <w:pStyle w:val="ParaText"/>
        <w:spacing w:lineRule="auto" w:line="240" w:before="0" w:after="0"/>
        <w:jc w:val="start"/>
        <w:rPr>
          <w:rFonts w:ascii="Book Antiqua" w:hAnsi="Book Antiqua" w:cs="Book Antiqua"/>
        </w:rPr>
      </w:pPr>
      <w:r>
        <w:rPr>
          <w:rFonts w:cs="Book Antiqua" w:ascii="Book Antiqua" w:hAnsi="Book Antiqua"/>
        </w:rPr>
        <w:t>The Operating Period includes the Operating hour and the hour prior to Operating hour.  By the end of the adjustment period, ERCOT would have received final bids for up and down balancing energy services.  During the Operating Period, ERCOT:</w:t>
      </w:r>
    </w:p>
    <w:p>
      <w:pPr>
        <w:pStyle w:val="ParaText"/>
        <w:spacing w:lineRule="auto" w:line="240" w:before="0" w:after="0"/>
        <w:jc w:val="start"/>
        <w:rPr>
          <w:rFonts w:ascii="Book Antiqua" w:hAnsi="Book Antiqua" w:cs="Book Antiqua"/>
        </w:rPr>
      </w:pPr>
      <w:r>
        <w:rPr>
          <w:rFonts w:cs="Book Antiqua" w:ascii="Book Antiqua" w:hAnsi="Book Antiqua"/>
        </w:rPr>
      </w:r>
    </w:p>
    <w:p>
      <w:pPr>
        <w:pStyle w:val="Normal"/>
        <w:numPr>
          <w:ilvl w:val="0"/>
          <w:numId w:val="18"/>
        </w:numPr>
        <w:rPr>
          <w:sz w:val="20"/>
        </w:rPr>
      </w:pPr>
      <w:r>
        <w:rPr>
          <w:sz w:val="20"/>
        </w:rPr>
        <w:t>Performs forecast analysis of physical system security based on energy schedules, previously procured ancillary services</w:t>
      </w:r>
      <w:r>
        <w:fldChar w:fldCharType="begin"/>
      </w:r>
      <w:r>
        <w:rPr/>
        <w:instrText xml:space="preserve"> XE "ancillary services" </w:instrText>
      </w:r>
      <w:r>
        <w:rPr/>
        <w:fldChar w:fldCharType="separate"/>
      </w:r>
      <w:r>
        <w:rPr/>
      </w:r>
      <w:r>
        <w:rPr/>
        <w:fldChar w:fldCharType="end"/>
      </w:r>
      <w:r>
        <w:rPr>
          <w:sz w:val="20"/>
        </w:rPr>
        <w:t>, and balancing energy service bids.</w:t>
      </w:r>
    </w:p>
    <w:p>
      <w:pPr>
        <w:pStyle w:val="Normal"/>
        <w:numPr>
          <w:ilvl w:val="0"/>
          <w:numId w:val="49"/>
        </w:numPr>
        <w:rPr>
          <w:sz w:val="20"/>
        </w:rPr>
      </w:pPr>
      <w:r>
        <w:rPr>
          <w:sz w:val="20"/>
        </w:rPr>
        <w:t>Creates the merit order bid stack for balancing energy for each zone, based on the bids provided.</w:t>
      </w:r>
    </w:p>
    <w:p>
      <w:pPr>
        <w:pStyle w:val="BodyTextIndent"/>
        <w:ind w:start="0" w:end="0"/>
        <w:jc w:val="start"/>
        <w:rPr>
          <w:rFonts w:ascii="Book Antiqua" w:hAnsi="Book Antiqua" w:cs="Book Antiqua"/>
          <w:sz w:val="20"/>
        </w:rPr>
      </w:pPr>
      <w:r>
        <w:rPr>
          <w:rFonts w:cs="Book Antiqua" w:ascii="Book Antiqua" w:hAnsi="Book Antiqua"/>
          <w:sz w:val="20"/>
        </w:rPr>
      </w:r>
    </w:p>
    <w:p>
      <w:pPr>
        <w:pStyle w:val="Normal"/>
        <w:numPr>
          <w:ilvl w:val="0"/>
          <w:numId w:val="49"/>
        </w:numPr>
        <w:rPr>
          <w:sz w:val="20"/>
        </w:rPr>
      </w:pPr>
      <w:r>
        <w:rPr>
          <w:sz w:val="20"/>
        </w:rPr>
        <w:t>Procures balancing energy service bids to balance resources and loads, and resolve congestion</w:t>
      </w:r>
      <w:r>
        <w:fldChar w:fldCharType="begin"/>
      </w:r>
      <w:r>
        <w:rPr/>
        <w:instrText xml:space="preserve"> XE "congestion" </w:instrText>
      </w:r>
      <w:r>
        <w:rPr/>
        <w:fldChar w:fldCharType="separate"/>
      </w:r>
      <w:r>
        <w:rPr/>
      </w:r>
      <w:r>
        <w:rPr/>
        <w:fldChar w:fldCharType="end"/>
      </w:r>
      <w:r>
        <w:rPr>
          <w:sz w:val="20"/>
        </w:rPr>
        <w:t xml:space="preserve"> and Communicates awarded balancing energy service bid megawatt values to QSEs</w:t>
      </w:r>
      <w:r>
        <w:fldChar w:fldCharType="begin"/>
      </w:r>
      <w:r>
        <w:rPr/>
        <w:instrText xml:space="preserve"> XE "QSEs" </w:instrText>
      </w:r>
      <w:r>
        <w:rPr/>
        <w:fldChar w:fldCharType="separate"/>
      </w:r>
      <w:r>
        <w:rPr/>
      </w:r>
      <w:r>
        <w:rPr/>
        <w:fldChar w:fldCharType="end"/>
      </w:r>
      <w:r>
        <w:rPr>
          <w:sz w:val="20"/>
        </w:rPr>
        <w:t>.</w:t>
      </w:r>
      <w:r>
        <w:rPr>
          <w:rStyle w:val="FootnoteCharacters"/>
          <w:rStyle w:val="FootnoteReference"/>
          <w:sz w:val="20"/>
        </w:rPr>
        <w:footnoteReference w:id="11"/>
      </w:r>
    </w:p>
    <w:p>
      <w:pPr>
        <w:pStyle w:val="Normal"/>
        <w:numPr>
          <w:ilvl w:val="0"/>
          <w:numId w:val="49"/>
        </w:numPr>
        <w:rPr>
          <w:sz w:val="20"/>
        </w:rPr>
      </w:pPr>
      <w:r>
        <w:rPr>
          <w:sz w:val="20"/>
        </w:rPr>
        <w:t>Provides real-time information to QSEs</w:t>
      </w:r>
      <w:r>
        <w:fldChar w:fldCharType="begin"/>
      </w:r>
      <w:r>
        <w:rPr/>
        <w:instrText xml:space="preserve"> XE "QSEs" </w:instrText>
      </w:r>
      <w:r>
        <w:rPr/>
        <w:fldChar w:fldCharType="separate"/>
      </w:r>
      <w:r>
        <w:rPr/>
      </w:r>
      <w:r>
        <w:rPr/>
        <w:fldChar w:fldCharType="end"/>
      </w:r>
      <w:r>
        <w:rPr>
          <w:sz w:val="20"/>
        </w:rPr>
        <w:t xml:space="preserve"> about the market-clearing price of units being deployed.</w:t>
      </w:r>
    </w:p>
    <w:p>
      <w:pPr>
        <w:pStyle w:val="Normal"/>
        <w:rPr>
          <w:sz w:val="20"/>
        </w:rPr>
      </w:pPr>
      <w:r>
        <w:rPr>
          <w:sz w:val="20"/>
        </w:rPr>
      </w:r>
    </w:p>
    <w:p>
      <w:pPr>
        <w:pStyle w:val="Heading2"/>
        <w:rPr/>
      </w:pPr>
      <w:bookmarkStart w:id="17" w:name="__RefHeading___Toc505989407"/>
      <w:bookmarkEnd w:id="17"/>
      <w:r>
        <w:rPr/>
        <w:t>4D. Power Operations Process</w:t>
      </w:r>
    </w:p>
    <w:p>
      <w:pPr>
        <w:pStyle w:val="Style11"/>
        <w:rPr/>
      </w:pPr>
      <w:r>
        <w:rPr/>
        <w:t>The power operations process runs continuously as power flows, to ensure reliability of the grid. ERCOT:</w:t>
      </w:r>
    </w:p>
    <w:p>
      <w:pPr>
        <w:pStyle w:val="Style11"/>
        <w:rPr>
          <w:lang w:val="en-CA" w:eastAsia="en-CA"/>
        </w:rPr>
      </w:pPr>
      <w:r>
        <w:rPr>
          <w:lang w:val="en-CA" w:eastAsia="en-CA"/>
        </w:rPr>
        <mc:AlternateContent>
          <mc:Choice Requires="wpg">
            <w:drawing>
              <wp:anchor behindDoc="0" distT="0" distB="0" distL="114935" distR="114935" simplePos="0" locked="0" layoutInCell="1" allowOverlap="1" relativeHeight="164">
                <wp:simplePos x="0" y="0"/>
                <wp:positionH relativeFrom="column">
                  <wp:posOffset>3931920</wp:posOffset>
                </wp:positionH>
                <wp:positionV relativeFrom="paragraph">
                  <wp:posOffset>41910</wp:posOffset>
                </wp:positionV>
                <wp:extent cx="2472055" cy="782955"/>
                <wp:effectExtent l="0" t="0" r="0" b="5715"/>
                <wp:wrapNone/>
                <wp:docPr id="29" name=""/>
                <a:graphic xmlns:a="http://schemas.openxmlformats.org/drawingml/2006/main">
                  <a:graphicData uri="http://schemas.microsoft.com/office/word/2010/wordprocessingGroup">
                    <wpg:wgp>
                      <wpg:cNvGrpSpPr/>
                      <wpg:grpSpPr>
                        <a:xfrm>
                          <a:off x="0" y="0"/>
                          <a:ext cx="2472120" cy="783000"/>
                          <a:chOff x="0" y="0"/>
                          <a:chExt cx="2472120" cy="783000"/>
                        </a:xfrm>
                      </wpg:grpSpPr>
                      <pic:pic xmlns:pic="http://schemas.openxmlformats.org/drawingml/2006/picture">
                        <pic:nvPicPr>
                          <pic:cNvPr id="30" name="" descr=""/>
                          <pic:cNvPicPr/>
                        </pic:nvPicPr>
                        <pic:blipFill>
                          <a:blip r:embed="rId25"/>
                          <a:stretch/>
                        </pic:blipFill>
                        <pic:spPr>
                          <a:xfrm>
                            <a:off x="0" y="0"/>
                            <a:ext cx="2472120" cy="601920"/>
                          </a:xfrm>
                          <a:prstGeom prst="rect">
                            <a:avLst/>
                          </a:prstGeom>
                          <a:noFill/>
                          <a:ln w="0">
                            <a:noFill/>
                          </a:ln>
                        </pic:spPr>
                      </pic:pic>
                      <wps:wsp>
                        <wps:cNvPr id="31" name=""/>
                        <wps:cNvSpPr/>
                        <wps:spPr>
                          <a:xfrm>
                            <a:off x="906840" y="325800"/>
                            <a:ext cx="548640" cy="457200"/>
                          </a:xfrm>
                          <a:prstGeom prst="upArrow">
                            <a:avLst>
                              <a:gd name="adj1" fmla="val 50000"/>
                              <a:gd name="adj2" fmla="val 25000"/>
                            </a:avLst>
                          </a:prstGeom>
                          <a:solidFill>
                            <a:srgbClr val="ff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9.6pt;margin-top:3.3pt;width:194.65pt;height:61.65pt" coordorigin="6192,66" coordsize="3893,1233">
                <v:shape id="shape_0" stroked="f" o:allowincell="f" style="position:absolute;left:6192;top:66;width:3892;height:947;mso-wrap-style:none;v-text-anchor:middle" type="_x0000_t75">
                  <v:imagedata r:id="rId26" o:detectmouseclick="t"/>
                  <v:stroke color="#3465a4" joinstyle="round" endcap="flat"/>
                  <w10:wrap type="none"/>
                </v:shape>
                <v:shape id="shape_0" fillcolor="red" stroked="t" o:allowincell="f" style="position:absolute;left:7620;top:579;width:863;height:719;mso-wrap-style:none;v-text-anchor:middle" type="_x0000_t68">
                  <v:fill o:detectmouseclick="t" type="solid" color2="aqua"/>
                  <v:stroke color="black" weight="9360" joinstyle="miter" endcap="flat"/>
                  <w10:wrap type="none"/>
                </v:shape>
              </v:group>
            </w:pict>
          </mc:Fallback>
        </mc:AlternateContent>
      </w:r>
    </w:p>
    <w:p>
      <w:pPr>
        <w:pStyle w:val="Normal"/>
        <w:numPr>
          <w:ilvl w:val="0"/>
          <w:numId w:val="49"/>
        </w:numPr>
        <w:rPr>
          <w:sz w:val="20"/>
        </w:rPr>
      </w:pPr>
      <w:r>
        <mc:AlternateContent>
          <mc:Choice Requires="wps">
            <w:drawing>
              <wp:anchor behindDoc="0" distT="0" distB="0" distL="114935" distR="114935" simplePos="0" locked="0" layoutInCell="1" allowOverlap="1" relativeHeight="151">
                <wp:simplePos x="0" y="0"/>
                <wp:positionH relativeFrom="column">
                  <wp:posOffset>-1737360</wp:posOffset>
                </wp:positionH>
                <wp:positionV relativeFrom="paragraph">
                  <wp:posOffset>99060</wp:posOffset>
                </wp:positionV>
                <wp:extent cx="548640" cy="457200"/>
                <wp:effectExtent l="24130" t="5715" r="24765" b="5715"/>
                <wp:wrapNone/>
                <wp:docPr id="32" name=""/>
                <a:graphic xmlns:a="http://schemas.openxmlformats.org/drawingml/2006/main">
                  <a:graphicData uri="http://schemas.microsoft.com/office/word/2010/wordprocessingShape">
                    <wps:wsp>
                      <wps:cNvSpPr/>
                      <wps:spPr>
                        <a:xfrm>
                          <a:off x="0" y="0"/>
                          <a:ext cx="548640" cy="457200"/>
                        </a:xfrm>
                        <a:prstGeom prst="upArrow">
                          <a:avLst>
                            <a:gd name="adj1" fmla="val 50000"/>
                            <a:gd name="adj2" fmla="val 25000"/>
                          </a:avLst>
                        </a:prstGeom>
                        <a:solidFill>
                          <a:srgbClr val="ff0000"/>
                        </a:solidFill>
                        <a:ln w="9360">
                          <a:solidFill>
                            <a:srgbClr val="000000"/>
                          </a:solidFill>
                          <a:miter/>
                        </a:ln>
                      </wps:spPr>
                      <wps:style>
                        <a:lnRef idx="0"/>
                        <a:fillRef idx="0"/>
                        <a:effectRef idx="0"/>
                        <a:fontRef idx="minor"/>
                      </wps:style>
                      <wps:bodyPr/>
                    </wps:wsp>
                  </a:graphicData>
                </a:graphic>
              </wp:anchor>
            </w:drawing>
          </mc:Choice>
          <mc:Fallback>
            <w:pict>
              <v:shape id="shape_0" fillcolor="red" stroked="t" o:allowincell="f" style="position:absolute;margin-left:-136.8pt;margin-top:7.8pt;width:43.15pt;height:35.95pt;mso-wrap-style:none;v-text-anchor:middle" type="_x0000_t68">
                <v:fill o:detectmouseclick="t" type="solid" color2="aqua"/>
                <v:stroke color="black" weight="9360" joinstyle="miter" endcap="flat"/>
                <w10:wrap type="none"/>
              </v:shape>
            </w:pict>
          </mc:Fallback>
        </mc:AlternateContent>
      </w:r>
      <w:r>
        <w:rPr>
          <w:sz w:val="20"/>
        </w:rPr>
        <w:t>Operates the power grid in accordance with market rules.</w:t>
      </w:r>
    </w:p>
    <w:p>
      <w:pPr>
        <w:pStyle w:val="Normal"/>
        <w:numPr>
          <w:ilvl w:val="0"/>
          <w:numId w:val="49"/>
        </w:numPr>
        <w:rPr>
          <w:sz w:val="20"/>
        </w:rPr>
      </w:pPr>
      <w:r>
        <w:rPr>
          <w:sz w:val="20"/>
        </w:rPr>
        <w:t>Monitors all network generators and bulk transmission line loading and voltage, as well as the current status of all network generators and bulk transmission facilities.</w:t>
      </w:r>
    </w:p>
    <w:p>
      <w:pPr>
        <w:pStyle w:val="Normal"/>
        <w:numPr>
          <w:ilvl w:val="0"/>
          <w:numId w:val="49"/>
        </w:numPr>
        <w:rPr>
          <w:sz w:val="20"/>
        </w:rPr>
      </w:pPr>
      <w:r>
        <w:rPr>
          <w:sz w:val="20"/>
        </w:rPr>
        <w:t>Manages frequency through deployment of Regulation, balancing energy or deployment of other ancillary services</w:t>
      </w:r>
      <w:r>
        <w:fldChar w:fldCharType="begin"/>
      </w:r>
      <w:r>
        <w:rPr/>
        <w:instrText xml:space="preserve"> XE "ancillary services" </w:instrText>
      </w:r>
      <w:r>
        <w:rPr/>
        <w:fldChar w:fldCharType="separate"/>
      </w:r>
      <w:r>
        <w:rPr/>
      </w:r>
      <w:r>
        <w:rPr/>
        <w:fldChar w:fldCharType="end"/>
      </w:r>
      <w:r>
        <w:rPr>
          <w:sz w:val="20"/>
        </w:rPr>
        <w:t>.</w:t>
      </w:r>
      <w:r>
        <w:rPr/>
        <w:t xml:space="preserve"> </w:t>
      </w:r>
    </w:p>
    <w:p>
      <w:pPr>
        <w:pStyle w:val="Normal"/>
        <w:rPr>
          <w:sz w:val="20"/>
        </w:rPr>
      </w:pPr>
      <w:r>
        <w:rPr>
          <w:sz w:val="20"/>
        </w:rPr>
      </w:r>
    </w:p>
    <w:p>
      <w:pPr>
        <w:pStyle w:val="Normal"/>
        <w:rPr>
          <w:sz w:val="20"/>
        </w:rPr>
      </w:pPr>
      <w:r>
        <w:rPr>
          <w:sz w:val="20"/>
        </w:rPr>
        <w:t xml:space="preserve">An Energy Management System that is configured for the ERCOT region enables the power operations process.  </w:t>
      </w:r>
    </w:p>
    <w:p>
      <w:pPr>
        <w:pStyle w:val="Normal"/>
        <w:rPr>
          <w:sz w:val="20"/>
        </w:rPr>
      </w:pPr>
      <w:r>
        <w:rPr>
          <w:sz w:val="20"/>
        </w:rPr>
      </w:r>
    </w:p>
    <w:p>
      <w:pPr>
        <w:pStyle w:val="Normal"/>
        <w:rPr/>
      </w:pPr>
      <w:r>
        <w:rPr>
          <w:sz w:val="20"/>
        </w:rPr>
        <w:t>ERCOT performs an analysis of reliability every 2-4 seconds. The Energy Management System is essential for maintaining system reliability, and frequency at 60 Hertz. Deviations from this frequency are detected by the system, which then sends requests for small increases or decreases in generation to QSEs</w:t>
      </w:r>
      <w:r>
        <w:fldChar w:fldCharType="begin"/>
      </w:r>
      <w:r>
        <w:rPr/>
        <w:instrText xml:space="preserve"> XE "QSEs" </w:instrText>
      </w:r>
      <w:r>
        <w:rPr/>
        <w:fldChar w:fldCharType="separate"/>
      </w:r>
      <w:r>
        <w:rPr/>
      </w:r>
      <w:r>
        <w:rPr/>
        <w:fldChar w:fldCharType="end"/>
      </w:r>
      <w:r>
        <w:rPr>
          <w:sz w:val="20"/>
        </w:rPr>
        <w:t xml:space="preserve">. </w:t>
      </w:r>
    </w:p>
    <w:p>
      <w:pPr>
        <w:pStyle w:val="Normal"/>
        <w:rPr>
          <w:sz w:val="20"/>
        </w:rPr>
      </w:pPr>
      <w:r>
        <w:rPr>
          <w:sz w:val="20"/>
        </w:rPr>
      </w:r>
    </w:p>
    <w:p>
      <w:pPr>
        <w:pStyle w:val="Normal"/>
        <w:rPr/>
      </w:pPr>
      <w:r>
        <w:rPr>
          <w:sz w:val="20"/>
        </w:rPr>
        <w:t>The energy management systems used by the QSEs</w:t>
      </w:r>
      <w:r>
        <w:fldChar w:fldCharType="begin"/>
      </w:r>
      <w:r>
        <w:rPr/>
        <w:instrText xml:space="preserve"> XE "QSEs" </w:instrText>
      </w:r>
      <w:r>
        <w:rPr/>
        <w:fldChar w:fldCharType="separate"/>
      </w:r>
      <w:r>
        <w:rPr/>
      </w:r>
      <w:r>
        <w:rPr/>
        <w:fldChar w:fldCharType="end"/>
      </w:r>
      <w:r>
        <w:rPr>
          <w:sz w:val="20"/>
        </w:rPr>
        <w:t xml:space="preserve"> to control their generation resources respond to ERCOT signals and provide the increases and decreases in output, which are required to restore system frequency.</w:t>
      </w:r>
    </w:p>
    <w:p>
      <w:pPr>
        <w:pStyle w:val="Normal"/>
        <w:rPr>
          <w:sz w:val="20"/>
        </w:rPr>
      </w:pPr>
      <w:r>
        <w:rPr>
          <w:sz w:val="20"/>
        </w:rPr>
      </w:r>
    </w:p>
    <w:p>
      <w:pPr>
        <w:pStyle w:val="Normal"/>
        <w:rPr>
          <w:sz w:val="20"/>
        </w:rPr>
      </w:pPr>
      <w:r>
        <w:rPr>
          <w:sz w:val="20"/>
        </w:rPr>
        <w:t>The power operations process also includes a series of activities to ensure system reliability in the longer term. ERCOT analyzes the changing energy consumption patterns of the ERCOT region and provides load forecasts several years into the future. Market participants and the Public Utility Commission of Texas (PUCT) use this data to evaluate the need for transmission and generation construction projects for additional capacity or relief of transmission constraints.</w:t>
      </w:r>
    </w:p>
    <w:p>
      <w:pPr>
        <w:pStyle w:val="Normal"/>
        <w:rPr>
          <w:rFonts w:eastAsia="Book Antiqua"/>
          <w:sz w:val="20"/>
        </w:rPr>
      </w:pPr>
      <w:r>
        <w:rPr>
          <w:rFonts w:eastAsia="Book Antiqua"/>
          <w:sz w:val="20"/>
        </w:rPr>
        <w:t xml:space="preserve"> </w:t>
      </w:r>
    </w:p>
    <w:p>
      <w:pPr>
        <w:pStyle w:val="Heading2"/>
        <w:rPr/>
      </w:pPr>
      <w:bookmarkStart w:id="18" w:name="__RefHeading___Toc505989408"/>
      <w:bookmarkEnd w:id="18"/>
      <w:r>
        <w:rPr/>
        <w:t>4E. Load Profiling</w:t>
      </w:r>
      <w:r>
        <w:fldChar w:fldCharType="begin"/>
      </w:r>
      <w:r>
        <w:rPr/>
        <w:instrText xml:space="preserve"> XE "Profiling" </w:instrText>
      </w:r>
      <w:r>
        <w:rPr/>
        <w:fldChar w:fldCharType="separate"/>
      </w:r>
      <w:r>
        <w:rPr/>
      </w:r>
      <w:r>
        <w:rPr/>
        <w:fldChar w:fldCharType="end"/>
      </w:r>
      <w:r>
        <w:rPr/>
        <w:t>, Data Acquisition</w:t>
      </w:r>
      <w:r>
        <w:fldChar w:fldCharType="begin"/>
      </w:r>
      <w:r>
        <w:rPr/>
        <w:instrText xml:space="preserve"> XE "Data Acquisition" </w:instrText>
      </w:r>
      <w:r>
        <w:rPr/>
        <w:fldChar w:fldCharType="separate"/>
      </w:r>
      <w:r>
        <w:rPr/>
      </w:r>
      <w:r>
        <w:rPr/>
        <w:fldChar w:fldCharType="end"/>
      </w:r>
      <w:r>
        <w:rPr/>
        <w:t>, and Data Aggregation</w:t>
      </w:r>
      <w:r>
        <w:fldChar w:fldCharType="begin"/>
      </w:r>
      <w:r>
        <w:rPr/>
        <w:instrText xml:space="preserve"> XE "Aggregation" </w:instrText>
      </w:r>
      <w:r>
        <w:rPr/>
        <w:fldChar w:fldCharType="separate"/>
      </w:r>
      <w:r>
        <w:rPr/>
      </w:r>
      <w:r>
        <w:rPr/>
        <w:fldChar w:fldCharType="end"/>
      </w:r>
      <w:r>
        <w:rPr/>
        <w:t xml:space="preserve"> Process</w:t>
      </w:r>
    </w:p>
    <w:p>
      <w:pPr>
        <w:pStyle w:val="CommentText"/>
        <w:rPr/>
      </w:pPr>
      <w:r>
        <w:rPr/>
        <w:drawing>
          <wp:anchor behindDoc="0" distT="0" distB="0" distL="114935" distR="114935" simplePos="0" locked="0" layoutInCell="0" allowOverlap="1" relativeHeight="172">
            <wp:simplePos x="0" y="0"/>
            <wp:positionH relativeFrom="column">
              <wp:posOffset>0</wp:posOffset>
            </wp:positionH>
            <wp:positionV relativeFrom="paragraph">
              <wp:posOffset>635</wp:posOffset>
            </wp:positionV>
            <wp:extent cx="5483225" cy="3052445"/>
            <wp:effectExtent l="0" t="0" r="0" b="0"/>
            <wp:wrapTopAndBottom/>
            <wp:docPr id="33"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2" descr="" title=""/>
                    <pic:cNvPicPr>
                      <a:picLocks noChangeAspect="1" noChangeArrowheads="1"/>
                    </pic:cNvPicPr>
                  </pic:nvPicPr>
                  <pic:blipFill>
                    <a:blip r:embed="rId27"/>
                    <a:srcRect l="-7" t="-12" r="-7" b="-12"/>
                    <a:stretch>
                      <a:fillRect/>
                    </a:stretch>
                  </pic:blipFill>
                  <pic:spPr bwMode="auto">
                    <a:xfrm>
                      <a:off x="0" y="0"/>
                      <a:ext cx="5483225" cy="3052445"/>
                    </a:xfrm>
                    <a:prstGeom prst="rect">
                      <a:avLst/>
                    </a:prstGeom>
                    <a:noFill/>
                  </pic:spPr>
                </pic:pic>
              </a:graphicData>
            </a:graphic>
          </wp:anchor>
        </w:drawing>
      </w:r>
    </w:p>
    <w:p>
      <w:pPr>
        <w:pStyle w:val="CommentText"/>
        <w:rPr/>
      </w:pPr>
      <w:r>
        <w:drawing>
          <wp:anchor behindDoc="0" distT="0" distB="0" distL="114935" distR="114935" simplePos="0" locked="0" layoutInCell="1" allowOverlap="1" relativeHeight="160">
            <wp:simplePos x="0" y="0"/>
            <wp:positionH relativeFrom="column">
              <wp:posOffset>3931920</wp:posOffset>
            </wp:positionH>
            <wp:positionV relativeFrom="paragraph">
              <wp:posOffset>727075</wp:posOffset>
            </wp:positionV>
            <wp:extent cx="2465705" cy="817245"/>
            <wp:effectExtent l="0" t="0" r="0" b="0"/>
            <wp:wrapNone/>
            <wp:docPr id="34"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 descr="" title=""/>
                    <pic:cNvPicPr>
                      <a:picLocks noChangeAspect="1" noChangeArrowheads="1"/>
                    </pic:cNvPicPr>
                  </pic:nvPicPr>
                  <pic:blipFill>
                    <a:blip r:embed="rId28"/>
                    <a:srcRect l="-15" t="-44" r="-15" b="-44"/>
                    <a:stretch>
                      <a:fillRect/>
                    </a:stretch>
                  </pic:blipFill>
                  <pic:spPr bwMode="auto">
                    <a:xfrm>
                      <a:off x="0" y="0"/>
                      <a:ext cx="2465705" cy="817245"/>
                    </a:xfrm>
                    <a:prstGeom prst="rect">
                      <a:avLst/>
                    </a:prstGeom>
                    <a:noFill/>
                  </pic:spPr>
                </pic:pic>
              </a:graphicData>
            </a:graphic>
          </wp:anchor>
        </w:drawing>
      </w:r>
      <w:r>
        <w:rPr/>
        <w:t xml:space="preserve">This section introduces load profiling, data acquisition and aggregation. </w:t>
      </w:r>
    </w:p>
    <w:p>
      <w:pPr>
        <w:pStyle w:val="CommentText"/>
        <w:rPr/>
      </w:pPr>
      <w:r>
        <w:rPr/>
      </w:r>
    </w:p>
    <w:p>
      <w:pPr>
        <w:pStyle w:val="CommentText"/>
        <w:rPr/>
      </w:pPr>
      <w:r>
        <w:rPr/>
        <w:t>Data acquisition is the process of receiving and processing energy consumption and production data from TDSPs. It also supports the retrieving, validating, editing and estimating of energy production and consumption data from ERCOT polled settlement meter points. This process provides the necessary meter data for the ERCOT data aggregation process.</w:t>
      </w:r>
    </w:p>
    <w:p>
      <w:pPr>
        <w:pStyle w:val="CommentText"/>
        <w:rPr/>
      </w:pPr>
      <w:r>
        <w:rPr/>
      </w:r>
    </w:p>
    <w:p>
      <w:pPr>
        <w:pStyle w:val="CommentText"/>
        <w:rPr/>
      </w:pPr>
      <w:r>
        <w:rPr/>
        <w:t>Data Aggregation is the process of:</w:t>
      </w:r>
    </w:p>
    <w:p>
      <w:pPr>
        <w:pStyle w:val="CommentText"/>
        <w:numPr>
          <w:ilvl w:val="0"/>
          <w:numId w:val="52"/>
        </w:numPr>
        <w:rPr/>
      </w:pPr>
      <w:r>
        <w:rPr/>
        <w:t>Receiving, retrieving and estimating energy production and consumption data from all points within ERCOT.</w:t>
      </w:r>
    </w:p>
    <w:p>
      <w:pPr>
        <w:pStyle w:val="CommentText"/>
        <w:numPr>
          <w:ilvl w:val="0"/>
          <w:numId w:val="52"/>
        </w:numPr>
        <w:rPr/>
      </w:pPr>
      <w:r>
        <w:rPr/>
        <w:t>Grouping the data by responsible entity.</w:t>
      </w:r>
    </w:p>
    <w:p>
      <w:pPr>
        <w:pStyle w:val="CommentText"/>
        <w:numPr>
          <w:ilvl w:val="0"/>
          <w:numId w:val="52"/>
        </w:numPr>
        <w:rPr/>
      </w:pPr>
      <w:r>
        <w:rPr/>
        <w:t>Applying load profiles, appropriate loss factors and allocation mechanisms (UFE).</w:t>
      </w:r>
    </w:p>
    <w:p>
      <w:pPr>
        <w:pStyle w:val="CommentText"/>
        <w:numPr>
          <w:ilvl w:val="0"/>
          <w:numId w:val="52"/>
        </w:numPr>
        <w:rPr/>
      </w:pPr>
      <w:r>
        <w:rPr/>
        <w:t xml:space="preserve">Providing the necessary billing determinants to settle the market for each 15-minute interval on a daily basis. </w:t>
      </w:r>
    </w:p>
    <w:p>
      <w:pPr>
        <w:pStyle w:val="CommentText"/>
        <w:rPr/>
      </w:pPr>
      <w:r>
        <w:rPr/>
      </w:r>
    </w:p>
    <w:p>
      <w:pPr>
        <w:pStyle w:val="CommentText"/>
        <w:rPr/>
      </w:pPr>
      <w:r>
        <w:rPr/>
        <w:t>The centralized aggregation of data by ERCOT has a number of benefits:</w:t>
      </w:r>
    </w:p>
    <w:p>
      <w:pPr>
        <w:pStyle w:val="CommentText"/>
        <w:numPr>
          <w:ilvl w:val="0"/>
          <w:numId w:val="73"/>
        </w:numPr>
        <w:rPr/>
      </w:pPr>
      <w:r>
        <w:rPr/>
        <w:t xml:space="preserve">Provides a central data repository that allows for ESI-level validation of data completeness.   </w:t>
      </w:r>
    </w:p>
    <w:p>
      <w:pPr>
        <w:pStyle w:val="CommentText"/>
        <w:numPr>
          <w:ilvl w:val="0"/>
          <w:numId w:val="73"/>
        </w:numPr>
        <w:rPr/>
      </w:pPr>
      <w:r>
        <w:rPr/>
        <w:t>Standardizes methods for estimation, application of profiles and aggregation.</w:t>
      </w:r>
    </w:p>
    <w:p>
      <w:pPr>
        <w:pStyle w:val="CommentText"/>
        <w:numPr>
          <w:ilvl w:val="0"/>
          <w:numId w:val="73"/>
        </w:numPr>
        <w:rPr/>
      </w:pPr>
      <w:r>
        <w:rPr/>
        <w:t xml:space="preserve">Facilitates changes to market (e.g. zonal changes, profile methodology, utility unbundling, etc). </w:t>
      </w:r>
    </w:p>
    <w:p>
      <w:pPr>
        <w:pStyle w:val="CommentText"/>
        <w:numPr>
          <w:ilvl w:val="0"/>
          <w:numId w:val="73"/>
        </w:numPr>
        <w:rPr/>
      </w:pPr>
      <w:r>
        <w:rPr/>
        <w:t>Is consistent with centralized registration and load profiling.</w:t>
      </w:r>
    </w:p>
    <w:p>
      <w:pPr>
        <w:pStyle w:val="Heading3"/>
        <w:rPr/>
      </w:pPr>
      <w:bookmarkStart w:id="19" w:name="__RefHeading___Toc505989409"/>
      <w:bookmarkEnd w:id="19"/>
      <w:r>
        <w:rPr/>
        <w:t>Load Profiling</w:t>
      </w:r>
      <w:r>
        <w:fldChar w:fldCharType="begin"/>
      </w:r>
      <w:r>
        <w:rPr/>
        <w:instrText xml:space="preserve"> XE "Profiling" </w:instrText>
      </w:r>
      <w:r>
        <w:rPr/>
        <w:fldChar w:fldCharType="separate"/>
      </w:r>
      <w:r>
        <w:rPr/>
      </w:r>
      <w:r>
        <w:rPr/>
        <w:fldChar w:fldCharType="end"/>
      </w:r>
    </w:p>
    <w:p>
      <w:pPr>
        <w:pStyle w:val="Normal"/>
        <w:rPr>
          <w:sz w:val="20"/>
        </w:rPr>
      </w:pPr>
      <w:r>
        <w:rPr>
          <w:sz w:val="20"/>
        </w:rPr>
        <w:t xml:space="preserve">In order for ERCOT to determine the load obligations of each QSE during each 15-minute period of each settlement day, it is necessary to allocate energy consumption data collected from the TDSPs into 15-minute intervals. Interval Data recorders (IDRs), which collect consumption data in 15 minute intervals, are required to be installed at large commercial and industrial load exceeding 1000 kW of demand. Even though IDRs are installed at some utilities below the 1000 kW level, cumulative (non-IDR) meters will continue to be used at most residential and small commercial loads due to the higher cost of IDRs. Some loads such as streetlights will also continue to be unmetered. </w:t>
      </w:r>
    </w:p>
    <w:p>
      <w:pPr>
        <w:pStyle w:val="Normal"/>
        <w:rPr>
          <w:sz w:val="20"/>
        </w:rPr>
      </w:pPr>
      <w:r>
        <w:rPr>
          <w:sz w:val="20"/>
        </w:rPr>
      </w:r>
    </w:p>
    <w:p>
      <w:pPr>
        <w:pStyle w:val="Normal"/>
        <w:rPr>
          <w:sz w:val="20"/>
        </w:rPr>
      </w:pPr>
      <w:r>
        <w:rPr>
          <w:sz w:val="20"/>
        </w:rPr>
        <w:t>Meter data from cumulative meters and estimated consumption from unlettered loads is allocated into 15-minute intervals through the process of Load Profiling. This process uses load profile models or energy consumption patterns to allocate cumulative meter readings into estimated 15-minute consumption values. Load profiles are patterns of energy consumption at various hours of each day that are developed by studying groups of loads with similar consumption patterns</w:t>
      </w:r>
    </w:p>
    <w:p>
      <w:pPr>
        <w:pStyle w:val="Normal"/>
        <w:rPr>
          <w:sz w:val="20"/>
        </w:rPr>
      </w:pPr>
      <w:r>
        <w:rPr>
          <w:sz w:val="20"/>
        </w:rPr>
      </w:r>
    </w:p>
    <w:p>
      <w:pPr>
        <w:pStyle w:val="Normal"/>
        <w:rPr>
          <w:sz w:val="20"/>
        </w:rPr>
      </w:pPr>
      <w:r>
        <w:rPr>
          <w:sz w:val="20"/>
        </w:rPr>
        <w:t>ERCOT develops and maintains load profile models for residential, small commercial and unmetered loads in the ERCOT region. Load research data from utilities was used to create load profile models and identify the profile zones and classes These profile models are adjusted daily using actual weather and calendar data, for use in the aggregation processes. ERCOT gives market participants a description of the profile models so they can forecast their own loads and better manage their costs and revenues.</w:t>
      </w:r>
    </w:p>
    <w:p>
      <w:pPr>
        <w:pStyle w:val="Normal"/>
        <w:rPr>
          <w:sz w:val="20"/>
        </w:rPr>
      </w:pPr>
      <w:r>
        <w:rPr>
          <w:sz w:val="20"/>
        </w:rPr>
      </w:r>
    </w:p>
    <w:p>
      <w:pPr>
        <w:pStyle w:val="Normal"/>
        <w:rPr>
          <w:sz w:val="20"/>
        </w:rPr>
      </w:pPr>
      <w:r>
        <w:rPr>
          <w:sz w:val="20"/>
        </w:rPr>
        <w:t xml:space="preserve">Proper allocation of load obligations at different times during the day using Load Profiling is important to market participants because energy prices are more costly during periods of high demand. </w:t>
      </w:r>
    </w:p>
    <w:p>
      <w:pPr>
        <w:pStyle w:val="Normal"/>
        <w:rPr>
          <w:sz w:val="20"/>
        </w:rPr>
      </w:pPr>
      <w:r>
        <w:rPr>
          <w:sz w:val="20"/>
        </w:rPr>
        <w:t>Load profiling has been used in many markets to enable the participation of residential and small commercial loads without incurring the higher cost of IDRs. The process of estimating interval consumption data from cumulative meter data through Load Profiling can introduce inaccuracies for premises whose energy consumption patterns may not be adequately represented by the profile models.  Competitive Retailers who want to ensure that their load obligations for each settlement interval are calculated using actual interval data can install interval data recorders (IDRs).</w:t>
      </w:r>
    </w:p>
    <w:p>
      <w:pPr>
        <w:pStyle w:val="Normal"/>
        <w:rPr>
          <w:sz w:val="20"/>
        </w:rPr>
      </w:pPr>
      <w:r>
        <w:rPr>
          <w:sz w:val="20"/>
        </w:rPr>
      </w:r>
      <w:r>
        <w:br w:type="page"/>
      </w:r>
    </w:p>
    <w:p>
      <w:pPr>
        <w:pStyle w:val="Normal"/>
        <w:rPr/>
      </w:pPr>
      <w:r>
        <w:rPr>
          <w:sz w:val="20"/>
        </w:rPr>
        <w:t xml:space="preserve">The load profile curve for a typical residential customer in the </w:t>
      </w:r>
      <w:r>
        <w:drawing>
          <wp:anchor behindDoc="0" distT="0" distB="0" distL="114935" distR="114935" simplePos="0" locked="0" layoutInCell="0" allowOverlap="1" relativeHeight="162">
            <wp:simplePos x="0" y="0"/>
            <wp:positionH relativeFrom="column">
              <wp:posOffset>0</wp:posOffset>
            </wp:positionH>
            <wp:positionV relativeFrom="paragraph">
              <wp:posOffset>393065</wp:posOffset>
            </wp:positionV>
            <wp:extent cx="3840480" cy="1479550"/>
            <wp:effectExtent l="0" t="0" r="0" b="0"/>
            <wp:wrapTopAndBottom/>
            <wp:docPr id="3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4" descr="" title=""/>
                    <pic:cNvPicPr>
                      <a:picLocks noChangeAspect="1" noChangeArrowheads="1"/>
                    </pic:cNvPicPr>
                  </pic:nvPicPr>
                  <pic:blipFill>
                    <a:blip r:embed="rId29"/>
                    <a:srcRect l="-9" t="-24" r="-9" b="-24"/>
                    <a:stretch>
                      <a:fillRect/>
                    </a:stretch>
                  </pic:blipFill>
                  <pic:spPr bwMode="auto">
                    <a:xfrm>
                      <a:off x="0" y="0"/>
                      <a:ext cx="3840480" cy="1479550"/>
                    </a:xfrm>
                    <a:prstGeom prst="rect">
                      <a:avLst/>
                    </a:prstGeom>
                    <a:noFill/>
                  </pic:spPr>
                </pic:pic>
              </a:graphicData>
            </a:graphic>
          </wp:anchor>
        </w:drawing>
      </w:r>
      <w:r>
        <w:rPr>
          <w:sz w:val="20"/>
        </w:rPr>
        <w:t>ERCOT region for a summer day can look like the next chart.</w:t>
      </w:r>
    </w:p>
    <w:p>
      <w:pPr>
        <w:pStyle w:val="Normal"/>
        <w:rPr/>
      </w:pPr>
      <w:r>
        <w:rPr>
          <w:sz w:val="20"/>
        </w:rPr>
        <w:t xml:space="preserve">The horizontal axis indicates the time of day (using a 24-hour clock), in 15-minute settlement intervals. </w:t>
      </w:r>
      <w:r>
        <w:rPr>
          <w:i/>
          <w:sz w:val="20"/>
        </w:rPr>
        <w:t>For illustration purposes the time of day on the chart above is shown in hours only</w:t>
      </w:r>
      <w:r>
        <w:rPr>
          <w:sz w:val="20"/>
        </w:rPr>
        <w:t>. The vertical axis represents the kW demand level.</w:t>
      </w:r>
    </w:p>
    <w:p>
      <w:pPr>
        <w:pStyle w:val="Normal"/>
        <w:rPr>
          <w:sz w:val="20"/>
        </w:rPr>
      </w:pPr>
      <w:r>
        <w:rPr>
          <w:sz w:val="20"/>
        </w:rPr>
      </w:r>
    </w:p>
    <w:p>
      <w:pPr>
        <w:pStyle w:val="Normal"/>
        <w:rPr>
          <w:sz w:val="20"/>
        </w:rPr>
      </w:pPr>
      <w:r>
        <w:rPr>
          <w:sz w:val="20"/>
        </w:rPr>
        <w:t>ERCOT uses “static load profile” models like the one above, which are developed for different customer groups, or segments, and weather zones throughout the ERCOT region. The models are called static because they are pre-determined and assigned to groups of loads with similar consumption patterns prior to the day of actual energy consumption These profiles are based on statistical analysis of consumption information for different customer segments from across the ERCOT region.</w:t>
      </w:r>
    </w:p>
    <w:p>
      <w:pPr>
        <w:pStyle w:val="Normal"/>
        <w:rPr>
          <w:rFonts w:eastAsia="Book Antiqua"/>
          <w:sz w:val="20"/>
        </w:rPr>
      </w:pPr>
      <w:r>
        <w:rPr>
          <w:rFonts w:eastAsia="Book Antiqua"/>
          <w:sz w:val="20"/>
        </w:rPr>
        <w:t xml:space="preserve"> </w:t>
      </w:r>
    </w:p>
    <w:p>
      <w:pPr>
        <w:pStyle w:val="Normal"/>
        <w:rPr>
          <w:sz w:val="20"/>
        </w:rPr>
      </w:pPr>
      <w:r>
        <w:rPr>
          <w:sz w:val="20"/>
        </w:rPr>
        <w:t xml:space="preserve">A static load profile is adjusted using “actual” weather and calendar data prior to being used in load profiling. For example a holiday requires an adjustment to a profile because consumption patterns are significantly different. The application of a load profile calculation for converting data from a monthly cumulative meter reading to interval data is shown below. </w:t>
      </w:r>
      <w:r>
        <w:br w:type="page"/>
      </w:r>
    </w:p>
    <w:p>
      <w:pPr>
        <w:pStyle w:val="Normal"/>
        <w:rPr>
          <w:sz w:val="20"/>
        </w:rPr>
      </w:pPr>
      <w:r>
        <w:rPr>
          <w:sz w:val="20"/>
        </w:rPr>
      </w:r>
    </w:p>
    <w:p>
      <w:pPr>
        <w:pStyle w:val="Normal"/>
        <w:rPr>
          <w:sz w:val="20"/>
          <w:lang w:val="en-CA" w:eastAsia="en-CA"/>
        </w:rPr>
      </w:pPr>
      <w:r>
        <w:rPr>
          <w:sz w:val="20"/>
          <w:lang w:val="en-CA" w:eastAsia="en-CA"/>
        </w:rPr>
        <mc:AlternateContent>
          <mc:Choice Requires="wps">
            <w:drawing>
              <wp:anchor behindDoc="1" distT="0" distB="0" distL="114935" distR="114935" simplePos="0" locked="0" layoutInCell="1" allowOverlap="1" relativeHeight="138">
                <wp:simplePos x="0" y="0"/>
                <wp:positionH relativeFrom="column">
                  <wp:posOffset>-91440</wp:posOffset>
                </wp:positionH>
                <wp:positionV relativeFrom="paragraph">
                  <wp:posOffset>91440</wp:posOffset>
                </wp:positionV>
                <wp:extent cx="4023360" cy="4667885"/>
                <wp:effectExtent l="5080" t="5715" r="81280" b="80645"/>
                <wp:wrapNone/>
                <wp:docPr id="36" name=""/>
                <a:graphic xmlns:a="http://schemas.openxmlformats.org/drawingml/2006/main">
                  <a:graphicData uri="http://schemas.microsoft.com/office/word/2010/wordprocessingShape">
                    <wps:wsp>
                      <wps:cNvSpPr/>
                      <wps:spPr>
                        <a:xfrm>
                          <a:off x="0" y="0"/>
                          <a:ext cx="4023360" cy="4667760"/>
                        </a:xfrm>
                        <a:prstGeom prst="rect">
                          <a:avLst/>
                        </a:prstGeom>
                        <a:solidFill>
                          <a:srgbClr val="eaeaea"/>
                        </a:soli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eaeaea" stroked="t" o:allowincell="f" style="position:absolute;margin-left:-7.2pt;margin-top:7.2pt;width:316.75pt;height:367.5pt;mso-wrap-style:none;v-text-anchor:middle">
                <v:fill o:detectmouseclick="t" type="solid" color2="#151515"/>
                <v:stroke color="black" weight="9360" joinstyle="miter" endcap="flat"/>
                <v:shadow on="t" obscured="f" color="gray"/>
                <w10:wrap type="none"/>
              </v:rect>
            </w:pict>
          </mc:Fallback>
        </mc:AlternateContent>
      </w:r>
    </w:p>
    <w:p>
      <w:pPr>
        <w:pStyle w:val="Normal"/>
        <w:rPr>
          <w:sz w:val="20"/>
        </w:rPr>
      </w:pPr>
      <w:r>
        <w:rPr>
          <w:sz w:val="20"/>
        </w:rPr>
        <w:t>The monthly reading of a residential customer’s cumulative meter shows that it consumed 1500 Kilowatt Hours (kWh) during a 30-day period.</w:t>
      </w:r>
    </w:p>
    <w:p>
      <w:pPr>
        <w:pStyle w:val="Normal"/>
        <w:rPr>
          <w:sz w:val="20"/>
        </w:rPr>
      </w:pPr>
      <w:r>
        <w:rPr>
          <w:sz w:val="20"/>
        </w:rPr>
      </w:r>
    </w:p>
    <w:p>
      <w:pPr>
        <w:pStyle w:val="Normal"/>
        <w:rPr>
          <w:sz w:val="20"/>
        </w:rPr>
      </w:pPr>
      <w:r>
        <w:rPr>
          <w:sz w:val="20"/>
        </w:rPr>
        <w:t xml:space="preserve">From the residential profile type associated with this premise, we find that the energy represented by the load profile in the same 30-day segment is 1000 kWh. </w:t>
      </w:r>
    </w:p>
    <w:p>
      <w:pPr>
        <w:pStyle w:val="Normal"/>
        <w:rPr>
          <w:sz w:val="20"/>
        </w:rPr>
      </w:pPr>
      <w:r>
        <w:rPr>
          <w:sz w:val="20"/>
        </w:rPr>
      </w:r>
    </w:p>
    <w:p>
      <w:pPr>
        <w:pStyle w:val="Normal"/>
        <w:rPr>
          <w:sz w:val="20"/>
        </w:rPr>
      </w:pPr>
      <w:r>
        <w:rPr>
          <w:sz w:val="20"/>
        </w:rPr>
        <w:t>First we will divide the 1500 kWh metered consumption from the premise by the 1000 kWh derived from the class load profile to determine a scaling factor.</w:t>
      </w:r>
    </w:p>
    <w:p>
      <w:pPr>
        <w:pStyle w:val="Normal"/>
        <w:rPr>
          <w:sz w:val="20"/>
        </w:rPr>
      </w:pPr>
      <w:r>
        <w:rPr>
          <w:sz w:val="20"/>
        </w:rPr>
        <w:t>1500 kWh / 1000 kWh = 1.5</w:t>
      </w:r>
    </w:p>
    <w:p>
      <w:pPr>
        <w:pStyle w:val="Normal"/>
        <w:rPr>
          <w:sz w:val="20"/>
        </w:rPr>
      </w:pPr>
      <w:r>
        <w:rPr>
          <w:sz w:val="20"/>
        </w:rPr>
        <w:t>This scaling factor tells us that this premise is estimated to use 1.5 times the energy represented by the class load profile. We can now use this scaling factor to determine the consumption associated with this premise for each settlement interval.</w:t>
      </w:r>
    </w:p>
    <w:p>
      <w:pPr>
        <w:pStyle w:val="Normal"/>
        <w:rPr>
          <w:sz w:val="20"/>
        </w:rPr>
      </w:pPr>
      <w:r>
        <w:rPr>
          <w:sz w:val="20"/>
        </w:rPr>
      </w:r>
    </w:p>
    <w:p>
      <w:pPr>
        <w:pStyle w:val="Normal"/>
        <w:rPr>
          <w:sz w:val="20"/>
        </w:rPr>
      </w:pPr>
      <w:r>
        <w:rPr>
          <w:sz w:val="20"/>
        </w:rPr>
        <w:t xml:space="preserve">The estimated energy consumption for each interval is then calculated by multiplying the consumption per interval represented by the class load profile, by the calculated scaling factor   </w:t>
      </w:r>
    </w:p>
    <w:p>
      <w:pPr>
        <w:pStyle w:val="Normal"/>
        <w:rPr>
          <w:sz w:val="20"/>
        </w:rPr>
      </w:pPr>
      <w:r>
        <w:rPr>
          <w:sz w:val="20"/>
        </w:rPr>
      </w:r>
    </w:p>
    <w:p>
      <w:pPr>
        <w:pStyle w:val="Normal"/>
        <w:rPr>
          <w:sz w:val="20"/>
        </w:rPr>
      </w:pPr>
      <w:r>
        <w:rPr>
          <w:sz w:val="20"/>
        </w:rPr>
        <w:t>For example, if the energy represented by the class load profile for a particular interval, say from 5AM to 5:15AM on a weekday was 0.5 kWh, one can use the adjusted load profile to estimate the customer consumption for that interval to be:</w:t>
      </w:r>
    </w:p>
    <w:p>
      <w:pPr>
        <w:pStyle w:val="Normal"/>
        <w:rPr>
          <w:sz w:val="20"/>
        </w:rPr>
      </w:pPr>
      <w:r>
        <w:rPr>
          <w:sz w:val="20"/>
        </w:rPr>
        <w:t>(0.5kWh average per interval) x (1.5 scaling factor) = 0.75kWh</w:t>
      </w:r>
    </w:p>
    <w:p>
      <w:pPr>
        <w:pStyle w:val="Normal"/>
        <w:rPr>
          <w:sz w:val="20"/>
        </w:rPr>
      </w:pPr>
      <w:r>
        <w:rPr>
          <w:sz w:val="20"/>
        </w:rPr>
        <w:t>Of course, had the customer installed an IDR that recorded the actual consumption for the period 5AM to 5:15AM, load profiling would not have been necessary because actual data would have been available.</w:t>
      </w:r>
    </w:p>
    <w:p>
      <w:pPr>
        <w:pStyle w:val="Heading3"/>
        <w:rPr/>
      </w:pPr>
      <w:bookmarkStart w:id="20" w:name="__RefHeading___Toc505989410"/>
      <w:bookmarkEnd w:id="20"/>
      <w:r>
        <w:rPr/>
        <w:t>Data Aggregation</w:t>
      </w:r>
      <w:r>
        <w:fldChar w:fldCharType="begin"/>
      </w:r>
      <w:r>
        <w:rPr/>
        <w:instrText xml:space="preserve"> XE "Aggregation" </w:instrText>
      </w:r>
      <w:r>
        <w:rPr/>
        <w:fldChar w:fldCharType="separate"/>
      </w:r>
      <w:r>
        <w:rPr/>
      </w:r>
      <w:r>
        <w:rPr/>
        <w:fldChar w:fldCharType="end"/>
      </w:r>
    </w:p>
    <w:p>
      <w:pPr>
        <w:pStyle w:val="Normal"/>
        <w:rPr>
          <w:sz w:val="20"/>
        </w:rPr>
      </w:pPr>
      <w:r>
        <w:rPr>
          <w:sz w:val="20"/>
        </w:rPr>
        <w:t>Data aggregation consists of a series of calculations to consolidate estimated and actual load and generation for each 15-minute settlement interval into a series of categories. There are a number of categories into which load and generation are aggregated, the most important being:</w:t>
      </w:r>
    </w:p>
    <w:p>
      <w:pPr>
        <w:pStyle w:val="Normal"/>
        <w:rPr>
          <w:sz w:val="20"/>
        </w:rPr>
      </w:pPr>
      <w:r>
        <w:rPr>
          <w:sz w:val="20"/>
        </w:rPr>
      </w:r>
    </w:p>
    <w:p>
      <w:pPr>
        <w:pStyle w:val="Normal"/>
        <w:numPr>
          <w:ilvl w:val="0"/>
          <w:numId w:val="36"/>
        </w:numPr>
        <w:rPr>
          <w:sz w:val="20"/>
        </w:rPr>
      </w:pPr>
      <w:r>
        <w:rPr>
          <w:sz w:val="20"/>
        </w:rPr>
        <w:t>Physical Interconnectivity to the ERCOT Grid – for aggregation purposes, load and generation are divided into zones. These zones are primarily used to facilitate the accurate allocation of the costs of congestion</w:t>
      </w:r>
      <w:r>
        <w:fldChar w:fldCharType="begin"/>
      </w:r>
      <w:r>
        <w:rPr/>
        <w:instrText xml:space="preserve"> XE "congestion" </w:instrText>
      </w:r>
      <w:r>
        <w:rPr/>
        <w:fldChar w:fldCharType="separate"/>
      </w:r>
      <w:r>
        <w:rPr/>
      </w:r>
      <w:r>
        <w:rPr/>
        <w:fldChar w:fldCharType="end"/>
      </w:r>
      <w:r>
        <w:rPr>
          <w:sz w:val="20"/>
        </w:rPr>
        <w:t xml:space="preserve"> and UFE</w:t>
      </w:r>
    </w:p>
    <w:p>
      <w:pPr>
        <w:pStyle w:val="Normal"/>
        <w:rPr>
          <w:sz w:val="20"/>
        </w:rPr>
      </w:pPr>
      <w:r>
        <w:rPr>
          <w:sz w:val="20"/>
        </w:rPr>
      </w:r>
    </w:p>
    <w:p>
      <w:pPr>
        <w:pStyle w:val="Normal"/>
        <w:numPr>
          <w:ilvl w:val="0"/>
          <w:numId w:val="36"/>
        </w:numPr>
        <w:rPr>
          <w:sz w:val="20"/>
        </w:rPr>
      </w:pPr>
      <w:r>
        <w:rPr>
          <w:sz w:val="20"/>
        </w:rPr>
        <w:t>Market participant – load within each zone is aggregated by QSE and LSE</w:t>
      </w:r>
      <w:r>
        <w:fldChar w:fldCharType="begin"/>
      </w:r>
      <w:r>
        <w:rPr/>
        <w:instrText xml:space="preserve"> XE "REP" </w:instrText>
      </w:r>
      <w:r>
        <w:rPr/>
        <w:fldChar w:fldCharType="separate"/>
      </w:r>
      <w:r>
        <w:rPr/>
      </w:r>
      <w:r>
        <w:rPr/>
        <w:fldChar w:fldCharType="end"/>
      </w:r>
      <w:r>
        <w:rPr>
          <w:sz w:val="20"/>
        </w:rPr>
        <w:t>; while generation is aggregated by QSE and Resource Entity. These aggregations provide the data that is required for input to settlement calculations.</w:t>
      </w:r>
    </w:p>
    <w:p>
      <w:pPr>
        <w:pStyle w:val="Normal"/>
        <w:rPr>
          <w:sz w:val="20"/>
        </w:rPr>
      </w:pPr>
      <w:r>
        <w:rPr>
          <w:sz w:val="20"/>
        </w:rPr>
      </w:r>
    </w:p>
    <w:p>
      <w:pPr>
        <w:pStyle w:val="Normal"/>
        <w:rPr>
          <w:sz w:val="20"/>
        </w:rPr>
      </w:pPr>
      <w:r>
        <w:rPr>
          <w:sz w:val="20"/>
        </w:rPr>
        <w:t>Before settlement calculations can be performed, the load has to be adjusted to account for distribution losses, transmission losses and UFE. These adjustments are described in the next two sections.</w:t>
      </w:r>
    </w:p>
    <w:p>
      <w:pPr>
        <w:pStyle w:val="Normal"/>
        <w:rPr>
          <w:sz w:val="20"/>
        </w:rPr>
      </w:pPr>
      <w:r>
        <w:rPr>
          <w:sz w:val="20"/>
        </w:rPr>
      </w:r>
    </w:p>
    <w:p>
      <w:pPr>
        <w:pStyle w:val="Heading3"/>
        <w:rPr/>
      </w:pPr>
      <w:bookmarkStart w:id="21" w:name="__RefHeading___Toc505989411"/>
      <w:bookmarkEnd w:id="21"/>
      <w:r>
        <w:rPr/>
        <w:t>Losses</w:t>
      </w:r>
    </w:p>
    <w:p>
      <w:pPr>
        <w:pStyle w:val="Normal"/>
        <w:rPr>
          <w:sz w:val="20"/>
        </w:rPr>
      </w:pPr>
      <w:r>
        <w:rPr>
          <w:sz w:val="20"/>
        </w:rPr>
        <w:t>ERCOT calculates seasonal transmission losses by running a computer simulation of the power grid to produce a transmission loss factor. Losses are added to the base metered load values to determine a QSE’s load obligation.</w:t>
      </w:r>
    </w:p>
    <w:p>
      <w:pPr>
        <w:pStyle w:val="Normal"/>
        <w:rPr>
          <w:sz w:val="20"/>
        </w:rPr>
      </w:pPr>
      <w:r>
        <w:rPr>
          <w:sz w:val="20"/>
        </w:rPr>
      </w:r>
    </w:p>
    <w:p>
      <w:pPr>
        <w:pStyle w:val="Normal"/>
        <w:rPr>
          <w:sz w:val="20"/>
        </w:rPr>
      </w:pPr>
      <w:r>
        <w:rPr>
          <w:sz w:val="20"/>
        </w:rPr>
        <w:t>Similarly, distribution companies calculate a distribution loss factor that ERCOT applies to load in their distribution areas.</w:t>
      </w:r>
    </w:p>
    <w:p>
      <w:pPr>
        <w:pStyle w:val="Normal"/>
        <w:rPr>
          <w:sz w:val="20"/>
          <w:lang w:val="en-CA" w:eastAsia="en-CA"/>
        </w:rPr>
      </w:pPr>
      <w:r>
        <w:rPr>
          <w:sz w:val="20"/>
          <w:lang w:val="en-CA" w:eastAsia="en-CA"/>
        </w:rPr>
        <mc:AlternateContent>
          <mc:Choice Requires="wps">
            <w:drawing>
              <wp:anchor behindDoc="1" distT="0" distB="0" distL="114935" distR="114935" simplePos="0" locked="0" layoutInCell="1" allowOverlap="1" relativeHeight="137">
                <wp:simplePos x="0" y="0"/>
                <wp:positionH relativeFrom="column">
                  <wp:posOffset>-131445</wp:posOffset>
                </wp:positionH>
                <wp:positionV relativeFrom="paragraph">
                  <wp:posOffset>97155</wp:posOffset>
                </wp:positionV>
                <wp:extent cx="4114800" cy="1561465"/>
                <wp:effectExtent l="5080" t="5715" r="81280" b="80645"/>
                <wp:wrapNone/>
                <wp:docPr id="37" name=""/>
                <a:graphic xmlns:a="http://schemas.openxmlformats.org/drawingml/2006/main">
                  <a:graphicData uri="http://schemas.microsoft.com/office/word/2010/wordprocessingShape">
                    <wps:wsp>
                      <wps:cNvSpPr/>
                      <wps:spPr>
                        <a:xfrm>
                          <a:off x="0" y="0"/>
                          <a:ext cx="4114800" cy="1561320"/>
                        </a:xfrm>
                        <a:prstGeom prst="rect">
                          <a:avLst/>
                        </a:prstGeom>
                        <a:solidFill>
                          <a:srgbClr val="eaeaea"/>
                        </a:soli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eaeaea" stroked="t" o:allowincell="f" style="position:absolute;margin-left:-10.35pt;margin-top:7.65pt;width:323.95pt;height:122.9pt;mso-wrap-style:none;v-text-anchor:middle">
                <v:fill o:detectmouseclick="t" type="solid" color2="#151515"/>
                <v:stroke color="black" weight="9360" joinstyle="miter" endcap="flat"/>
                <v:shadow on="t" obscured="f" color="gray"/>
                <w10:wrap type="none"/>
              </v:rect>
            </w:pict>
          </mc:Fallback>
        </mc:AlternateContent>
      </w:r>
    </w:p>
    <w:p>
      <w:pPr>
        <w:pStyle w:val="Normal"/>
        <w:rPr>
          <w:sz w:val="20"/>
        </w:rPr>
      </w:pPr>
      <w:r>
        <w:rPr>
          <w:sz w:val="20"/>
        </w:rPr>
      </w:r>
    </w:p>
    <w:p>
      <w:pPr>
        <w:pStyle w:val="Normal"/>
        <w:rPr>
          <w:sz w:val="20"/>
        </w:rPr>
      </w:pPr>
      <w:r>
        <w:rPr>
          <w:sz w:val="20"/>
        </w:rPr>
        <w:t xml:space="preserve">For example, if the distribution loss factor is 5%, and the transmission loss factor is 3%, then a Load Serving Entity with total energy consumption in that distribution area of 1MWh will be allocated an aggregated load of </w:t>
      </w:r>
    </w:p>
    <w:p>
      <w:pPr>
        <w:pStyle w:val="Normal"/>
        <w:rPr>
          <w:sz w:val="20"/>
        </w:rPr>
      </w:pPr>
      <w:r>
        <w:rPr>
          <w:sz w:val="20"/>
        </w:rPr>
        <w:t>1.0815 MWh, which is derived as follows:</w:t>
      </w:r>
    </w:p>
    <w:p>
      <w:pPr>
        <w:pStyle w:val="Normal"/>
        <w:rPr>
          <w:sz w:val="20"/>
        </w:rPr>
      </w:pPr>
      <w:r>
        <w:rPr>
          <w:sz w:val="20"/>
        </w:rPr>
      </w:r>
    </w:p>
    <w:p>
      <w:pPr>
        <w:pStyle w:val="Heading3"/>
        <w:rPr>
          <w:sz w:val="20"/>
        </w:rPr>
      </w:pPr>
      <w:r>
        <w:rPr>
          <w:sz w:val="20"/>
        </w:rPr>
        <w:t>1MWh x (1.05 distribution loss factor) x (1.03 transmission loss factor)</w:t>
      </w:r>
    </w:p>
    <w:p>
      <w:pPr>
        <w:pStyle w:val="Heading3"/>
        <w:rPr>
          <w:sz w:val="20"/>
        </w:rPr>
      </w:pPr>
      <w:bookmarkStart w:id="22" w:name="__RefHeading___Toc505989413"/>
      <w:bookmarkEnd w:id="22"/>
      <w:r>
        <w:rPr/>
        <w:t>UFE</w:t>
      </w:r>
    </w:p>
    <w:p>
      <w:pPr>
        <w:pStyle w:val="Normal"/>
        <w:rPr>
          <w:sz w:val="20"/>
        </w:rPr>
      </w:pPr>
      <w:r>
        <w:rPr>
          <w:sz w:val="20"/>
        </w:rPr>
        <w:t>Unfortunately, even after allowing for losses, metered resource output in a given interval will likely not exactly equal metered load, for several reasons including the following:</w:t>
      </w:r>
    </w:p>
    <w:p>
      <w:pPr>
        <w:pStyle w:val="Normal"/>
        <w:numPr>
          <w:ilvl w:val="0"/>
          <w:numId w:val="53"/>
        </w:numPr>
        <w:tabs>
          <w:tab w:val="left" w:pos="720" w:leader="none"/>
        </w:tabs>
        <w:ind w:hanging="360" w:start="720" w:end="0"/>
        <w:rPr>
          <w:sz w:val="20"/>
        </w:rPr>
      </w:pPr>
      <w:r>
        <w:rPr>
          <w:sz w:val="20"/>
        </w:rPr>
        <w:t>Profiles are estimates, and are thus not 100% accurate.</w:t>
      </w:r>
    </w:p>
    <w:p>
      <w:pPr>
        <w:pStyle w:val="Normal"/>
        <w:numPr>
          <w:ilvl w:val="0"/>
          <w:numId w:val="53"/>
        </w:numPr>
        <w:tabs>
          <w:tab w:val="left" w:pos="720" w:leader="none"/>
        </w:tabs>
        <w:ind w:hanging="360" w:start="720" w:end="0"/>
        <w:rPr>
          <w:sz w:val="20"/>
        </w:rPr>
      </w:pPr>
      <w:r>
        <w:rPr>
          <w:sz w:val="20"/>
        </w:rPr>
        <w:t>Meters are not 100% accurate.</w:t>
      </w:r>
    </w:p>
    <w:p>
      <w:pPr>
        <w:pStyle w:val="Normal"/>
        <w:numPr>
          <w:ilvl w:val="0"/>
          <w:numId w:val="53"/>
        </w:numPr>
        <w:tabs>
          <w:tab w:val="left" w:pos="720" w:leader="none"/>
        </w:tabs>
        <w:ind w:hanging="360" w:start="720" w:end="0"/>
        <w:rPr>
          <w:sz w:val="20"/>
        </w:rPr>
      </w:pPr>
      <w:r>
        <w:rPr>
          <w:sz w:val="20"/>
        </w:rPr>
        <w:t>Energy diversion due to theft</w:t>
      </w:r>
    </w:p>
    <w:p>
      <w:pPr>
        <w:pStyle w:val="Normal"/>
        <w:numPr>
          <w:ilvl w:val="0"/>
          <w:numId w:val="53"/>
        </w:numPr>
        <w:tabs>
          <w:tab w:val="left" w:pos="720" w:leader="none"/>
        </w:tabs>
        <w:ind w:hanging="360" w:start="720" w:end="0"/>
        <w:rPr>
          <w:sz w:val="20"/>
        </w:rPr>
      </w:pPr>
      <w:r>
        <w:rPr>
          <w:sz w:val="20"/>
        </w:rPr>
        <w:t>Loss calculations are estimates, and are thus not 100% accurate.</w:t>
      </w:r>
    </w:p>
    <w:p>
      <w:pPr>
        <w:pStyle w:val="Normal"/>
        <w:rPr>
          <w:sz w:val="20"/>
        </w:rPr>
      </w:pPr>
      <w:r>
        <w:rPr>
          <w:sz w:val="20"/>
        </w:rPr>
      </w:r>
    </w:p>
    <w:p>
      <w:pPr>
        <w:pStyle w:val="Normal"/>
        <w:rPr>
          <w:sz w:val="20"/>
        </w:rPr>
      </w:pPr>
      <w:r>
        <w:rPr>
          <w:sz w:val="20"/>
        </w:rPr>
        <w:t>The difference between metered resource output and the aggregated load derived from the sum of profiled and interval usage, plus transmission and distribution losses is called unaccounted-for-energy or UFE.</w:t>
      </w:r>
    </w:p>
    <w:p>
      <w:pPr>
        <w:pStyle w:val="Normal"/>
        <w:rPr>
          <w:sz w:val="20"/>
        </w:rPr>
      </w:pPr>
      <w:r>
        <w:rPr>
          <w:sz w:val="20"/>
        </w:rPr>
      </w:r>
    </w:p>
    <w:p>
      <w:pPr>
        <w:pStyle w:val="Normal"/>
        <w:rPr>
          <w:sz w:val="20"/>
        </w:rPr>
      </w:pPr>
      <w:r>
        <w:drawing>
          <wp:anchor behindDoc="0" distT="0" distB="0" distL="114935" distR="114935" simplePos="0" locked="0" layoutInCell="0" allowOverlap="1" relativeHeight="163">
            <wp:simplePos x="0" y="0"/>
            <wp:positionH relativeFrom="column">
              <wp:posOffset>274320</wp:posOffset>
            </wp:positionH>
            <wp:positionV relativeFrom="paragraph">
              <wp:posOffset>998220</wp:posOffset>
            </wp:positionV>
            <wp:extent cx="2867025" cy="3108960"/>
            <wp:effectExtent l="0" t="0" r="0" b="0"/>
            <wp:wrapTopAndBottom/>
            <wp:docPr id="38"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5" descr="" title=""/>
                    <pic:cNvPicPr>
                      <a:picLocks noChangeAspect="1" noChangeArrowheads="1"/>
                    </pic:cNvPicPr>
                  </pic:nvPicPr>
                  <pic:blipFill>
                    <a:blip r:embed="rId30"/>
                    <a:srcRect l="-9" t="-8" r="-9" b="-8"/>
                    <a:stretch>
                      <a:fillRect/>
                    </a:stretch>
                  </pic:blipFill>
                  <pic:spPr bwMode="auto">
                    <a:xfrm>
                      <a:off x="0" y="0"/>
                      <a:ext cx="2867025" cy="3108960"/>
                    </a:xfrm>
                    <a:prstGeom prst="rect">
                      <a:avLst/>
                    </a:prstGeom>
                    <a:noFill/>
                  </pic:spPr>
                </pic:pic>
              </a:graphicData>
            </a:graphic>
          </wp:anchor>
        </w:drawing>
      </w:r>
      <w:r>
        <w:rPr>
          <w:sz w:val="20"/>
        </w:rPr>
        <w:t>As the next diagram shows for each Settlement Interval, metered resource output has to be allocated to an equal amount of load in order to compensate the resources for all the energy injected into the ERCOT grid. Because of the reasons stated above, there will likely always be a certain amount of UFE, which can be described as the difference between metered load and metered generation in a given settlement interval, even after allowing for losses. UFE may be positive or negative based on whether the aggregated load quantity in a given interval, after accounting for losses, is either short of or exceeds the amount of metered resource output in the same interval. ERCOT aims to keep UFE as small as possible by investigating the causes of UFE and recommending remediation measures.</w:t>
      </w:r>
    </w:p>
    <w:p>
      <w:pPr>
        <w:pStyle w:val="Normal"/>
        <w:rPr>
          <w:sz w:val="20"/>
        </w:rPr>
      </w:pPr>
      <w:r>
        <w:rPr>
          <w:sz w:val="20"/>
        </w:rPr>
      </w:r>
    </w:p>
    <w:p>
      <w:pPr>
        <w:pStyle w:val="Normal"/>
        <w:rPr>
          <w:sz w:val="20"/>
        </w:rPr>
      </w:pPr>
      <w:r>
        <w:rPr>
          <w:sz w:val="20"/>
        </w:rPr>
        <w:t>The costs of UFE are allocated across all loads in ERCOT based on premise type. The ERCOT protocols specify a methodology by which UFE is allocated to Load Serving Entities. The methodology attempts to allocate UFE based on the degree to which the type of premises represented by the LSE may cause UFE. For example, Profiled loads are allocated more UFE than those metered by Interval Data Recorders (IDRs) since errors in the application of profiles contribute more to UFE. A simplified UFE settlement allocation is shown in the following text box:</w:t>
      </w:r>
    </w:p>
    <w:p>
      <w:pPr>
        <w:pStyle w:val="Style11"/>
        <w:rPr>
          <w:sz w:val="20"/>
          <w:lang w:val="en-CA" w:eastAsia="en-CA"/>
        </w:rPr>
      </w:pPr>
      <w:r>
        <w:rPr>
          <w:sz w:val="20"/>
          <w:lang w:val="en-CA" w:eastAsia="en-CA"/>
        </w:rPr>
        <mc:AlternateContent>
          <mc:Choice Requires="wps">
            <w:drawing>
              <wp:anchor behindDoc="1" distT="0" distB="0" distL="114935" distR="114935" simplePos="0" locked="0" layoutInCell="1" allowOverlap="1" relativeHeight="136">
                <wp:simplePos x="0" y="0"/>
                <wp:positionH relativeFrom="column">
                  <wp:posOffset>-91440</wp:posOffset>
                </wp:positionH>
                <wp:positionV relativeFrom="paragraph">
                  <wp:posOffset>86995</wp:posOffset>
                </wp:positionV>
                <wp:extent cx="4023360" cy="1398270"/>
                <wp:effectExtent l="5080" t="5080" r="81280" b="81280"/>
                <wp:wrapNone/>
                <wp:docPr id="39" name=""/>
                <a:graphic xmlns:a="http://schemas.openxmlformats.org/drawingml/2006/main">
                  <a:graphicData uri="http://schemas.microsoft.com/office/word/2010/wordprocessingShape">
                    <wps:wsp>
                      <wps:cNvSpPr/>
                      <wps:spPr>
                        <a:xfrm>
                          <a:off x="0" y="0"/>
                          <a:ext cx="4023360" cy="1398240"/>
                        </a:xfrm>
                        <a:prstGeom prst="rect">
                          <a:avLst/>
                        </a:prstGeom>
                        <a:solidFill>
                          <a:srgbClr val="eaeaea"/>
                        </a:soli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eaeaea" stroked="t" o:allowincell="f" style="position:absolute;margin-left:-7.2pt;margin-top:6.85pt;width:316.75pt;height:110.05pt;mso-wrap-style:none;v-text-anchor:middle">
                <v:fill o:detectmouseclick="t" type="solid" color2="#151515"/>
                <v:stroke color="black" weight="9360" joinstyle="miter" endcap="flat"/>
                <v:shadow on="t" obscured="f" color="gray"/>
                <w10:wrap type="none"/>
              </v:rect>
            </w:pict>
          </mc:Fallback>
        </mc:AlternateContent>
      </w:r>
    </w:p>
    <w:p>
      <w:pPr>
        <w:pStyle w:val="Normal"/>
        <w:rPr>
          <w:sz w:val="20"/>
        </w:rPr>
      </w:pPr>
      <w:r>
        <w:rPr>
          <w:sz w:val="20"/>
        </w:rPr>
        <w:t xml:space="preserve">Assume that </w:t>
      </w:r>
    </w:p>
    <w:p>
      <w:pPr>
        <w:pStyle w:val="Normal"/>
        <w:numPr>
          <w:ilvl w:val="0"/>
          <w:numId w:val="58"/>
        </w:numPr>
        <w:tabs>
          <w:tab w:val="left" w:pos="720" w:leader="none"/>
        </w:tabs>
        <w:ind w:hanging="360" w:start="720" w:end="0"/>
        <w:rPr>
          <w:sz w:val="20"/>
        </w:rPr>
      </w:pPr>
      <w:r>
        <w:rPr>
          <w:sz w:val="20"/>
        </w:rPr>
        <w:t>Total system output or generation is metered at 10,100 Megawatt Hours (MWh) for a particular interval.</w:t>
      </w:r>
    </w:p>
    <w:p>
      <w:pPr>
        <w:pStyle w:val="Normal"/>
        <w:numPr>
          <w:ilvl w:val="0"/>
          <w:numId w:val="58"/>
        </w:numPr>
        <w:tabs>
          <w:tab w:val="left" w:pos="720" w:leader="none"/>
        </w:tabs>
        <w:ind w:hanging="360" w:start="720" w:end="0"/>
        <w:rPr>
          <w:sz w:val="20"/>
        </w:rPr>
      </w:pPr>
      <w:r>
        <w:rPr>
          <w:sz w:val="20"/>
        </w:rPr>
        <w:t>Total load, including losses, is determined to be 10,000MWh.</w:t>
      </w:r>
    </w:p>
    <w:p>
      <w:pPr>
        <w:pStyle w:val="Normal"/>
        <w:rPr>
          <w:sz w:val="20"/>
        </w:rPr>
      </w:pPr>
      <w:r>
        <w:rPr>
          <w:sz w:val="20"/>
        </w:rPr>
      </w:r>
    </w:p>
    <w:p>
      <w:pPr>
        <w:pStyle w:val="Normal"/>
        <w:rPr>
          <w:sz w:val="20"/>
        </w:rPr>
      </w:pPr>
      <w:r>
        <w:rPr>
          <w:sz w:val="20"/>
        </w:rPr>
        <w:t>Hence UFE is 1% because</w:t>
      </w:r>
    </w:p>
    <w:p>
      <w:pPr>
        <w:pStyle w:val="Normal"/>
        <w:ind w:start="720" w:end="0"/>
        <w:rPr>
          <w:sz w:val="20"/>
        </w:rPr>
      </w:pPr>
      <w:r>
        <w:rPr>
          <w:sz w:val="20"/>
        </w:rPr>
        <w:t>10,100 output – 10,000 consumed or lost = 100MWh, which is 1% of the electricity that was consumed.</w:t>
      </w:r>
    </w:p>
    <w:p>
      <w:pPr>
        <w:pStyle w:val="Normal"/>
        <w:rPr>
          <w:sz w:val="20"/>
        </w:rPr>
      </w:pPr>
      <w:r>
        <w:rPr>
          <w:sz w:val="20"/>
        </w:rPr>
      </w:r>
    </w:p>
    <w:p>
      <w:pPr>
        <w:pStyle w:val="Normal"/>
        <w:rPr/>
      </w:pPr>
      <w:r>
        <w:rPr>
          <w:sz w:val="20"/>
        </w:rPr>
        <w:t>In this basic allocation mechanism example, each CR</w:t>
      </w:r>
      <w:r>
        <w:fldChar w:fldCharType="begin"/>
      </w:r>
      <w:r>
        <w:rPr/>
        <w:instrText xml:space="preserve"> XE "REP" </w:instrText>
      </w:r>
      <w:r>
        <w:rPr/>
        <w:fldChar w:fldCharType="separate"/>
      </w:r>
      <w:r>
        <w:rPr/>
      </w:r>
      <w:r>
        <w:rPr/>
        <w:fldChar w:fldCharType="end"/>
      </w:r>
      <w:r>
        <w:rPr>
          <w:sz w:val="20"/>
        </w:rPr>
        <w:t xml:space="preserve"> load is thus adjusted upwards by 1% before settlement calculations are performed. The total interval load is therefore made to equal the total interval generation, and the imbalance settlement is revenue neutral for ERCOT.</w:t>
      </w:r>
    </w:p>
    <w:p>
      <w:pPr>
        <w:pStyle w:val="Heading2"/>
        <w:rPr/>
      </w:pPr>
      <w:bookmarkStart w:id="23" w:name="__RefHeading___Toc505989414"/>
      <w:bookmarkEnd w:id="23"/>
      <w:r>
        <w:rPr/>
        <w:t>4F. Settlements</w:t>
      </w:r>
      <w:r>
        <w:fldChar w:fldCharType="begin"/>
      </w:r>
      <w:r>
        <w:rPr/>
        <w:instrText xml:space="preserve"> XE "Settlements" </w:instrText>
      </w:r>
      <w:r>
        <w:rPr/>
        <w:fldChar w:fldCharType="separate"/>
      </w:r>
      <w:r>
        <w:rPr/>
      </w:r>
      <w:r>
        <w:rPr/>
        <w:fldChar w:fldCharType="end"/>
      </w:r>
      <w:r>
        <w:rPr/>
        <w:t>, Billing, and Financial Transfer Process</w:t>
      </w:r>
    </w:p>
    <w:p>
      <w:pPr>
        <w:pStyle w:val="Normal"/>
        <w:rPr>
          <w:sz w:val="20"/>
        </w:rPr>
      </w:pPr>
      <w:r>
        <w:rPr>
          <w:sz w:val="20"/>
        </w:rPr>
        <w:t>Settlement is the process by which ERCOT:</w:t>
      </w:r>
    </w:p>
    <w:p>
      <w:pPr>
        <w:pStyle w:val="Normal"/>
        <w:rPr>
          <w:sz w:val="20"/>
        </w:rPr>
      </w:pPr>
      <w:r>
        <w:rPr>
          <w:sz w:val="20"/>
        </w:rPr>
      </w:r>
    </w:p>
    <w:p>
      <w:pPr>
        <w:pStyle w:val="Normal"/>
        <w:numPr>
          <w:ilvl w:val="0"/>
          <w:numId w:val="31"/>
        </w:numPr>
        <w:rPr>
          <w:sz w:val="20"/>
        </w:rPr>
      </w:pPr>
      <w:r>
        <w:rPr>
          <w:sz w:val="20"/>
        </w:rPr>
        <w:t>Pays QSEs</w:t>
      </w:r>
      <w:r>
        <w:fldChar w:fldCharType="begin"/>
      </w:r>
      <w:r>
        <w:rPr/>
        <w:instrText xml:space="preserve"> XE "QSEs" </w:instrText>
      </w:r>
      <w:r>
        <w:rPr/>
        <w:fldChar w:fldCharType="separate"/>
      </w:r>
      <w:r>
        <w:rPr/>
      </w:r>
      <w:r>
        <w:rPr/>
        <w:fldChar w:fldCharType="end"/>
      </w:r>
      <w:r>
        <w:rPr>
          <w:sz w:val="20"/>
        </w:rPr>
        <w:t xml:space="preserve"> for the market services</w:t>
      </w:r>
      <w:r>
        <w:fldChar w:fldCharType="begin"/>
      </w:r>
      <w:r>
        <w:rPr/>
        <w:instrText xml:space="preserve"> XE "ancillary services" </w:instrText>
      </w:r>
      <w:r>
        <w:rPr/>
        <w:fldChar w:fldCharType="separate"/>
      </w:r>
      <w:r>
        <w:rPr/>
      </w:r>
      <w:r>
        <w:rPr/>
        <w:fldChar w:fldCharType="end"/>
      </w:r>
      <w:r>
        <w:rPr>
          <w:sz w:val="20"/>
        </w:rPr>
        <w:t xml:space="preserve"> it purchased to maintain reliability.</w:t>
      </w:r>
    </w:p>
    <w:p>
      <w:pPr>
        <w:pStyle w:val="Normal"/>
        <w:numPr>
          <w:ilvl w:val="0"/>
          <w:numId w:val="31"/>
        </w:numPr>
        <w:rPr>
          <w:sz w:val="20"/>
        </w:rPr>
      </w:pPr>
      <w:r>
        <w:rPr>
          <w:sz w:val="20"/>
        </w:rPr>
        <w:t>Allocates the cost of these market services</w:t>
      </w:r>
      <w:r>
        <w:fldChar w:fldCharType="begin"/>
      </w:r>
      <w:r>
        <w:rPr/>
        <w:instrText xml:space="preserve"> XE "ancillary services" </w:instrText>
      </w:r>
      <w:r>
        <w:rPr/>
        <w:fldChar w:fldCharType="separate"/>
      </w:r>
      <w:r>
        <w:rPr/>
      </w:r>
      <w:r>
        <w:rPr/>
        <w:fldChar w:fldCharType="end"/>
      </w:r>
      <w:r>
        <w:rPr>
          <w:sz w:val="20"/>
        </w:rPr>
        <w:t xml:space="preserve"> out to all QSEs</w:t>
      </w:r>
      <w:r>
        <w:fldChar w:fldCharType="begin"/>
      </w:r>
      <w:r>
        <w:rPr/>
        <w:instrText xml:space="preserve"> XE "QSEs" </w:instrText>
      </w:r>
      <w:r>
        <w:rPr/>
        <w:fldChar w:fldCharType="separate"/>
      </w:r>
      <w:r>
        <w:rPr/>
      </w:r>
      <w:r>
        <w:rPr/>
        <w:fldChar w:fldCharType="end"/>
      </w:r>
      <w:r>
        <w:rPr>
          <w:sz w:val="20"/>
        </w:rPr>
        <w:t>.</w:t>
      </w:r>
      <w:r>
        <w:rPr/>
        <w:t xml:space="preserve"> </w:t>
      </w:r>
    </w:p>
    <w:p>
      <w:pPr>
        <w:pStyle w:val="Normal"/>
        <w:rPr>
          <w:sz w:val="20"/>
        </w:rPr>
      </w:pPr>
      <w:r>
        <w:rPr>
          <w:sz w:val="20"/>
        </w:rPr>
      </w:r>
    </w:p>
    <w:p>
      <w:pPr>
        <w:pStyle w:val="Normal"/>
        <w:rPr>
          <w:sz w:val="20"/>
        </w:rPr>
      </w:pPr>
      <w:r>
        <mc:AlternateContent>
          <mc:Choice Requires="wpg">
            <w:drawing>
              <wp:anchor behindDoc="0" distT="0" distB="0" distL="114935" distR="114935" simplePos="0" locked="0" layoutInCell="1" allowOverlap="1" relativeHeight="156">
                <wp:simplePos x="0" y="0"/>
                <wp:positionH relativeFrom="column">
                  <wp:posOffset>3931920</wp:posOffset>
                </wp:positionH>
                <wp:positionV relativeFrom="paragraph">
                  <wp:posOffset>179705</wp:posOffset>
                </wp:positionV>
                <wp:extent cx="2472055" cy="822960"/>
                <wp:effectExtent l="0" t="0" r="0" b="5715"/>
                <wp:wrapNone/>
                <wp:docPr id="40" name=""/>
                <a:graphic xmlns:a="http://schemas.openxmlformats.org/drawingml/2006/main">
                  <a:graphicData uri="http://schemas.microsoft.com/office/word/2010/wordprocessingGroup">
                    <wpg:wgp>
                      <wpg:cNvGrpSpPr/>
                      <wpg:grpSpPr>
                        <a:xfrm>
                          <a:off x="0" y="0"/>
                          <a:ext cx="2472120" cy="822960"/>
                          <a:chOff x="0" y="0"/>
                          <a:chExt cx="2472120" cy="822960"/>
                        </a:xfrm>
                      </wpg:grpSpPr>
                      <pic:pic xmlns:pic="http://schemas.openxmlformats.org/drawingml/2006/picture">
                        <pic:nvPicPr>
                          <pic:cNvPr id="41" name="" descr=""/>
                          <pic:cNvPicPr/>
                        </pic:nvPicPr>
                        <pic:blipFill>
                          <a:blip r:embed="rId31"/>
                          <a:stretch/>
                        </pic:blipFill>
                        <pic:spPr>
                          <a:xfrm>
                            <a:off x="0" y="0"/>
                            <a:ext cx="2472120" cy="601920"/>
                          </a:xfrm>
                          <a:prstGeom prst="rect">
                            <a:avLst/>
                          </a:prstGeom>
                          <a:noFill/>
                          <a:ln w="0">
                            <a:noFill/>
                          </a:ln>
                        </pic:spPr>
                      </pic:pic>
                      <wps:wsp>
                        <wps:cNvPr id="42" name=""/>
                        <wps:cNvSpPr/>
                        <wps:spPr>
                          <a:xfrm>
                            <a:off x="1828800" y="365760"/>
                            <a:ext cx="548640" cy="457200"/>
                          </a:xfrm>
                          <a:prstGeom prst="upArrow">
                            <a:avLst>
                              <a:gd name="adj1" fmla="val 50000"/>
                              <a:gd name="adj2" fmla="val 25000"/>
                            </a:avLst>
                          </a:prstGeom>
                          <a:solidFill>
                            <a:srgbClr val="ff0000"/>
                          </a:solidFill>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309.6pt;margin-top:14.15pt;width:194.65pt;height:64.8pt" coordorigin="6192,283" coordsize="3893,1296">
                <v:shape id="shape_0" stroked="f" o:allowincell="f" style="position:absolute;left:6192;top:283;width:3892;height:947;mso-wrap-style:none;v-text-anchor:middle" type="_x0000_t75">
                  <v:imagedata r:id="rId32" o:detectmouseclick="t"/>
                  <v:stroke color="#3465a4" joinstyle="round" endcap="flat"/>
                  <w10:wrap type="none"/>
                </v:shape>
                <v:shape id="shape_0" fillcolor="red" stroked="t" o:allowincell="f" style="position:absolute;left:9072;top:859;width:863;height:719;mso-wrap-style:none;v-text-anchor:middle" type="_x0000_t68">
                  <v:fill o:detectmouseclick="t" type="solid" color2="aqua"/>
                  <v:stroke color="black" weight="9360" joinstyle="miter" endcap="flat"/>
                  <w10:wrap type="none"/>
                </v:shape>
              </v:group>
            </w:pict>
          </mc:Fallback>
        </mc:AlternateContent>
      </w:r>
      <w:r>
        <w:rPr>
          <w:sz w:val="20"/>
        </w:rPr>
        <w:t xml:space="preserve">ERCOT generates a separate settlement for every 15-minute energy and hourly capacity Settlement Interval. The payments are typically based on the Market Clearing Price, or a derived price for each service times the amount of the service procured. </w:t>
      </w:r>
    </w:p>
    <w:p>
      <w:pPr>
        <w:pStyle w:val="Normal"/>
        <w:rPr>
          <w:sz w:val="20"/>
        </w:rPr>
      </w:pPr>
      <w:r>
        <w:rPr>
          <w:sz w:val="20"/>
        </w:rPr>
      </w:r>
    </w:p>
    <w:p>
      <w:pPr>
        <w:pStyle w:val="Normal"/>
        <w:rPr/>
      </w:pPr>
      <w:r>
        <w:rPr>
          <w:sz w:val="20"/>
        </w:rPr>
        <w:t>The cost allocation for each market service is typically done by summing all the payments made to providers of that service for the interval in question. This total cost is then allocated to QSEs</w:t>
      </w:r>
      <w:r>
        <w:fldChar w:fldCharType="begin"/>
      </w:r>
      <w:r>
        <w:rPr/>
        <w:instrText xml:space="preserve"> XE "QSEs" </w:instrText>
      </w:r>
      <w:r>
        <w:rPr/>
        <w:fldChar w:fldCharType="separate"/>
      </w:r>
      <w:r>
        <w:rPr/>
      </w:r>
      <w:r>
        <w:rPr/>
        <w:fldChar w:fldCharType="end"/>
      </w:r>
      <w:r>
        <w:rPr>
          <w:sz w:val="20"/>
        </w:rPr>
        <w:t xml:space="preserve"> in proportion to the amount of the total load, obligation or performance to schedule that they represent. ERCOT thus neither profits nor loses from market activities.</w:t>
      </w:r>
    </w:p>
    <w:p>
      <w:pPr>
        <w:pStyle w:val="Normal"/>
        <w:rPr>
          <w:rFonts w:eastAsia="Book Antiqua"/>
          <w:sz w:val="20"/>
        </w:rPr>
      </w:pPr>
      <w:r>
        <w:rPr>
          <w:rFonts w:eastAsia="Book Antiqua"/>
          <w:sz w:val="20"/>
        </w:rPr>
        <w:t xml:space="preserve"> </w:t>
      </w:r>
    </w:p>
    <w:p>
      <w:pPr>
        <w:pStyle w:val="Normal"/>
        <w:rPr>
          <w:sz w:val="20"/>
        </w:rPr>
      </w:pPr>
      <w:r>
        <w:rPr>
          <w:sz w:val="20"/>
        </w:rPr>
        <w:t>Since the entire meter data that ERCOT needs to perform settlements for a given day is not available until long after that day, ERCOT performs a number of settlement runs as follows:</w:t>
      </w:r>
    </w:p>
    <w:p>
      <w:pPr>
        <w:pStyle w:val="Normal"/>
        <w:rPr>
          <w:sz w:val="20"/>
        </w:rPr>
      </w:pPr>
      <w:r>
        <w:rPr>
          <w:sz w:val="20"/>
        </w:rPr>
      </w:r>
    </w:p>
    <w:p>
      <w:pPr>
        <w:pStyle w:val="Normal"/>
        <w:numPr>
          <w:ilvl w:val="0"/>
          <w:numId w:val="14"/>
        </w:numPr>
        <w:rPr>
          <w:sz w:val="20"/>
        </w:rPr>
      </w:pPr>
      <w:r>
        <w:rPr>
          <w:sz w:val="20"/>
        </w:rPr>
        <w:t>The initial settlement is run 3 days after the operating day, using estimated meter data when the actual readings are not available.</w:t>
      </w:r>
    </w:p>
    <w:p>
      <w:pPr>
        <w:pStyle w:val="Normal"/>
        <w:numPr>
          <w:ilvl w:val="0"/>
          <w:numId w:val="14"/>
        </w:numPr>
        <w:rPr>
          <w:sz w:val="20"/>
        </w:rPr>
      </w:pPr>
      <w:r>
        <w:rPr>
          <w:sz w:val="20"/>
        </w:rPr>
        <w:t>The final settlement is run 45 days after the operating day, by which time all the necessary actual meter readings should be available.</w:t>
      </w:r>
    </w:p>
    <w:p>
      <w:pPr>
        <w:pStyle w:val="Normal"/>
        <w:numPr>
          <w:ilvl w:val="0"/>
          <w:numId w:val="14"/>
        </w:numPr>
        <w:rPr>
          <w:sz w:val="20"/>
        </w:rPr>
      </w:pPr>
      <w:r>
        <w:rPr>
          <w:sz w:val="20"/>
        </w:rPr>
        <w:t xml:space="preserve">A ‘resettlement’ can occur as needed if disputes or data error results in an impact greater than two-percent (2%) of the ERCOT Operating Day market transaction dollars, excluding bilateral transactions </w:t>
      </w:r>
    </w:p>
    <w:p>
      <w:pPr>
        <w:pStyle w:val="Normal"/>
        <w:numPr>
          <w:ilvl w:val="0"/>
          <w:numId w:val="14"/>
        </w:numPr>
        <w:rPr>
          <w:sz w:val="20"/>
        </w:rPr>
      </w:pPr>
      <w:r>
        <w:rPr>
          <w:sz w:val="20"/>
        </w:rPr>
        <w:t xml:space="preserve">A ‘true-up’ settlement is run 6 months after the operating day. </w:t>
      </w:r>
      <w:r>
        <w:rPr/>
        <w:t xml:space="preserve">A </w:t>
      </w:r>
      <w:r>
        <w:rPr>
          <w:sz w:val="20"/>
        </w:rPr>
        <w:t>True-Up Statement will reflect differences to financial records generated on the previous Statement for the given Operating Day.</w:t>
      </w:r>
    </w:p>
    <w:p>
      <w:pPr>
        <w:pStyle w:val="Normal"/>
        <w:rPr>
          <w:sz w:val="20"/>
        </w:rPr>
      </w:pPr>
      <w:r>
        <w:rPr>
          <w:sz w:val="20"/>
        </w:rPr>
      </w:r>
    </w:p>
    <w:p>
      <w:pPr>
        <w:pStyle w:val="Normal"/>
        <w:rPr/>
      </w:pPr>
      <w:r>
        <w:rPr>
          <w:sz w:val="20"/>
        </w:rPr>
        <w:t>ERCOT provides invoices to QSEs</w:t>
      </w:r>
      <w:r>
        <w:fldChar w:fldCharType="begin"/>
      </w:r>
      <w:r>
        <w:rPr/>
        <w:instrText xml:space="preserve"> XE "QSEs" </w:instrText>
      </w:r>
      <w:r>
        <w:rPr/>
        <w:fldChar w:fldCharType="separate"/>
      </w:r>
      <w:r>
        <w:rPr/>
      </w:r>
      <w:r>
        <w:rPr/>
        <w:fldChar w:fldCharType="end"/>
      </w:r>
      <w:r>
        <w:rPr>
          <w:sz w:val="20"/>
        </w:rPr>
        <w:t xml:space="preserve"> every seven days, covering settlement payments and charges, which are paid using electronic funds transfer. ERCOT requires payment in full of each Invoice, regardless of any outstanding disputes.</w:t>
      </w:r>
    </w:p>
    <w:p>
      <w:pPr>
        <w:pStyle w:val="Normal"/>
        <w:rPr>
          <w:sz w:val="20"/>
        </w:rPr>
      </w:pPr>
      <w:r>
        <w:rPr>
          <w:sz w:val="20"/>
        </w:rPr>
      </w:r>
    </w:p>
    <w:p>
      <w:pPr>
        <w:pStyle w:val="Normal"/>
        <w:rPr>
          <w:sz w:val="20"/>
        </w:rPr>
      </w:pPr>
      <w:r>
        <w:rPr>
          <w:sz w:val="20"/>
        </w:rPr>
        <w:t>Finally, ERCOT assesses miscellaneous fees for the service it provides. Examples of these Administrative Fees include the ERCOT Administration Fee, Mismatched Schedule Fees, and Non-ERCOT Participant Fees.</w:t>
      </w:r>
    </w:p>
    <w:p>
      <w:pPr>
        <w:pStyle w:val="Normal"/>
        <w:rPr>
          <w:sz w:val="20"/>
        </w:rPr>
      </w:pPr>
      <w:r>
        <w:rPr>
          <w:sz w:val="20"/>
        </w:rPr>
      </w:r>
    </w:p>
    <w:p>
      <w:pPr>
        <w:pStyle w:val="Heading3"/>
        <w:rPr/>
      </w:pPr>
      <w:bookmarkStart w:id="24" w:name="__RefHeading___Toc505989415"/>
      <w:bookmarkEnd w:id="24"/>
      <w:r>
        <w:rPr/>
        <w:t>Settlement Calculations</w:t>
      </w:r>
    </w:p>
    <w:p>
      <w:pPr>
        <w:pStyle w:val="Normal"/>
        <w:rPr>
          <w:sz w:val="20"/>
        </w:rPr>
      </w:pPr>
      <w:r>
        <w:rPr>
          <w:sz w:val="20"/>
        </w:rPr>
        <w:t>While the settlement formulas used in ERCOT are numerous and can be complicated, they can be simplified somewhat for the purposes of this overview.</w:t>
      </w:r>
    </w:p>
    <w:p>
      <w:pPr>
        <w:pStyle w:val="Normal"/>
        <w:rPr>
          <w:sz w:val="20"/>
        </w:rPr>
      </w:pPr>
      <w:r>
        <w:rPr>
          <w:sz w:val="20"/>
        </w:rPr>
      </w:r>
    </w:p>
    <w:p>
      <w:pPr>
        <w:pStyle w:val="Normal"/>
        <w:rPr>
          <w:sz w:val="20"/>
        </w:rPr>
      </w:pPr>
      <w:r>
        <w:rPr>
          <w:sz w:val="20"/>
        </w:rPr>
        <w:t>There are two main types of settlement:</w:t>
      </w:r>
    </w:p>
    <w:p>
      <w:pPr>
        <w:pStyle w:val="Normal"/>
        <w:rPr>
          <w:sz w:val="20"/>
        </w:rPr>
      </w:pPr>
      <w:r>
        <w:rPr>
          <w:sz w:val="20"/>
        </w:rPr>
        <w:t>- Imbalance settlement</w:t>
      </w:r>
    </w:p>
    <w:p>
      <w:pPr>
        <w:pStyle w:val="Normal"/>
        <w:rPr>
          <w:sz w:val="20"/>
        </w:rPr>
      </w:pPr>
      <w:r>
        <w:rPr>
          <w:sz w:val="20"/>
        </w:rPr>
        <w:t>- Ancillary service settlement</w:t>
      </w:r>
    </w:p>
    <w:p>
      <w:pPr>
        <w:pStyle w:val="Heading4"/>
        <w:rPr>
          <w:sz w:val="20"/>
        </w:rPr>
      </w:pPr>
      <w:r>
        <w:rPr>
          <w:sz w:val="20"/>
        </w:rPr>
      </w:r>
    </w:p>
    <w:p>
      <w:pPr>
        <w:pStyle w:val="Heading4"/>
        <w:rPr/>
      </w:pPr>
      <w:r>
        <w:rPr/>
        <w:t>Imbalance Settlement</w:t>
      </w:r>
    </w:p>
    <w:p>
      <w:pPr>
        <w:pStyle w:val="Style11"/>
        <w:rPr/>
      </w:pPr>
      <w:r>
        <w:rPr/>
        <w:t xml:space="preserve">The imbalance settlement is relatively simple. It applies to both loads and resources. This settlement represents the cost difference between the amount of energy scheduled, and the amount that is actually used or generated. The price applied is the prevailing Market Clearing Price for balancing energy.  </w:t>
      </w:r>
    </w:p>
    <w:p>
      <w:pPr>
        <w:pStyle w:val="Normal"/>
        <w:rPr>
          <w:sz w:val="20"/>
        </w:rPr>
      </w:pPr>
      <w:r>
        <w:rPr>
          <w:sz w:val="20"/>
        </w:rPr>
      </w:r>
    </w:p>
    <w:p>
      <w:pPr>
        <w:pStyle w:val="Normal"/>
        <w:rPr>
          <w:sz w:val="20"/>
        </w:rPr>
      </w:pPr>
      <w:r>
        <mc:AlternateContent>
          <mc:Choice Requires="wps">
            <w:drawing>
              <wp:anchor behindDoc="1" distT="0" distB="0" distL="114935" distR="114935" simplePos="0" locked="0" layoutInCell="1" allowOverlap="1" relativeHeight="134">
                <wp:simplePos x="0" y="0"/>
                <wp:positionH relativeFrom="column">
                  <wp:posOffset>-91440</wp:posOffset>
                </wp:positionH>
                <wp:positionV relativeFrom="paragraph">
                  <wp:posOffset>635</wp:posOffset>
                </wp:positionV>
                <wp:extent cx="4206240" cy="2631440"/>
                <wp:effectExtent l="5080" t="5080" r="81280" b="81280"/>
                <wp:wrapNone/>
                <wp:docPr id="43" name=""/>
                <a:graphic xmlns:a="http://schemas.openxmlformats.org/drawingml/2006/main">
                  <a:graphicData uri="http://schemas.microsoft.com/office/word/2010/wordprocessingShape">
                    <wps:wsp>
                      <wps:cNvSpPr/>
                      <wps:spPr>
                        <a:xfrm>
                          <a:off x="0" y="0"/>
                          <a:ext cx="4206240" cy="2631600"/>
                        </a:xfrm>
                        <a:prstGeom prst="rect">
                          <a:avLst/>
                        </a:prstGeom>
                        <a:solidFill>
                          <a:srgbClr val="eaeaea"/>
                        </a:soli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eaeaea" stroked="t" o:allowincell="f" style="position:absolute;margin-left:-7.2pt;margin-top:0pt;width:331.15pt;height:207.15pt;mso-wrap-style:none;v-text-anchor:middle">
                <v:fill o:detectmouseclick="t" type="solid" color2="#151515"/>
                <v:stroke color="black" weight="9360" joinstyle="miter" endcap="flat"/>
                <v:shadow on="t" obscured="f" color="gray"/>
                <w10:wrap type="none"/>
              </v:rect>
            </w:pict>
          </mc:Fallback>
        </mc:AlternateContent>
      </w:r>
      <w:r>
        <w:rPr>
          <w:sz w:val="20"/>
        </w:rPr>
        <w:t xml:space="preserve">If a generator was scheduled to produce 40MWh in a particular interval, and actually produced 35MWh: </w:t>
      </w:r>
    </w:p>
    <w:p>
      <w:pPr>
        <w:pStyle w:val="Normal"/>
        <w:rPr>
          <w:sz w:val="20"/>
        </w:rPr>
      </w:pPr>
      <w:r>
        <w:rPr>
          <w:sz w:val="20"/>
        </w:rPr>
      </w:r>
    </w:p>
    <w:p>
      <w:pPr>
        <w:pStyle w:val="Normal"/>
        <w:ind w:start="720" w:end="0"/>
        <w:rPr>
          <w:sz w:val="20"/>
        </w:rPr>
      </w:pPr>
      <w:r>
        <w:rPr>
          <w:sz w:val="20"/>
        </w:rPr>
        <w:t>The QSE scheduling that generator will be charged for the 5MWh difference, times the Market Clearing Price. The QSE pays that amount to ERCOT.</w:t>
      </w:r>
    </w:p>
    <w:p>
      <w:pPr>
        <w:pStyle w:val="Normal"/>
        <w:rPr>
          <w:sz w:val="20"/>
        </w:rPr>
      </w:pPr>
      <w:r>
        <w:rPr>
          <w:sz w:val="20"/>
        </w:rPr>
      </w:r>
    </w:p>
    <w:p>
      <w:pPr>
        <w:pStyle w:val="Normal"/>
        <w:rPr/>
      </w:pPr>
      <w:r>
        <w:rPr>
          <w:sz w:val="20"/>
        </w:rPr>
        <w:t>Similarly if a CR</w:t>
      </w:r>
      <w:r>
        <w:fldChar w:fldCharType="begin"/>
      </w:r>
      <w:r>
        <w:rPr/>
        <w:instrText xml:space="preserve"> XE "REP" </w:instrText>
      </w:r>
      <w:r>
        <w:rPr/>
        <w:fldChar w:fldCharType="separate"/>
      </w:r>
      <w:r>
        <w:rPr/>
      </w:r>
      <w:r>
        <w:rPr/>
        <w:fldChar w:fldCharType="end"/>
      </w:r>
      <w:r>
        <w:rPr>
          <w:sz w:val="20"/>
        </w:rPr>
        <w:t xml:space="preserve"> load was scheduled to use 10MWh in an interval and only used 8MWh:</w:t>
      </w:r>
    </w:p>
    <w:p>
      <w:pPr>
        <w:pStyle w:val="Normal"/>
        <w:rPr>
          <w:sz w:val="20"/>
        </w:rPr>
      </w:pPr>
      <w:r>
        <w:rPr>
          <w:sz w:val="20"/>
        </w:rPr>
      </w:r>
    </w:p>
    <w:p>
      <w:pPr>
        <w:pStyle w:val="Normal"/>
        <w:ind w:start="720" w:end="0"/>
        <w:rPr>
          <w:sz w:val="20"/>
        </w:rPr>
      </w:pPr>
      <w:r>
        <w:rPr>
          <w:sz w:val="20"/>
        </w:rPr>
        <w:t>The QSE scheduling that load would be paid the 2MWh difference, times the Market Clearing Price. ERCOT pays that amount to the QSE.</w:t>
      </w:r>
    </w:p>
    <w:p>
      <w:pPr>
        <w:pStyle w:val="Normal"/>
        <w:rPr>
          <w:sz w:val="20"/>
        </w:rPr>
      </w:pPr>
      <w:r>
        <w:rPr>
          <w:sz w:val="20"/>
        </w:rPr>
      </w:r>
    </w:p>
    <w:p>
      <w:pPr>
        <w:pStyle w:val="Normal"/>
        <w:rPr/>
      </w:pPr>
      <w:r>
        <w:rPr>
          <w:sz w:val="20"/>
        </w:rPr>
        <w:t>Since the bilateral</w:t>
      </w:r>
      <w:r>
        <w:fldChar w:fldCharType="begin"/>
      </w:r>
      <w:r>
        <w:rPr/>
        <w:instrText xml:space="preserve"> XE "bilateral" </w:instrText>
      </w:r>
      <w:r>
        <w:rPr/>
        <w:fldChar w:fldCharType="separate"/>
      </w:r>
      <w:r>
        <w:rPr/>
      </w:r>
      <w:r>
        <w:rPr/>
        <w:fldChar w:fldCharType="end"/>
      </w:r>
      <w:r>
        <w:rPr>
          <w:sz w:val="20"/>
        </w:rPr>
        <w:t xml:space="preserve"> schedules that ERCOT received were balanced in the first place, the sum of all imbalance charges will net to zero.</w:t>
      </w:r>
    </w:p>
    <w:p>
      <w:pPr>
        <w:pStyle w:val="Normal"/>
        <w:rPr>
          <w:sz w:val="20"/>
        </w:rPr>
      </w:pPr>
      <w:r>
        <w:rPr>
          <w:sz w:val="20"/>
        </w:rPr>
      </w:r>
    </w:p>
    <w:p>
      <w:pPr>
        <w:pStyle w:val="Normal"/>
        <w:rPr/>
      </w:pPr>
      <w:r>
        <w:rPr/>
      </w:r>
    </w:p>
    <w:p>
      <w:pPr>
        <w:pStyle w:val="Normal"/>
        <w:rPr/>
      </w:pPr>
      <w:r>
        <w:rPr/>
      </w:r>
    </w:p>
    <w:p>
      <w:pPr>
        <w:pStyle w:val="Heading4"/>
        <w:rPr/>
      </w:pPr>
      <w:r>
        <w:rPr/>
        <w:t>Ancillary Service Settlement</w:t>
      </w:r>
    </w:p>
    <w:p>
      <w:pPr>
        <w:pStyle w:val="Normal"/>
        <w:rPr/>
      </w:pPr>
      <w:r>
        <w:rPr>
          <w:sz w:val="20"/>
        </w:rPr>
        <w:t>For ancillary services</w:t>
      </w:r>
      <w:r>
        <w:fldChar w:fldCharType="begin"/>
      </w:r>
      <w:r>
        <w:rPr/>
        <w:instrText xml:space="preserve"> XE "ancillary services" </w:instrText>
      </w:r>
      <w:r>
        <w:rPr/>
        <w:fldChar w:fldCharType="separate"/>
      </w:r>
      <w:r>
        <w:rPr/>
      </w:r>
      <w:r>
        <w:rPr/>
        <w:fldChar w:fldCharType="end"/>
      </w:r>
      <w:r>
        <w:rPr>
          <w:sz w:val="20"/>
        </w:rPr>
        <w:t xml:space="preserve"> settlement, ERCOT treats the payment to providers of the service separately from the charge-back to all QSEs</w:t>
      </w:r>
      <w:r>
        <w:fldChar w:fldCharType="begin"/>
      </w:r>
      <w:r>
        <w:rPr/>
        <w:instrText xml:space="preserve"> XE "QSEs" </w:instrText>
      </w:r>
      <w:r>
        <w:rPr/>
        <w:fldChar w:fldCharType="separate"/>
      </w:r>
      <w:r>
        <w:rPr/>
      </w:r>
      <w:r>
        <w:rPr/>
        <w:fldChar w:fldCharType="end"/>
      </w:r>
      <w:r>
        <w:rPr/>
        <w:t>.</w:t>
      </w:r>
    </w:p>
    <w:p>
      <w:pPr>
        <w:pStyle w:val="Header"/>
        <w:tabs>
          <w:tab w:val="clear" w:pos="4320"/>
          <w:tab w:val="clear" w:pos="8640"/>
        </w:tabs>
        <w:rPr/>
      </w:pPr>
      <w:r>
        <w:rPr/>
      </w:r>
    </w:p>
    <w:p>
      <w:pPr>
        <w:pStyle w:val="Heading6"/>
        <w:rPr/>
      </w:pPr>
      <w:r>
        <w:rPr/>
        <w:t>Payments to providers of ancillary services</w:t>
      </w:r>
      <w:r>
        <w:fldChar w:fldCharType="begin"/>
      </w:r>
      <w:r>
        <w:rPr/>
        <w:instrText xml:space="preserve"> XE "ancillary services" </w:instrText>
      </w:r>
      <w:r>
        <w:rPr/>
        <w:fldChar w:fldCharType="separate"/>
      </w:r>
      <w:r>
        <w:rPr/>
      </w:r>
      <w:r>
        <w:rPr/>
        <w:fldChar w:fldCharType="end"/>
      </w:r>
      <w:r>
        <w:rPr/>
        <w:t xml:space="preserve"> </w:t>
      </w:r>
    </w:p>
    <w:p>
      <w:pPr>
        <w:pStyle w:val="Normal"/>
        <w:rPr/>
      </w:pPr>
      <w:r>
        <w:rPr>
          <w:sz w:val="20"/>
        </w:rPr>
        <w:t>For Regulation, Responsive Reserve</w:t>
      </w:r>
      <w:r>
        <w:fldChar w:fldCharType="begin"/>
      </w:r>
      <w:r>
        <w:rPr/>
        <w:instrText xml:space="preserve"> XE "Responsive Reserve" </w:instrText>
      </w:r>
      <w:r>
        <w:rPr/>
        <w:fldChar w:fldCharType="separate"/>
      </w:r>
      <w:r>
        <w:rPr/>
      </w:r>
      <w:r>
        <w:rPr/>
        <w:fldChar w:fldCharType="end"/>
      </w:r>
      <w:r>
        <w:rPr>
          <w:sz w:val="20"/>
        </w:rPr>
        <w:t>, Non-Spinning Reserve</w:t>
      </w:r>
      <w:r>
        <w:fldChar w:fldCharType="begin"/>
      </w:r>
      <w:r>
        <w:rPr/>
        <w:instrText xml:space="preserve"> XE "Non-Spinning Reserve" </w:instrText>
      </w:r>
      <w:r>
        <w:rPr/>
        <w:fldChar w:fldCharType="separate"/>
      </w:r>
      <w:r>
        <w:rPr/>
      </w:r>
      <w:r>
        <w:rPr/>
        <w:fldChar w:fldCharType="end"/>
      </w:r>
      <w:r>
        <w:rPr>
          <w:sz w:val="20"/>
        </w:rPr>
        <w:t xml:space="preserve"> and Replacement Reserve, the payment to a QSE providing a service in a given settlement interval is simply the amount of service awarded to the QSE times the Market Clearing Price for that service for the settlement interval. </w:t>
      </w:r>
    </w:p>
    <w:p>
      <w:pPr>
        <w:pStyle w:val="Normal"/>
        <w:rPr>
          <w:sz w:val="20"/>
        </w:rPr>
      </w:pPr>
      <w:r>
        <w:rPr>
          <w:sz w:val="20"/>
        </w:rPr>
      </w:r>
    </w:p>
    <w:p>
      <w:pPr>
        <w:pStyle w:val="Normal"/>
        <w:rPr>
          <w:sz w:val="20"/>
        </w:rPr>
      </w:pPr>
      <w:r>
        <w:rPr>
          <w:sz w:val="20"/>
        </w:rPr>
        <w:t>If there was a different Market Clearing Price for the same settlement interval in the Day-Ahead versus the Adjustment markets, the higher price is used for all awarded capacity.</w:t>
      </w:r>
    </w:p>
    <w:p>
      <w:pPr>
        <w:pStyle w:val="Normal"/>
        <w:rPr>
          <w:sz w:val="20"/>
        </w:rPr>
      </w:pPr>
      <w:r>
        <w:rPr>
          <w:sz w:val="20"/>
        </w:rPr>
      </w:r>
    </w:p>
    <w:p>
      <w:pPr>
        <w:pStyle w:val="Normal"/>
        <w:rPr/>
      </w:pPr>
      <w:r>
        <w:rPr>
          <w:sz w:val="20"/>
        </w:rPr>
        <w:t>For example, a QSE that is awarded 200MWh of Responsive Reserve</w:t>
      </w:r>
      <w:r>
        <w:fldChar w:fldCharType="begin"/>
      </w:r>
      <w:r>
        <w:rPr/>
        <w:instrText xml:space="preserve"> XE "Responsive Reserve" </w:instrText>
      </w:r>
      <w:r>
        <w:rPr/>
        <w:fldChar w:fldCharType="separate"/>
      </w:r>
      <w:r>
        <w:rPr/>
      </w:r>
      <w:r>
        <w:rPr/>
        <w:fldChar w:fldCharType="end"/>
      </w:r>
      <w:r>
        <w:rPr>
          <w:sz w:val="20"/>
        </w:rPr>
        <w:t xml:space="preserve"> for an interval that has a market-clearing price of $10/MWh for energy would be paid $2000 by ERCOT.</w:t>
      </w:r>
    </w:p>
    <w:p>
      <w:pPr>
        <w:pStyle w:val="Normal"/>
        <w:rPr>
          <w:sz w:val="20"/>
        </w:rPr>
      </w:pPr>
      <w:r>
        <w:rPr>
          <w:sz w:val="20"/>
        </w:rPr>
      </w:r>
    </w:p>
    <w:p>
      <w:pPr>
        <w:pStyle w:val="Normal"/>
        <w:rPr/>
      </w:pPr>
      <w:r>
        <w:rPr>
          <w:sz w:val="20"/>
        </w:rPr>
        <w:t>Note that the payment is made only for services awarded to the QSE by ERCOT. QSEs</w:t>
      </w:r>
      <w:r>
        <w:fldChar w:fldCharType="begin"/>
      </w:r>
      <w:r>
        <w:rPr/>
        <w:instrText xml:space="preserve"> XE "QSEs" </w:instrText>
      </w:r>
      <w:r>
        <w:rPr/>
        <w:fldChar w:fldCharType="separate"/>
      </w:r>
      <w:r>
        <w:rPr/>
      </w:r>
      <w:r>
        <w:rPr/>
        <w:fldChar w:fldCharType="end"/>
      </w:r>
      <w:r>
        <w:rPr>
          <w:sz w:val="20"/>
        </w:rPr>
        <w:t xml:space="preserve"> are not paid by ERCOT for ancillary services</w:t>
      </w:r>
      <w:r>
        <w:fldChar w:fldCharType="begin"/>
      </w:r>
      <w:r>
        <w:rPr/>
        <w:instrText xml:space="preserve"> XE "ancillary services" </w:instrText>
      </w:r>
      <w:r>
        <w:rPr/>
        <w:fldChar w:fldCharType="separate"/>
      </w:r>
      <w:r>
        <w:rPr/>
      </w:r>
      <w:r>
        <w:rPr/>
        <w:fldChar w:fldCharType="end"/>
      </w:r>
      <w:r>
        <w:rPr>
          <w:sz w:val="20"/>
        </w:rPr>
        <w:t xml:space="preserve"> that they are self-providing. </w:t>
      </w:r>
    </w:p>
    <w:p>
      <w:pPr>
        <w:pStyle w:val="Normal"/>
        <w:rPr>
          <w:sz w:val="20"/>
        </w:rPr>
      </w:pPr>
      <w:r>
        <w:rPr>
          <w:sz w:val="20"/>
        </w:rPr>
      </w:r>
    </w:p>
    <w:p>
      <w:pPr>
        <w:pStyle w:val="Heading4"/>
        <w:rPr/>
      </w:pPr>
      <w:r>
        <w:rPr/>
        <w:t>Allocation of the costs of ancillary services</w:t>
      </w:r>
      <w:r>
        <w:fldChar w:fldCharType="begin"/>
      </w:r>
      <w:r>
        <w:rPr/>
        <w:instrText xml:space="preserve"> XE "ancillary services" </w:instrText>
      </w:r>
      <w:r>
        <w:rPr/>
        <w:fldChar w:fldCharType="separate"/>
      </w:r>
      <w:r>
        <w:rPr/>
      </w:r>
      <w:r>
        <w:rPr/>
        <w:fldChar w:fldCharType="end"/>
      </w:r>
    </w:p>
    <w:p>
      <w:pPr>
        <w:pStyle w:val="Normal"/>
        <w:rPr/>
      </w:pPr>
      <w:r>
        <w:rPr>
          <w:sz w:val="20"/>
        </w:rPr>
        <w:t>The basic principle behind the allocation of the cost of ancillary services</w:t>
      </w:r>
      <w:r>
        <w:fldChar w:fldCharType="begin"/>
      </w:r>
      <w:r>
        <w:rPr/>
        <w:instrText xml:space="preserve"> XE "ancillary services" </w:instrText>
      </w:r>
      <w:r>
        <w:rPr/>
        <w:fldChar w:fldCharType="separate"/>
      </w:r>
      <w:r>
        <w:rPr/>
      </w:r>
      <w:r>
        <w:rPr/>
        <w:fldChar w:fldCharType="end"/>
      </w:r>
      <w:r>
        <w:rPr>
          <w:sz w:val="20"/>
        </w:rPr>
        <w:t xml:space="preserve"> is as follows:</w:t>
      </w:r>
    </w:p>
    <w:p>
      <w:pPr>
        <w:pStyle w:val="Normal"/>
        <w:rPr>
          <w:sz w:val="20"/>
        </w:rPr>
      </w:pPr>
      <w:r>
        <w:rPr>
          <w:sz w:val="20"/>
        </w:rPr>
      </w:r>
    </w:p>
    <w:p>
      <w:pPr>
        <w:pStyle w:val="Normal"/>
        <w:numPr>
          <w:ilvl w:val="0"/>
          <w:numId w:val="48"/>
        </w:numPr>
        <w:rPr>
          <w:sz w:val="20"/>
        </w:rPr>
      </w:pPr>
      <w:r>
        <w:rPr>
          <w:sz w:val="20"/>
        </w:rPr>
        <w:t>Total cost to ERCOT of each ancillary service in a given settlement interval is calculated by summing all the costs ERCOT has incurred for that service.</w:t>
      </w:r>
    </w:p>
    <w:p>
      <w:pPr>
        <w:pStyle w:val="Normal"/>
        <w:rPr>
          <w:sz w:val="20"/>
        </w:rPr>
      </w:pPr>
      <w:r>
        <w:rPr>
          <w:sz w:val="20"/>
        </w:rPr>
      </w:r>
    </w:p>
    <w:p>
      <w:pPr>
        <w:pStyle w:val="Normal"/>
        <w:numPr>
          <w:ilvl w:val="0"/>
          <w:numId w:val="48"/>
        </w:numPr>
        <w:rPr>
          <w:sz w:val="20"/>
        </w:rPr>
      </w:pPr>
      <w:r>
        <w:rPr>
          <w:sz w:val="20"/>
        </w:rPr>
        <w:t>Total cost is divided by the amount of that service procured by ERCOT in the interval, excluding self-arranged amounts, to provide a system-wide price for that service in the particular Settlement Interval.</w:t>
      </w:r>
    </w:p>
    <w:p>
      <w:pPr>
        <w:pStyle w:val="Normal"/>
        <w:rPr>
          <w:sz w:val="20"/>
        </w:rPr>
      </w:pPr>
      <w:r>
        <w:rPr>
          <w:sz w:val="20"/>
        </w:rPr>
      </w:r>
    </w:p>
    <w:p>
      <w:pPr>
        <w:pStyle w:val="Normal"/>
        <w:numPr>
          <w:ilvl w:val="0"/>
          <w:numId w:val="48"/>
        </w:numPr>
        <w:rPr>
          <w:sz w:val="20"/>
        </w:rPr>
      </w:pPr>
      <w:r>
        <w:rPr>
          <w:sz w:val="20"/>
        </w:rPr>
        <w:t>The obligation of each QSE for that service has been established in advance, based on its share of the total system load. This obligation is reduced by any self-arranged ancillary services that the QSE obtains through bilateral agreements or trades.  A QSE can self-provide 100% of its ancillary service obligations.</w:t>
      </w:r>
    </w:p>
    <w:p>
      <w:pPr>
        <w:pStyle w:val="Normal"/>
        <w:rPr>
          <w:sz w:val="20"/>
        </w:rPr>
      </w:pPr>
      <w:r>
        <w:rPr>
          <w:sz w:val="20"/>
        </w:rPr>
      </w:r>
    </w:p>
    <w:p>
      <w:pPr>
        <w:pStyle w:val="Normal"/>
        <w:numPr>
          <w:ilvl w:val="0"/>
          <w:numId w:val="48"/>
        </w:numPr>
        <w:rPr>
          <w:sz w:val="20"/>
        </w:rPr>
      </w:pPr>
      <w:r>
        <w:rPr>
          <w:sz w:val="20"/>
        </w:rPr>
        <w:t>The obligation for a QSE is multiplied by the price derived in (b) to obtain the total cost allocation.</w:t>
      </w:r>
      <w:r>
        <w:br w:type="page"/>
      </w:r>
    </w:p>
    <w:p>
      <w:pPr>
        <w:pStyle w:val="Normal"/>
        <w:rPr>
          <w:sz w:val="20"/>
        </w:rPr>
      </w:pPr>
      <w:r>
        <w:rPr>
          <w:sz w:val="20"/>
        </w:rPr>
      </w:r>
    </w:p>
    <w:p>
      <w:pPr>
        <w:pStyle w:val="Normal"/>
        <w:rPr>
          <w:sz w:val="20"/>
        </w:rPr>
      </w:pPr>
      <w:r>
        <w:rPr>
          <w:sz w:val="20"/>
        </w:rPr>
      </w:r>
    </w:p>
    <w:p>
      <w:pPr>
        <w:pStyle w:val="Normal"/>
        <w:rPr/>
      </w:pPr>
      <w:r>
        <mc:AlternateContent>
          <mc:Choice Requires="wps">
            <w:drawing>
              <wp:anchor behindDoc="1" distT="0" distB="0" distL="114935" distR="114935" simplePos="0" locked="0" layoutInCell="1" allowOverlap="1" relativeHeight="135">
                <wp:simplePos x="0" y="0"/>
                <wp:positionH relativeFrom="column">
                  <wp:posOffset>-274320</wp:posOffset>
                </wp:positionH>
                <wp:positionV relativeFrom="paragraph">
                  <wp:posOffset>8255</wp:posOffset>
                </wp:positionV>
                <wp:extent cx="6400800" cy="3657600"/>
                <wp:effectExtent l="5080" t="5080" r="81280" b="81280"/>
                <wp:wrapNone/>
                <wp:docPr id="44" name=""/>
                <a:graphic xmlns:a="http://schemas.openxmlformats.org/drawingml/2006/main">
                  <a:graphicData uri="http://schemas.microsoft.com/office/word/2010/wordprocessingShape">
                    <wps:wsp>
                      <wps:cNvSpPr/>
                      <wps:spPr>
                        <a:xfrm>
                          <a:off x="0" y="0"/>
                          <a:ext cx="6400800" cy="3657600"/>
                        </a:xfrm>
                        <a:prstGeom prst="rect">
                          <a:avLst/>
                        </a:prstGeom>
                        <a:solidFill>
                          <a:srgbClr val="dddddd"/>
                        </a:soli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dddddd" stroked="t" o:allowincell="f" style="position:absolute;margin-left:-21.6pt;margin-top:0.65pt;width:503.95pt;height:287.95pt;mso-wrap-style:none;v-text-anchor:middle">
                <v:fill o:detectmouseclick="t" type="solid" color2="#222222"/>
                <v:stroke color="black" weight="9360" joinstyle="miter" endcap="flat"/>
                <v:shadow on="t" obscured="f" color="gray"/>
                <w10:wrap type="none"/>
              </v:rect>
            </w:pict>
          </mc:Fallback>
        </mc:AlternateContent>
      </w:r>
      <w:r>
        <w:rPr>
          <w:sz w:val="20"/>
        </w:rPr>
        <w:t>For example imagine a situation where there are 1000MWh of Responsive Reserve</w:t>
      </w:r>
      <w:r>
        <w:fldChar w:fldCharType="begin"/>
      </w:r>
      <w:r>
        <w:rPr/>
        <w:instrText xml:space="preserve"> XE "Responsive Reserve" </w:instrText>
      </w:r>
      <w:r>
        <w:rPr/>
        <w:fldChar w:fldCharType="separate"/>
      </w:r>
      <w:r>
        <w:rPr/>
      </w:r>
      <w:r>
        <w:rPr/>
        <w:fldChar w:fldCharType="end"/>
      </w:r>
      <w:r>
        <w:rPr>
          <w:sz w:val="20"/>
        </w:rPr>
        <w:t xml:space="preserve"> required across the whole ERCOT region for a given settlement interval. There are only three QSEs</w:t>
      </w:r>
      <w:r>
        <w:fldChar w:fldCharType="begin"/>
      </w:r>
      <w:r>
        <w:rPr/>
        <w:instrText xml:space="preserve"> XE "QSEs" </w:instrText>
      </w:r>
      <w:r>
        <w:rPr/>
        <w:fldChar w:fldCharType="separate"/>
      </w:r>
      <w:r>
        <w:rPr/>
      </w:r>
      <w:r>
        <w:rPr/>
        <w:fldChar w:fldCharType="end"/>
      </w:r>
      <w:r>
        <w:rPr>
          <w:sz w:val="20"/>
        </w:rPr>
        <w:t>:</w:t>
      </w:r>
    </w:p>
    <w:p>
      <w:pPr>
        <w:pStyle w:val="Normal"/>
        <w:numPr>
          <w:ilvl w:val="0"/>
          <w:numId w:val="69"/>
        </w:numPr>
        <w:rPr>
          <w:sz w:val="20"/>
        </w:rPr>
      </w:pPr>
      <w:r>
        <w:rPr>
          <w:sz w:val="20"/>
        </w:rPr>
        <w:t>QSE A has an obligation for 500MWh, and is awarded 200</w:t>
      </w:r>
    </w:p>
    <w:p>
      <w:pPr>
        <w:pStyle w:val="Normal"/>
        <w:numPr>
          <w:ilvl w:val="0"/>
          <w:numId w:val="69"/>
        </w:numPr>
        <w:rPr>
          <w:sz w:val="20"/>
        </w:rPr>
      </w:pPr>
      <w:r>
        <w:rPr>
          <w:sz w:val="20"/>
        </w:rPr>
        <w:t>QSE B has an obligation for 300MWh, and is awarded 800</w:t>
      </w:r>
    </w:p>
    <w:p>
      <w:pPr>
        <w:pStyle w:val="Normal"/>
        <w:numPr>
          <w:ilvl w:val="0"/>
          <w:numId w:val="69"/>
        </w:numPr>
        <w:rPr>
          <w:sz w:val="20"/>
        </w:rPr>
      </w:pPr>
      <w:r>
        <w:rPr>
          <w:sz w:val="20"/>
        </w:rPr>
        <w:t>QSE C has an obligation for 200MWh, and is awarded 0</w:t>
      </w:r>
    </w:p>
    <w:p>
      <w:pPr>
        <w:pStyle w:val="Style11"/>
        <w:rPr>
          <w:sz w:val="20"/>
        </w:rPr>
      </w:pPr>
      <w:r>
        <w:rPr>
          <w:sz w:val="20"/>
        </w:rPr>
      </w:r>
    </w:p>
    <w:p>
      <w:pPr>
        <w:pStyle w:val="Normal"/>
        <w:rPr/>
      </w:pPr>
      <w:r>
        <w:rPr>
          <w:sz w:val="20"/>
        </w:rPr>
        <w:t xml:space="preserve">The Market Clearing Price is $10/MWh. Assume for simplicity that there is no self-provision. The net allocation </w:t>
      </w:r>
      <w:r>
        <w:rPr>
          <w:sz w:val="20"/>
          <w:u w:val="single"/>
        </w:rPr>
        <w:t xml:space="preserve">from the perspective of each QSE </w:t>
      </w:r>
      <w:r>
        <w:rPr>
          <w:sz w:val="20"/>
        </w:rPr>
        <w:t>would be as follows:</w:t>
      </w:r>
    </w:p>
    <w:p>
      <w:pPr>
        <w:pStyle w:val="Style11"/>
        <w:rPr>
          <w:sz w:val="20"/>
        </w:rPr>
      </w:pPr>
      <w:r>
        <w:rPr>
          <w:sz w:val="20"/>
        </w:rPr>
      </w:r>
    </w:p>
    <w:tbl>
      <w:tblPr>
        <w:tblW w:w="9540" w:type="dxa"/>
        <w:jc w:val="start"/>
        <w:tblInd w:w="-150" w:type="dxa"/>
        <w:tblLayout w:type="fixed"/>
        <w:tblCellMar>
          <w:top w:w="0" w:type="dxa"/>
          <w:start w:w="30" w:type="dxa"/>
          <w:bottom w:w="0" w:type="dxa"/>
          <w:end w:w="30" w:type="dxa"/>
        </w:tblCellMar>
      </w:tblPr>
      <w:tblGrid>
        <w:gridCol w:w="90"/>
        <w:gridCol w:w="630"/>
        <w:gridCol w:w="540"/>
        <w:gridCol w:w="1530"/>
        <w:gridCol w:w="1260"/>
        <w:gridCol w:w="1080"/>
        <w:gridCol w:w="1620"/>
        <w:gridCol w:w="1530"/>
        <w:gridCol w:w="1260"/>
      </w:tblGrid>
      <w:tr>
        <w:trPr>
          <w:trHeight w:val="576" w:hRule="atLeast"/>
        </w:trPr>
        <w:tc>
          <w:tcPr>
            <w:tcW w:w="90" w:type="dxa"/>
            <w:tcBorders>
              <w:bottom w:val="single" w:sz="6" w:space="0" w:color="000000"/>
            </w:tcBorders>
          </w:tcPr>
          <w:p>
            <w:pPr>
              <w:pStyle w:val="Normal"/>
              <w:snapToGrid w:val="false"/>
              <w:jc w:val="end"/>
              <w:rPr>
                <w:color w:val="000000"/>
                <w:sz w:val="20"/>
              </w:rPr>
            </w:pPr>
            <w:r>
              <w:rPr>
                <w:color w:val="000000"/>
                <w:sz w:val="20"/>
              </w:rPr>
            </w:r>
          </w:p>
        </w:tc>
        <w:tc>
          <w:tcPr>
            <w:tcW w:w="2700" w:type="dxa"/>
            <w:gridSpan w:val="3"/>
            <w:tcBorders>
              <w:bottom w:val="single" w:sz="6" w:space="0" w:color="000000"/>
            </w:tcBorders>
          </w:tcPr>
          <w:p>
            <w:pPr>
              <w:pStyle w:val="Normal"/>
              <w:jc w:val="end"/>
              <w:rPr>
                <w:color w:val="000000"/>
                <w:sz w:val="20"/>
              </w:rPr>
            </w:pPr>
            <w:r>
              <w:rPr>
                <w:color w:val="000000"/>
                <w:sz w:val="20"/>
              </w:rPr>
              <w:t>Obligation</w:t>
            </w:r>
          </w:p>
        </w:tc>
        <w:tc>
          <w:tcPr>
            <w:tcW w:w="1260" w:type="dxa"/>
            <w:tcBorders>
              <w:bottom w:val="single" w:sz="6" w:space="0" w:color="000000"/>
            </w:tcBorders>
          </w:tcPr>
          <w:p>
            <w:pPr>
              <w:pStyle w:val="Normal"/>
              <w:jc w:val="end"/>
              <w:rPr>
                <w:color w:val="000000"/>
                <w:sz w:val="20"/>
              </w:rPr>
            </w:pPr>
            <w:r>
              <w:rPr>
                <w:color w:val="000000"/>
                <w:sz w:val="20"/>
              </w:rPr>
              <w:t>Amount awarded</w:t>
            </w:r>
          </w:p>
        </w:tc>
        <w:tc>
          <w:tcPr>
            <w:tcW w:w="1080" w:type="dxa"/>
            <w:tcBorders>
              <w:bottom w:val="single" w:sz="6" w:space="0" w:color="000000"/>
            </w:tcBorders>
          </w:tcPr>
          <w:p>
            <w:pPr>
              <w:pStyle w:val="Normal"/>
              <w:jc w:val="end"/>
              <w:rPr>
                <w:color w:val="000000"/>
                <w:sz w:val="20"/>
              </w:rPr>
            </w:pPr>
            <w:r>
              <w:rPr>
                <w:color w:val="000000"/>
                <w:sz w:val="20"/>
              </w:rPr>
              <w:t>Clearing price</w:t>
            </w:r>
          </w:p>
        </w:tc>
        <w:tc>
          <w:tcPr>
            <w:tcW w:w="1620" w:type="dxa"/>
            <w:tcBorders>
              <w:bottom w:val="single" w:sz="6" w:space="0" w:color="000000"/>
            </w:tcBorders>
          </w:tcPr>
          <w:p>
            <w:pPr>
              <w:pStyle w:val="Normal"/>
              <w:jc w:val="end"/>
              <w:rPr>
                <w:color w:val="000000"/>
                <w:sz w:val="20"/>
              </w:rPr>
            </w:pPr>
            <w:r>
              <w:rPr>
                <w:color w:val="000000"/>
                <w:sz w:val="20"/>
              </w:rPr>
              <w:t>Payment for provision</w:t>
            </w:r>
          </w:p>
        </w:tc>
        <w:tc>
          <w:tcPr>
            <w:tcW w:w="1530" w:type="dxa"/>
            <w:tcBorders>
              <w:bottom w:val="single" w:sz="6" w:space="0" w:color="000000"/>
            </w:tcBorders>
          </w:tcPr>
          <w:p>
            <w:pPr>
              <w:pStyle w:val="Normal"/>
              <w:jc w:val="end"/>
              <w:rPr>
                <w:color w:val="000000"/>
                <w:sz w:val="20"/>
              </w:rPr>
            </w:pPr>
            <w:r>
              <w:rPr>
                <w:color w:val="000000"/>
                <w:sz w:val="20"/>
              </w:rPr>
              <w:t>Total allocation</w:t>
            </w:r>
          </w:p>
        </w:tc>
        <w:tc>
          <w:tcPr>
            <w:tcW w:w="1260" w:type="dxa"/>
            <w:tcBorders>
              <w:bottom w:val="single" w:sz="6" w:space="0" w:color="000000"/>
            </w:tcBorders>
          </w:tcPr>
          <w:p>
            <w:pPr>
              <w:pStyle w:val="Normal"/>
              <w:jc w:val="end"/>
              <w:rPr>
                <w:color w:val="000000"/>
                <w:sz w:val="20"/>
              </w:rPr>
            </w:pPr>
            <w:r>
              <w:rPr>
                <w:color w:val="000000"/>
                <w:sz w:val="20"/>
              </w:rPr>
              <w:t>Net Allocation</w:t>
            </w:r>
          </w:p>
        </w:tc>
      </w:tr>
      <w:tr>
        <w:trPr>
          <w:trHeight w:val="288" w:hRule="atLeast"/>
        </w:trPr>
        <w:tc>
          <w:tcPr>
            <w:tcW w:w="1260" w:type="dxa"/>
            <w:gridSpan w:val="3"/>
            <w:tcBorders/>
          </w:tcPr>
          <w:p>
            <w:pPr>
              <w:pStyle w:val="Normal"/>
              <w:rPr>
                <w:color w:val="000000"/>
                <w:sz w:val="20"/>
              </w:rPr>
            </w:pPr>
            <w:r>
              <w:rPr>
                <w:color w:val="000000"/>
                <w:sz w:val="20"/>
              </w:rPr>
              <w:t>QSE A</w:t>
            </w:r>
          </w:p>
        </w:tc>
        <w:tc>
          <w:tcPr>
            <w:tcW w:w="1530" w:type="dxa"/>
            <w:tcBorders/>
          </w:tcPr>
          <w:p>
            <w:pPr>
              <w:pStyle w:val="Normal"/>
              <w:jc w:val="end"/>
              <w:rPr>
                <w:color w:val="000000"/>
                <w:sz w:val="20"/>
              </w:rPr>
            </w:pPr>
            <w:r>
              <w:rPr>
                <w:color w:val="000000"/>
                <w:sz w:val="20"/>
              </w:rPr>
              <w:t>500</w:t>
            </w:r>
          </w:p>
        </w:tc>
        <w:tc>
          <w:tcPr>
            <w:tcW w:w="1260" w:type="dxa"/>
            <w:tcBorders/>
          </w:tcPr>
          <w:p>
            <w:pPr>
              <w:pStyle w:val="Normal"/>
              <w:jc w:val="end"/>
              <w:rPr>
                <w:color w:val="000000"/>
                <w:sz w:val="20"/>
              </w:rPr>
            </w:pPr>
            <w:r>
              <w:rPr>
                <w:color w:val="000000"/>
                <w:sz w:val="20"/>
              </w:rPr>
              <w:t>200</w:t>
            </w:r>
          </w:p>
        </w:tc>
        <w:tc>
          <w:tcPr>
            <w:tcW w:w="1080" w:type="dxa"/>
            <w:tcBorders/>
          </w:tcPr>
          <w:p>
            <w:pPr>
              <w:pStyle w:val="Normal"/>
              <w:jc w:val="end"/>
              <w:rPr>
                <w:color w:val="000000"/>
                <w:sz w:val="20"/>
              </w:rPr>
            </w:pPr>
            <w:r>
              <w:rPr>
                <w:color w:val="000000"/>
                <w:sz w:val="20"/>
              </w:rPr>
              <w:t>$10</w:t>
            </w:r>
          </w:p>
        </w:tc>
        <w:tc>
          <w:tcPr>
            <w:tcW w:w="1620" w:type="dxa"/>
            <w:tcBorders/>
          </w:tcPr>
          <w:p>
            <w:pPr>
              <w:pStyle w:val="Normal"/>
              <w:jc w:val="end"/>
              <w:rPr>
                <w:color w:val="000000"/>
                <w:sz w:val="20"/>
              </w:rPr>
            </w:pPr>
            <w:r>
              <w:rPr>
                <w:color w:val="000000"/>
                <w:sz w:val="20"/>
              </w:rPr>
              <w:t>$2,000</w:t>
            </w:r>
          </w:p>
        </w:tc>
        <w:tc>
          <w:tcPr>
            <w:tcW w:w="1530" w:type="dxa"/>
            <w:tcBorders/>
          </w:tcPr>
          <w:p>
            <w:pPr>
              <w:pStyle w:val="Normal"/>
              <w:jc w:val="end"/>
              <w:rPr>
                <w:color w:val="000000"/>
                <w:sz w:val="20"/>
              </w:rPr>
            </w:pPr>
            <w:r>
              <w:rPr>
                <w:color w:val="000000"/>
                <w:sz w:val="20"/>
              </w:rPr>
              <w:t>-$5,000</w:t>
            </w:r>
          </w:p>
        </w:tc>
        <w:tc>
          <w:tcPr>
            <w:tcW w:w="1260" w:type="dxa"/>
            <w:tcBorders/>
          </w:tcPr>
          <w:p>
            <w:pPr>
              <w:pStyle w:val="Normal"/>
              <w:jc w:val="end"/>
              <w:rPr>
                <w:color w:val="000000"/>
                <w:sz w:val="20"/>
              </w:rPr>
            </w:pPr>
            <w:r>
              <w:rPr>
                <w:color w:val="000000"/>
                <w:sz w:val="20"/>
              </w:rPr>
              <w:t>-$3,000</w:t>
            </w:r>
          </w:p>
        </w:tc>
      </w:tr>
      <w:tr>
        <w:trPr>
          <w:trHeight w:val="288" w:hRule="atLeast"/>
        </w:trPr>
        <w:tc>
          <w:tcPr>
            <w:tcW w:w="720" w:type="dxa"/>
            <w:gridSpan w:val="2"/>
            <w:tcBorders/>
          </w:tcPr>
          <w:p>
            <w:pPr>
              <w:pStyle w:val="Normal"/>
              <w:rPr>
                <w:color w:val="000000"/>
                <w:sz w:val="20"/>
              </w:rPr>
            </w:pPr>
            <w:r>
              <w:rPr>
                <w:color w:val="000000"/>
                <w:sz w:val="20"/>
              </w:rPr>
              <w:t>QSE B</w:t>
            </w:r>
          </w:p>
        </w:tc>
        <w:tc>
          <w:tcPr>
            <w:tcW w:w="2070" w:type="dxa"/>
            <w:gridSpan w:val="2"/>
            <w:tcBorders/>
          </w:tcPr>
          <w:p>
            <w:pPr>
              <w:pStyle w:val="Normal"/>
              <w:jc w:val="end"/>
              <w:rPr>
                <w:color w:val="000000"/>
                <w:sz w:val="20"/>
              </w:rPr>
            </w:pPr>
            <w:r>
              <w:rPr>
                <w:color w:val="000000"/>
                <w:sz w:val="20"/>
              </w:rPr>
              <w:t>300</w:t>
            </w:r>
          </w:p>
        </w:tc>
        <w:tc>
          <w:tcPr>
            <w:tcW w:w="1260" w:type="dxa"/>
            <w:tcBorders/>
          </w:tcPr>
          <w:p>
            <w:pPr>
              <w:pStyle w:val="Normal"/>
              <w:jc w:val="end"/>
              <w:rPr>
                <w:color w:val="000000"/>
                <w:sz w:val="20"/>
              </w:rPr>
            </w:pPr>
            <w:r>
              <w:rPr>
                <w:color w:val="000000"/>
                <w:sz w:val="20"/>
              </w:rPr>
              <w:t>800</w:t>
            </w:r>
          </w:p>
        </w:tc>
        <w:tc>
          <w:tcPr>
            <w:tcW w:w="1080" w:type="dxa"/>
            <w:tcBorders/>
          </w:tcPr>
          <w:p>
            <w:pPr>
              <w:pStyle w:val="Normal"/>
              <w:jc w:val="end"/>
              <w:rPr>
                <w:color w:val="000000"/>
                <w:sz w:val="20"/>
              </w:rPr>
            </w:pPr>
            <w:r>
              <w:rPr>
                <w:color w:val="000000"/>
                <w:sz w:val="20"/>
              </w:rPr>
              <w:t>$10</w:t>
            </w:r>
          </w:p>
        </w:tc>
        <w:tc>
          <w:tcPr>
            <w:tcW w:w="1620" w:type="dxa"/>
            <w:tcBorders/>
          </w:tcPr>
          <w:p>
            <w:pPr>
              <w:pStyle w:val="Normal"/>
              <w:jc w:val="end"/>
              <w:rPr>
                <w:color w:val="000000"/>
                <w:sz w:val="20"/>
              </w:rPr>
            </w:pPr>
            <w:r>
              <w:rPr>
                <w:color w:val="000000"/>
                <w:sz w:val="20"/>
              </w:rPr>
              <w:t>$8,000</w:t>
            </w:r>
          </w:p>
        </w:tc>
        <w:tc>
          <w:tcPr>
            <w:tcW w:w="1530" w:type="dxa"/>
            <w:tcBorders/>
          </w:tcPr>
          <w:p>
            <w:pPr>
              <w:pStyle w:val="Normal"/>
              <w:jc w:val="end"/>
              <w:rPr>
                <w:color w:val="000000"/>
                <w:sz w:val="20"/>
              </w:rPr>
            </w:pPr>
            <w:r>
              <w:rPr>
                <w:color w:val="000000"/>
                <w:sz w:val="20"/>
              </w:rPr>
              <w:t>-$3,000</w:t>
            </w:r>
          </w:p>
        </w:tc>
        <w:tc>
          <w:tcPr>
            <w:tcW w:w="1260" w:type="dxa"/>
            <w:tcBorders/>
          </w:tcPr>
          <w:p>
            <w:pPr>
              <w:pStyle w:val="Normal"/>
              <w:jc w:val="end"/>
              <w:rPr>
                <w:color w:val="000000"/>
                <w:sz w:val="20"/>
              </w:rPr>
            </w:pPr>
            <w:r>
              <w:rPr>
                <w:color w:val="000000"/>
                <w:sz w:val="20"/>
              </w:rPr>
              <w:t>$5,000</w:t>
            </w:r>
          </w:p>
        </w:tc>
      </w:tr>
      <w:tr>
        <w:trPr>
          <w:trHeight w:val="288" w:hRule="atLeast"/>
        </w:trPr>
        <w:tc>
          <w:tcPr>
            <w:tcW w:w="720" w:type="dxa"/>
            <w:gridSpan w:val="2"/>
            <w:tcBorders>
              <w:bottom w:val="single" w:sz="6" w:space="0" w:color="000000"/>
            </w:tcBorders>
          </w:tcPr>
          <w:p>
            <w:pPr>
              <w:pStyle w:val="Normal"/>
              <w:rPr>
                <w:color w:val="000000"/>
                <w:sz w:val="20"/>
              </w:rPr>
            </w:pPr>
            <w:r>
              <w:rPr>
                <w:color w:val="000000"/>
                <w:sz w:val="20"/>
              </w:rPr>
              <w:t>QSE C</w:t>
            </w:r>
          </w:p>
        </w:tc>
        <w:tc>
          <w:tcPr>
            <w:tcW w:w="2070" w:type="dxa"/>
            <w:gridSpan w:val="2"/>
            <w:tcBorders>
              <w:bottom w:val="single" w:sz="6" w:space="0" w:color="000000"/>
            </w:tcBorders>
          </w:tcPr>
          <w:p>
            <w:pPr>
              <w:pStyle w:val="Normal"/>
              <w:jc w:val="end"/>
              <w:rPr>
                <w:color w:val="000000"/>
                <w:sz w:val="20"/>
              </w:rPr>
            </w:pPr>
            <w:r>
              <w:rPr>
                <w:color w:val="000000"/>
                <w:sz w:val="20"/>
              </w:rPr>
              <w:t>200</w:t>
            </w:r>
          </w:p>
        </w:tc>
        <w:tc>
          <w:tcPr>
            <w:tcW w:w="1260" w:type="dxa"/>
            <w:tcBorders>
              <w:bottom w:val="single" w:sz="6" w:space="0" w:color="000000"/>
            </w:tcBorders>
          </w:tcPr>
          <w:p>
            <w:pPr>
              <w:pStyle w:val="Normal"/>
              <w:jc w:val="end"/>
              <w:rPr>
                <w:color w:val="000000"/>
                <w:sz w:val="20"/>
              </w:rPr>
            </w:pPr>
            <w:r>
              <w:rPr>
                <w:color w:val="000000"/>
                <w:sz w:val="20"/>
              </w:rPr>
              <w:t>0</w:t>
            </w:r>
          </w:p>
        </w:tc>
        <w:tc>
          <w:tcPr>
            <w:tcW w:w="1080" w:type="dxa"/>
            <w:tcBorders>
              <w:bottom w:val="single" w:sz="6" w:space="0" w:color="000000"/>
            </w:tcBorders>
          </w:tcPr>
          <w:p>
            <w:pPr>
              <w:pStyle w:val="Normal"/>
              <w:jc w:val="end"/>
              <w:rPr>
                <w:color w:val="000000"/>
                <w:sz w:val="20"/>
              </w:rPr>
            </w:pPr>
            <w:r>
              <w:rPr>
                <w:color w:val="000000"/>
                <w:sz w:val="20"/>
              </w:rPr>
              <w:t>$10</w:t>
            </w:r>
          </w:p>
        </w:tc>
        <w:tc>
          <w:tcPr>
            <w:tcW w:w="1620" w:type="dxa"/>
            <w:tcBorders>
              <w:bottom w:val="single" w:sz="6" w:space="0" w:color="000000"/>
            </w:tcBorders>
          </w:tcPr>
          <w:p>
            <w:pPr>
              <w:pStyle w:val="Normal"/>
              <w:jc w:val="end"/>
              <w:rPr>
                <w:color w:val="000000"/>
                <w:sz w:val="20"/>
              </w:rPr>
            </w:pPr>
            <w:r>
              <w:rPr>
                <w:color w:val="000000"/>
                <w:sz w:val="20"/>
              </w:rPr>
              <w:t>$0</w:t>
            </w:r>
          </w:p>
        </w:tc>
        <w:tc>
          <w:tcPr>
            <w:tcW w:w="1530" w:type="dxa"/>
            <w:tcBorders>
              <w:bottom w:val="single" w:sz="6" w:space="0" w:color="000000"/>
            </w:tcBorders>
          </w:tcPr>
          <w:p>
            <w:pPr>
              <w:pStyle w:val="Normal"/>
              <w:jc w:val="end"/>
              <w:rPr>
                <w:color w:val="000000"/>
                <w:sz w:val="20"/>
              </w:rPr>
            </w:pPr>
            <w:r>
              <w:rPr>
                <w:color w:val="000000"/>
                <w:sz w:val="20"/>
              </w:rPr>
              <w:t>-$2,000</w:t>
            </w:r>
          </w:p>
        </w:tc>
        <w:tc>
          <w:tcPr>
            <w:tcW w:w="1260" w:type="dxa"/>
            <w:tcBorders>
              <w:bottom w:val="single" w:sz="6" w:space="0" w:color="000000"/>
            </w:tcBorders>
          </w:tcPr>
          <w:p>
            <w:pPr>
              <w:pStyle w:val="Normal"/>
              <w:jc w:val="end"/>
              <w:rPr>
                <w:color w:val="000000"/>
                <w:sz w:val="20"/>
              </w:rPr>
            </w:pPr>
            <w:r>
              <w:rPr>
                <w:color w:val="000000"/>
                <w:sz w:val="20"/>
              </w:rPr>
              <w:t>-$2,000</w:t>
            </w:r>
          </w:p>
        </w:tc>
      </w:tr>
      <w:tr>
        <w:trPr>
          <w:trHeight w:val="102" w:hRule="atLeast"/>
        </w:trPr>
        <w:tc>
          <w:tcPr>
            <w:tcW w:w="720" w:type="dxa"/>
            <w:gridSpan w:val="2"/>
            <w:tcBorders/>
          </w:tcPr>
          <w:p>
            <w:pPr>
              <w:pStyle w:val="Normal"/>
              <w:rPr>
                <w:color w:val="000000"/>
                <w:sz w:val="20"/>
              </w:rPr>
            </w:pPr>
            <w:r>
              <w:rPr>
                <w:color w:val="000000"/>
                <w:sz w:val="20"/>
              </w:rPr>
              <w:t>Total</w:t>
            </w:r>
          </w:p>
        </w:tc>
        <w:tc>
          <w:tcPr>
            <w:tcW w:w="2070" w:type="dxa"/>
            <w:gridSpan w:val="2"/>
            <w:tcBorders/>
          </w:tcPr>
          <w:p>
            <w:pPr>
              <w:pStyle w:val="Normal"/>
              <w:jc w:val="end"/>
              <w:rPr>
                <w:color w:val="000000"/>
                <w:sz w:val="20"/>
              </w:rPr>
            </w:pPr>
            <w:r>
              <w:rPr>
                <w:color w:val="000000"/>
                <w:sz w:val="20"/>
              </w:rPr>
              <w:t>1000</w:t>
            </w:r>
          </w:p>
        </w:tc>
        <w:tc>
          <w:tcPr>
            <w:tcW w:w="1260" w:type="dxa"/>
            <w:tcBorders/>
          </w:tcPr>
          <w:p>
            <w:pPr>
              <w:pStyle w:val="Normal"/>
              <w:jc w:val="end"/>
              <w:rPr>
                <w:color w:val="000000"/>
                <w:sz w:val="20"/>
              </w:rPr>
            </w:pPr>
            <w:r>
              <w:rPr>
                <w:color w:val="000000"/>
                <w:sz w:val="20"/>
              </w:rPr>
              <w:t>1000</w:t>
            </w:r>
          </w:p>
        </w:tc>
        <w:tc>
          <w:tcPr>
            <w:tcW w:w="1080" w:type="dxa"/>
            <w:tcBorders/>
          </w:tcPr>
          <w:p>
            <w:pPr>
              <w:pStyle w:val="Normal"/>
              <w:snapToGrid w:val="false"/>
              <w:jc w:val="end"/>
              <w:rPr>
                <w:color w:val="000000"/>
                <w:sz w:val="20"/>
              </w:rPr>
            </w:pPr>
            <w:r>
              <w:rPr>
                <w:color w:val="000000"/>
                <w:sz w:val="20"/>
              </w:rPr>
            </w:r>
          </w:p>
        </w:tc>
        <w:tc>
          <w:tcPr>
            <w:tcW w:w="1620" w:type="dxa"/>
            <w:tcBorders/>
          </w:tcPr>
          <w:p>
            <w:pPr>
              <w:pStyle w:val="Normal"/>
              <w:jc w:val="end"/>
              <w:rPr>
                <w:color w:val="000000"/>
                <w:sz w:val="20"/>
              </w:rPr>
            </w:pPr>
            <w:r>
              <w:rPr>
                <w:color w:val="000000"/>
                <w:sz w:val="20"/>
              </w:rPr>
              <w:t>$10,000</w:t>
            </w:r>
          </w:p>
        </w:tc>
        <w:tc>
          <w:tcPr>
            <w:tcW w:w="1530" w:type="dxa"/>
            <w:tcBorders/>
          </w:tcPr>
          <w:p>
            <w:pPr>
              <w:pStyle w:val="Normal"/>
              <w:jc w:val="end"/>
              <w:rPr>
                <w:color w:val="000000"/>
                <w:sz w:val="20"/>
              </w:rPr>
            </w:pPr>
            <w:r>
              <w:rPr>
                <w:color w:val="000000"/>
                <w:sz w:val="20"/>
              </w:rPr>
              <w:t>-$10,000</w:t>
            </w:r>
          </w:p>
        </w:tc>
        <w:tc>
          <w:tcPr>
            <w:tcW w:w="1260" w:type="dxa"/>
            <w:tcBorders/>
          </w:tcPr>
          <w:p>
            <w:pPr>
              <w:pStyle w:val="Normal"/>
              <w:jc w:val="end"/>
              <w:rPr>
                <w:color w:val="000000"/>
                <w:sz w:val="20"/>
              </w:rPr>
            </w:pPr>
            <w:r>
              <w:rPr>
                <w:color w:val="000000"/>
                <w:sz w:val="20"/>
              </w:rPr>
              <w:t>$0</w:t>
            </w:r>
          </w:p>
        </w:tc>
      </w:tr>
    </w:tbl>
    <w:p>
      <w:pPr>
        <w:pStyle w:val="Normal"/>
        <w:rPr>
          <w:sz w:val="20"/>
        </w:rPr>
      </w:pPr>
      <w:r>
        <w:rPr>
          <w:sz w:val="20"/>
        </w:rPr>
      </w:r>
    </w:p>
    <w:p>
      <w:pPr>
        <w:pStyle w:val="Normal"/>
        <w:rPr>
          <w:sz w:val="20"/>
        </w:rPr>
      </w:pPr>
      <w:r>
        <w:rPr>
          <w:sz w:val="20"/>
        </w:rPr>
        <w:t>Negative amounts indicate payments from the QSE to ERCOT; positive amounts indicate payments from ERCOT to the QSE.  Note that the net allocations sum to zero, which confirms that ERCOT is revenue neutral.</w:t>
      </w:r>
    </w:p>
    <w:p>
      <w:pPr>
        <w:pStyle w:val="Normal"/>
        <w:rPr>
          <w:sz w:val="20"/>
        </w:rPr>
      </w:pPr>
      <w:r>
        <w:rPr>
          <w:sz w:val="20"/>
        </w:rPr>
      </w:r>
    </w:p>
    <w:p>
      <w:pPr>
        <w:pStyle w:val="Normal"/>
        <w:ind w:start="540" w:end="0"/>
        <w:rPr>
          <w:sz w:val="20"/>
        </w:rPr>
      </w:pPr>
      <w:r>
        <w:rPr>
          <w:sz w:val="20"/>
        </w:rPr>
      </w:r>
    </w:p>
    <w:p>
      <w:pPr>
        <w:pStyle w:val="Heading6"/>
        <w:rPr/>
      </w:pPr>
      <w:r>
        <w:rPr/>
        <w:t>Allocating costs of congestion</w:t>
      </w:r>
      <w:r>
        <w:fldChar w:fldCharType="begin"/>
      </w:r>
      <w:r>
        <w:rPr/>
        <w:instrText xml:space="preserve"> XE "congestion" </w:instrText>
      </w:r>
      <w:r>
        <w:rPr/>
        <w:fldChar w:fldCharType="separate"/>
      </w:r>
      <w:r>
        <w:rPr/>
      </w:r>
      <w:r>
        <w:rPr/>
        <w:fldChar w:fldCharType="end"/>
      </w:r>
    </w:p>
    <w:p>
      <w:pPr>
        <w:pStyle w:val="Normal"/>
        <w:rPr/>
      </w:pPr>
      <w:r>
        <w:rPr>
          <w:sz w:val="20"/>
        </w:rPr>
        <w:t>The essence of the cost allocation for Replacement Reserve and balancing energy caused by congestion</w:t>
      </w:r>
      <w:r>
        <w:fldChar w:fldCharType="begin"/>
      </w:r>
      <w:r>
        <w:rPr/>
        <w:instrText xml:space="preserve"> XE "congestion" </w:instrText>
      </w:r>
      <w:r>
        <w:rPr/>
        <w:fldChar w:fldCharType="separate"/>
      </w:r>
      <w:r>
        <w:rPr/>
      </w:r>
      <w:r>
        <w:rPr/>
        <w:fldChar w:fldCharType="end"/>
      </w:r>
      <w:r>
        <w:rPr>
          <w:sz w:val="20"/>
        </w:rPr>
        <w:t xml:space="preserve"> is that the costs should be borne by the QSE responsible for the congestion. The approach is:</w:t>
      </w:r>
    </w:p>
    <w:p>
      <w:pPr>
        <w:pStyle w:val="Normal"/>
        <w:rPr>
          <w:sz w:val="20"/>
        </w:rPr>
      </w:pPr>
      <w:r>
        <w:rPr>
          <w:sz w:val="20"/>
        </w:rPr>
      </w:r>
    </w:p>
    <w:p>
      <w:pPr>
        <w:pStyle w:val="Normal"/>
        <w:numPr>
          <w:ilvl w:val="0"/>
          <w:numId w:val="79"/>
        </w:numPr>
        <w:rPr>
          <w:sz w:val="20"/>
        </w:rPr>
      </w:pPr>
      <w:r>
        <w:rPr>
          <w:sz w:val="20"/>
        </w:rPr>
        <w:t>Determine a shadow price for the constraint. This is defined as the decrease in the overall market cost of energy if the constraint is reduced or alleviated by 1MW.</w:t>
      </w:r>
    </w:p>
    <w:p>
      <w:pPr>
        <w:pStyle w:val="Normal"/>
        <w:rPr>
          <w:sz w:val="20"/>
        </w:rPr>
      </w:pPr>
      <w:r>
        <w:rPr>
          <w:sz w:val="20"/>
        </w:rPr>
      </w:r>
    </w:p>
    <w:p>
      <w:pPr>
        <w:pStyle w:val="Normal"/>
        <w:numPr>
          <w:ilvl w:val="0"/>
          <w:numId w:val="79"/>
        </w:numPr>
        <w:rPr>
          <w:sz w:val="20"/>
        </w:rPr>
      </w:pPr>
      <w:r>
        <w:rPr>
          <w:sz w:val="20"/>
        </w:rPr>
        <w:t>Determine a “shift factor” for the constraint. This is the impact on the flow of electricity through the constraint of a 1MW power injection by QSE resources in that congestion</w:t>
      </w:r>
      <w:r>
        <w:fldChar w:fldCharType="begin"/>
      </w:r>
      <w:r>
        <w:rPr/>
        <w:instrText xml:space="preserve"> XE "congestion" </w:instrText>
      </w:r>
      <w:r>
        <w:rPr/>
        <w:fldChar w:fldCharType="separate"/>
      </w:r>
      <w:r>
        <w:rPr/>
      </w:r>
      <w:r>
        <w:rPr/>
        <w:fldChar w:fldCharType="end"/>
      </w:r>
      <w:r>
        <w:rPr>
          <w:sz w:val="20"/>
        </w:rPr>
        <w:t xml:space="preserve"> zone.</w:t>
      </w:r>
    </w:p>
    <w:p>
      <w:pPr>
        <w:pStyle w:val="Normal"/>
        <w:rPr>
          <w:sz w:val="20"/>
        </w:rPr>
      </w:pPr>
      <w:r>
        <w:rPr>
          <w:sz w:val="20"/>
        </w:rPr>
      </w:r>
    </w:p>
    <w:p>
      <w:pPr>
        <w:pStyle w:val="Normal"/>
        <w:numPr>
          <w:ilvl w:val="0"/>
          <w:numId w:val="79"/>
        </w:numPr>
        <w:rPr>
          <w:sz w:val="20"/>
        </w:rPr>
      </w:pPr>
      <w:r>
        <w:rPr>
          <w:sz w:val="20"/>
        </w:rPr>
        <w:t>Calculate the difference between the QSE scheduled load and actual metered load in the congestion</w:t>
      </w:r>
      <w:r>
        <w:fldChar w:fldCharType="begin"/>
      </w:r>
      <w:r>
        <w:rPr/>
        <w:instrText xml:space="preserve"> XE "congestion" </w:instrText>
      </w:r>
      <w:r>
        <w:rPr/>
        <w:fldChar w:fldCharType="separate"/>
      </w:r>
      <w:r>
        <w:rPr/>
      </w:r>
      <w:r>
        <w:rPr/>
        <w:fldChar w:fldCharType="end"/>
      </w:r>
      <w:r>
        <w:rPr>
          <w:sz w:val="20"/>
        </w:rPr>
        <w:t xml:space="preserve"> zone.</w:t>
      </w:r>
    </w:p>
    <w:p>
      <w:pPr>
        <w:pStyle w:val="Normal"/>
        <w:rPr>
          <w:sz w:val="20"/>
        </w:rPr>
      </w:pPr>
      <w:r>
        <w:rPr>
          <w:sz w:val="20"/>
        </w:rPr>
      </w:r>
    </w:p>
    <w:p>
      <w:pPr>
        <w:pStyle w:val="Normal"/>
        <w:numPr>
          <w:ilvl w:val="0"/>
          <w:numId w:val="79"/>
        </w:numPr>
        <w:rPr>
          <w:sz w:val="20"/>
        </w:rPr>
      </w:pPr>
      <w:r>
        <w:rPr>
          <w:sz w:val="20"/>
        </w:rPr>
        <w:t>Determine QSE impact on congestion</w:t>
      </w:r>
      <w:r>
        <w:fldChar w:fldCharType="begin"/>
      </w:r>
      <w:r>
        <w:rPr/>
        <w:instrText xml:space="preserve"> XE "congestion" </w:instrText>
      </w:r>
      <w:r>
        <w:rPr/>
        <w:fldChar w:fldCharType="separate"/>
      </w:r>
      <w:r>
        <w:rPr/>
      </w:r>
      <w:r>
        <w:rPr/>
        <w:fldChar w:fldCharType="end"/>
      </w:r>
      <w:r>
        <w:rPr>
          <w:sz w:val="20"/>
        </w:rPr>
        <w:t xml:space="preserve"> by multiplying (b) times (c).</w:t>
      </w:r>
    </w:p>
    <w:p>
      <w:pPr>
        <w:pStyle w:val="Normal"/>
        <w:rPr>
          <w:sz w:val="20"/>
        </w:rPr>
      </w:pPr>
      <w:r>
        <w:rPr>
          <w:sz w:val="20"/>
        </w:rPr>
      </w:r>
    </w:p>
    <w:p>
      <w:pPr>
        <w:pStyle w:val="Normal"/>
        <w:numPr>
          <w:ilvl w:val="0"/>
          <w:numId w:val="79"/>
        </w:numPr>
        <w:rPr>
          <w:sz w:val="20"/>
        </w:rPr>
      </w:pPr>
      <w:r>
        <w:rPr>
          <w:sz w:val="20"/>
        </w:rPr>
        <w:t>Multiply QSE impact on congestion</w:t>
      </w:r>
      <w:r>
        <w:fldChar w:fldCharType="begin"/>
      </w:r>
      <w:r>
        <w:rPr/>
        <w:instrText xml:space="preserve"> XE "congestion" </w:instrText>
      </w:r>
      <w:r>
        <w:rPr/>
        <w:fldChar w:fldCharType="separate"/>
      </w:r>
      <w:r>
        <w:rPr/>
      </w:r>
      <w:r>
        <w:rPr/>
        <w:fldChar w:fldCharType="end"/>
      </w:r>
      <w:r>
        <w:rPr>
          <w:sz w:val="20"/>
        </w:rPr>
        <w:t xml:space="preserve"> by the shadow price of capacity or energy, to determine the congestion cost for a QSE.</w:t>
      </w:r>
    </w:p>
    <w:p>
      <w:pPr>
        <w:pStyle w:val="Heading3"/>
        <w:rPr>
          <w:sz w:val="20"/>
        </w:rPr>
      </w:pPr>
      <w:bookmarkStart w:id="25" w:name="__RefHeading___Toc505989416"/>
      <w:bookmarkEnd w:id="25"/>
      <w:r>
        <w:rPr/>
        <w:t>Statements</w:t>
      </w:r>
    </w:p>
    <w:p>
      <w:pPr>
        <w:pStyle w:val="Style11"/>
        <w:rPr/>
      </w:pPr>
      <w:r>
        <w:rPr/>
        <w:t xml:space="preserve">ERCOT produces daily settlement statements reflecting a breakdown of market charges for hourly and 15-minute interval market services.  The statements also reflect administrative and miscellaneous charges. </w:t>
      </w:r>
    </w:p>
    <w:p>
      <w:pPr>
        <w:pStyle w:val="Heading4"/>
        <w:rPr>
          <w:b w:val="false"/>
          <w:i/>
          <w:i/>
          <w:sz w:val="20"/>
        </w:rPr>
      </w:pPr>
      <w:r>
        <w:rPr>
          <w:b w:val="false"/>
          <w:i/>
          <w:sz w:val="20"/>
        </w:rPr>
      </w:r>
    </w:p>
    <w:p>
      <w:pPr>
        <w:pStyle w:val="Normal"/>
        <w:rPr/>
      </w:pPr>
      <w:r>
        <w:rPr>
          <w:sz w:val="20"/>
          <w:u w:val="single"/>
        </w:rPr>
        <w:t>Initial Statements</w:t>
      </w:r>
      <w:r>
        <w:rPr>
          <w:sz w:val="20"/>
        </w:rPr>
        <w:t xml:space="preserve"> are provided at the end of the third (3</w:t>
      </w:r>
      <w:r>
        <w:rPr>
          <w:sz w:val="20"/>
          <w:vertAlign w:val="superscript"/>
        </w:rPr>
        <w:t>rd</w:t>
      </w:r>
      <w:r>
        <w:rPr>
          <w:sz w:val="20"/>
        </w:rPr>
        <w:t xml:space="preserve">) calendar day following the operating day.  ERCOT uses Initial Settlement Data to produce the Initial Statement for each Statement Recipient for the particular operating period. </w:t>
      </w:r>
    </w:p>
    <w:p>
      <w:pPr>
        <w:pStyle w:val="Normal"/>
        <w:rPr>
          <w:sz w:val="20"/>
        </w:rPr>
      </w:pPr>
      <w:r>
        <w:rPr>
          <w:sz w:val="20"/>
        </w:rPr>
      </w:r>
    </w:p>
    <w:p>
      <w:pPr>
        <w:pStyle w:val="Normal"/>
        <w:rPr>
          <w:sz w:val="20"/>
        </w:rPr>
      </w:pPr>
      <w:r>
        <w:rPr>
          <w:sz w:val="20"/>
        </w:rPr>
        <w:t xml:space="preserve">The Initial Statement includes </w:t>
      </w:r>
    </w:p>
    <w:p>
      <w:pPr>
        <w:pStyle w:val="Normal"/>
        <w:numPr>
          <w:ilvl w:val="0"/>
          <w:numId w:val="67"/>
        </w:numPr>
        <w:rPr>
          <w:sz w:val="20"/>
        </w:rPr>
      </w:pPr>
      <w:r>
        <w:rPr>
          <w:sz w:val="20"/>
        </w:rPr>
        <w:t>Billable quantity.</w:t>
      </w:r>
    </w:p>
    <w:p>
      <w:pPr>
        <w:pStyle w:val="Normal"/>
        <w:numPr>
          <w:ilvl w:val="0"/>
          <w:numId w:val="67"/>
        </w:numPr>
        <w:rPr>
          <w:sz w:val="20"/>
        </w:rPr>
      </w:pPr>
      <w:r>
        <w:rPr>
          <w:sz w:val="20"/>
        </w:rPr>
        <w:t>Market Clearing Prices for the service.</w:t>
      </w:r>
    </w:p>
    <w:p>
      <w:pPr>
        <w:pStyle w:val="Normal"/>
        <w:numPr>
          <w:ilvl w:val="0"/>
          <w:numId w:val="67"/>
        </w:numPr>
        <w:rPr>
          <w:sz w:val="20"/>
        </w:rPr>
      </w:pPr>
      <w:r>
        <w:rPr>
          <w:sz w:val="20"/>
        </w:rPr>
        <w:t>Type of market service.</w:t>
      </w:r>
    </w:p>
    <w:p>
      <w:pPr>
        <w:pStyle w:val="Normal"/>
        <w:numPr>
          <w:ilvl w:val="0"/>
          <w:numId w:val="67"/>
        </w:numPr>
        <w:rPr>
          <w:sz w:val="20"/>
        </w:rPr>
      </w:pPr>
      <w:r>
        <w:rPr>
          <w:sz w:val="20"/>
        </w:rPr>
        <w:t>Total net amount payable to or receivable from the statement recipient for each settlement interval.</w:t>
      </w:r>
    </w:p>
    <w:p>
      <w:pPr>
        <w:pStyle w:val="Normal"/>
        <w:numPr>
          <w:ilvl w:val="0"/>
          <w:numId w:val="24"/>
        </w:numPr>
        <w:rPr>
          <w:sz w:val="20"/>
        </w:rPr>
      </w:pPr>
      <w:r>
        <w:rPr>
          <w:sz w:val="20"/>
        </w:rPr>
        <w:t>Summary of charges for each settlement interval over the operating day, including a grand total for the day.</w:t>
      </w:r>
    </w:p>
    <w:p>
      <w:pPr>
        <w:pStyle w:val="Normal"/>
        <w:numPr>
          <w:ilvl w:val="0"/>
          <w:numId w:val="24"/>
        </w:numPr>
        <w:rPr>
          <w:sz w:val="20"/>
        </w:rPr>
      </w:pPr>
      <w:r>
        <w:rPr>
          <w:sz w:val="20"/>
        </w:rPr>
        <w:t>Net amount payable to or receivable from the QSE for each of the services for all settlement intervals in that operating day after the amounts payable and the amounts receivable have been offset.</w:t>
      </w:r>
    </w:p>
    <w:p>
      <w:pPr>
        <w:pStyle w:val="Normal"/>
        <w:numPr>
          <w:ilvl w:val="0"/>
          <w:numId w:val="24"/>
        </w:numPr>
        <w:rPr/>
      </w:pPr>
      <w:r>
        <w:rPr>
          <w:sz w:val="20"/>
        </w:rPr>
        <w:t>Total charge for the QSE after the amounts payable and the amounts receivable have been offset for all charge types combined.</w:t>
      </w:r>
    </w:p>
    <w:p>
      <w:pPr>
        <w:pStyle w:val="Normal"/>
        <w:rPr>
          <w:sz w:val="20"/>
          <w:u w:val="single"/>
        </w:rPr>
      </w:pPr>
      <w:r>
        <w:rPr>
          <w:sz w:val="20"/>
          <w:u w:val="single"/>
        </w:rPr>
      </w:r>
    </w:p>
    <w:p>
      <w:pPr>
        <w:pStyle w:val="Normal"/>
        <w:rPr/>
      </w:pPr>
      <w:r>
        <w:rPr>
          <w:sz w:val="20"/>
          <w:u w:val="single"/>
        </w:rPr>
        <w:t>Final Statements</w:t>
      </w:r>
      <w:r>
        <w:rPr>
          <w:sz w:val="20"/>
        </w:rPr>
        <w:t xml:space="preserve"> are provided at the end of the forty-fifth (45th) calendar day following the operating day. ERCOT uses Final Settlement data to produce the final settlement statements for each statement recipient for the given operating period.</w:t>
      </w:r>
    </w:p>
    <w:p>
      <w:pPr>
        <w:pStyle w:val="Normal"/>
        <w:rPr>
          <w:sz w:val="20"/>
        </w:rPr>
      </w:pPr>
      <w:r>
        <w:rPr>
          <w:sz w:val="20"/>
        </w:rPr>
      </w:r>
    </w:p>
    <w:p>
      <w:pPr>
        <w:pStyle w:val="Normal"/>
        <w:rPr/>
      </w:pPr>
      <w:r>
        <w:rPr>
          <w:sz w:val="20"/>
        </w:rPr>
        <w:t>The content categories of the Final Statement are the same as the Initial Settlements</w:t>
      </w:r>
      <w:r>
        <w:fldChar w:fldCharType="begin"/>
      </w:r>
      <w:r>
        <w:rPr/>
        <w:instrText xml:space="preserve"> XE "Settlements" </w:instrText>
      </w:r>
      <w:r>
        <w:rPr/>
        <w:fldChar w:fldCharType="separate"/>
      </w:r>
      <w:r>
        <w:rPr/>
      </w:r>
      <w:r>
        <w:rPr/>
        <w:fldChar w:fldCharType="end"/>
      </w:r>
      <w:r>
        <w:rPr>
          <w:sz w:val="20"/>
        </w:rPr>
        <w:t xml:space="preserve"> statement categories.</w:t>
      </w:r>
    </w:p>
    <w:p>
      <w:pPr>
        <w:pStyle w:val="Header"/>
        <w:tabs>
          <w:tab w:val="clear" w:pos="4320"/>
          <w:tab w:val="clear" w:pos="8640"/>
        </w:tabs>
        <w:rPr>
          <w:sz w:val="20"/>
        </w:rPr>
      </w:pPr>
      <w:r>
        <w:rPr>
          <w:sz w:val="20"/>
        </w:rPr>
      </w:r>
    </w:p>
    <w:p>
      <w:pPr>
        <w:pStyle w:val="Normal"/>
        <w:rPr/>
      </w:pPr>
      <w:r>
        <w:rPr>
          <w:sz w:val="20"/>
        </w:rPr>
        <w:t xml:space="preserve">ERCOT uses all available Initial, Final and Resettlement data to produce the </w:t>
      </w:r>
      <w:r>
        <w:rPr>
          <w:sz w:val="20"/>
          <w:u w:val="single"/>
        </w:rPr>
        <w:t>True-Up Statement</w:t>
      </w:r>
      <w:r>
        <w:rPr>
          <w:sz w:val="20"/>
        </w:rPr>
        <w:t xml:space="preserve"> for each statement recipient for the given operating period.  True-Up statements are provided 6 months after the operating day. </w:t>
      </w:r>
    </w:p>
    <w:p>
      <w:pPr>
        <w:pStyle w:val="Normal"/>
        <w:rPr>
          <w:sz w:val="20"/>
        </w:rPr>
      </w:pPr>
      <w:r>
        <w:rPr>
          <w:sz w:val="20"/>
        </w:rPr>
      </w:r>
    </w:p>
    <w:p>
      <w:pPr>
        <w:pStyle w:val="Style11"/>
        <w:rPr/>
      </w:pPr>
      <w:r>
        <w:rPr/>
        <w:t>A Summary Settlement Statement is used to provide an overview of the total financial position of all charge types and activity of a particular QSE for a given trade day. An example is shown below:</w:t>
      </w:r>
    </w:p>
    <w:p>
      <w:pPr>
        <w:pStyle w:val="Normal"/>
        <w:rPr>
          <w:sz w:val="20"/>
        </w:rPr>
      </w:pPr>
      <w:r>
        <w:rPr>
          <w:sz w:val="20"/>
        </w:rPr>
      </w:r>
    </w:p>
    <w:p>
      <w:pPr>
        <w:pStyle w:val="Heading1"/>
        <w:numPr>
          <w:ilvl w:val="0"/>
          <w:numId w:val="0"/>
        </w:numPr>
        <w:rPr>
          <w:sz w:val="20"/>
        </w:rPr>
      </w:pPr>
      <w:r>
        <w:rPr>
          <w:sz w:val="20"/>
        </w:rPr>
        <w:drawing>
          <wp:anchor behindDoc="0" distT="0" distB="0" distL="114935" distR="114935" simplePos="0" locked="0" layoutInCell="0" allowOverlap="1" relativeHeight="158">
            <wp:simplePos x="0" y="0"/>
            <wp:positionH relativeFrom="column">
              <wp:posOffset>0</wp:posOffset>
            </wp:positionH>
            <wp:positionV relativeFrom="paragraph">
              <wp:posOffset>324485</wp:posOffset>
            </wp:positionV>
            <wp:extent cx="5394960" cy="4281170"/>
            <wp:effectExtent l="0" t="0" r="0" b="0"/>
            <wp:wrapTopAndBottom/>
            <wp:docPr id="45"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6" descr="" title=""/>
                    <pic:cNvPicPr>
                      <a:picLocks noChangeAspect="1" noChangeArrowheads="1"/>
                    </pic:cNvPicPr>
                  </pic:nvPicPr>
                  <pic:blipFill>
                    <a:blip r:embed="rId33"/>
                    <a:srcRect l="-9" t="-11" r="-9" b="-11"/>
                    <a:stretch>
                      <a:fillRect/>
                    </a:stretch>
                  </pic:blipFill>
                  <pic:spPr bwMode="auto">
                    <a:xfrm>
                      <a:off x="0" y="0"/>
                      <a:ext cx="5394960" cy="4281170"/>
                    </a:xfrm>
                    <a:prstGeom prst="rect">
                      <a:avLst/>
                    </a:prstGeom>
                    <a:noFill/>
                  </pic:spPr>
                </pic:pic>
              </a:graphicData>
            </a:graphic>
          </wp:anchor>
        </w:drawing>
      </w:r>
      <w:bookmarkStart w:id="26" w:name="__RefHeading___Toc505989417"/>
      <w:bookmarkStart w:id="27" w:name="__RefHeading___Toc505989417"/>
      <w:r>
        <w:br w:type="page"/>
      </w:r>
    </w:p>
    <w:p>
      <w:pPr>
        <w:pStyle w:val="Heading1"/>
        <w:rPr/>
      </w:pPr>
      <w:bookmarkStart w:id="28" w:name="__RefHeading___Toc505989417"/>
      <w:bookmarkStart w:id="29" w:name="__RefHeading___Toc505989418"/>
      <w:bookmarkEnd w:id="29"/>
      <w:r>
        <w:rPr/>
        <w:t>5. Key Concepts in Detail</w:t>
      </w:r>
      <w:bookmarkEnd w:id="28"/>
    </w:p>
    <w:p>
      <w:pPr>
        <w:pStyle w:val="Style11"/>
        <w:rPr/>
      </w:pPr>
      <w:r>
        <w:rPr/>
        <w:t>As previous sections have shown, ERCOT performs two very important functions in the competitive market.  First, it maintains reliability by constantly monitoring and fine-tuning the system through the use of ancillary services</w:t>
      </w:r>
      <w:r>
        <w:fldChar w:fldCharType="begin"/>
      </w:r>
      <w:r>
        <w:rPr/>
        <w:instrText xml:space="preserve"> XE "ancillary services" </w:instrText>
      </w:r>
      <w:r>
        <w:rPr/>
        <w:fldChar w:fldCharType="separate"/>
      </w:r>
      <w:r>
        <w:rPr/>
      </w:r>
      <w:r>
        <w:rPr/>
        <w:fldChar w:fldCharType="end"/>
      </w:r>
      <w:r>
        <w:rPr/>
        <w:t>.  Second, and no less importantly, ERCOT manages congestion</w:t>
      </w:r>
      <w:r>
        <w:fldChar w:fldCharType="begin"/>
      </w:r>
      <w:r>
        <w:rPr/>
        <w:instrText xml:space="preserve"> XE "congestion" </w:instrText>
      </w:r>
      <w:r>
        <w:rPr/>
        <w:fldChar w:fldCharType="separate"/>
      </w:r>
      <w:r>
        <w:rPr/>
      </w:r>
      <w:r>
        <w:rPr/>
        <w:fldChar w:fldCharType="end"/>
      </w:r>
      <w:r>
        <w:rPr/>
        <w:t xml:space="preserve"> that can occur because there may be insufficient transmission capacity between large clusters of customers and generators. This section explains these concepts, which were introduced in section 2, in greater detail.</w:t>
      </w:r>
    </w:p>
    <w:p>
      <w:pPr>
        <w:pStyle w:val="Style11"/>
        <w:rPr/>
      </w:pPr>
      <w:r>
        <w:rPr/>
      </w:r>
    </w:p>
    <w:p>
      <w:pPr>
        <w:pStyle w:val="Heading2"/>
        <w:rPr/>
      </w:pPr>
      <w:bookmarkStart w:id="30" w:name="__RefHeading___Toc505989419"/>
      <w:bookmarkEnd w:id="30"/>
      <w:r>
        <w:rPr/>
        <w:t>5A. Ancillary Services</w:t>
      </w:r>
    </w:p>
    <w:p>
      <w:pPr>
        <w:pStyle w:val="Normal"/>
        <w:rPr>
          <w:sz w:val="20"/>
        </w:rPr>
      </w:pPr>
      <w:r>
        <w:rPr>
          <w:sz w:val="20"/>
        </w:rPr>
        <w:t>Ancillary services can be categorized into 4 groups by the nature of the service required, whether the requirement is fixed or variable, and the method by which it is procured.</w:t>
      </w:r>
    </w:p>
    <w:p>
      <w:pPr>
        <w:pStyle w:val="Heading3"/>
        <w:rPr/>
      </w:pPr>
      <w:r>
        <w:rPr/>
        <w:t>Group A</w:t>
      </w:r>
    </w:p>
    <w:p>
      <w:pPr>
        <w:pStyle w:val="Normal"/>
        <w:rPr/>
      </w:pPr>
      <w:r>
        <w:rPr>
          <w:sz w:val="20"/>
        </w:rPr>
        <w:t>There is a predetermined system-wide requirement of Group-A ancillary services</w:t>
      </w:r>
      <w:r>
        <w:fldChar w:fldCharType="begin"/>
      </w:r>
      <w:r>
        <w:rPr/>
        <w:instrText xml:space="preserve"> XE "ancillary services" </w:instrText>
      </w:r>
      <w:r>
        <w:rPr/>
        <w:fldChar w:fldCharType="separate"/>
      </w:r>
      <w:r>
        <w:rPr/>
      </w:r>
      <w:r>
        <w:rPr/>
        <w:fldChar w:fldCharType="end"/>
      </w:r>
      <w:r>
        <w:rPr>
          <w:sz w:val="20"/>
        </w:rPr>
        <w:t xml:space="preserve"> to ensure operational reliability. </w:t>
      </w:r>
    </w:p>
    <w:p>
      <w:pPr>
        <w:pStyle w:val="Normal"/>
        <w:rPr>
          <w:sz w:val="20"/>
        </w:rPr>
      </w:pPr>
      <w:r>
        <w:rPr>
          <w:sz w:val="20"/>
        </w:rPr>
      </w:r>
    </w:p>
    <w:p>
      <w:pPr>
        <w:pStyle w:val="Normal"/>
        <w:numPr>
          <w:ilvl w:val="0"/>
          <w:numId w:val="54"/>
        </w:numPr>
        <w:rPr>
          <w:sz w:val="20"/>
        </w:rPr>
      </w:pPr>
      <w:r>
        <w:rPr>
          <w:sz w:val="20"/>
        </w:rPr>
        <w:t>Regulation Down</w:t>
      </w:r>
      <w:r>
        <w:fldChar w:fldCharType="begin"/>
      </w:r>
      <w:r>
        <w:rPr/>
        <w:instrText xml:space="preserve"> XE "Regulation Down" </w:instrText>
      </w:r>
      <w:r>
        <w:rPr/>
        <w:fldChar w:fldCharType="separate"/>
      </w:r>
      <w:r>
        <w:rPr/>
      </w:r>
      <w:r>
        <w:rPr/>
        <w:fldChar w:fldCharType="end"/>
      </w:r>
      <w:r>
        <w:rPr>
          <w:sz w:val="20"/>
        </w:rPr>
        <w:tab/>
        <w:tab/>
        <w:t>Requirement ~ 1000 MW</w:t>
      </w:r>
    </w:p>
    <w:p>
      <w:pPr>
        <w:pStyle w:val="Normal"/>
        <w:numPr>
          <w:ilvl w:val="0"/>
          <w:numId w:val="54"/>
        </w:numPr>
        <w:rPr>
          <w:sz w:val="20"/>
        </w:rPr>
      </w:pPr>
      <w:r>
        <w:rPr>
          <w:sz w:val="20"/>
        </w:rPr>
        <w:t>Regulation Up</w:t>
      </w:r>
      <w:r>
        <w:fldChar w:fldCharType="begin"/>
      </w:r>
      <w:r>
        <w:rPr/>
        <w:instrText xml:space="preserve"> XE "Regulation Up" </w:instrText>
      </w:r>
      <w:r>
        <w:rPr/>
        <w:fldChar w:fldCharType="separate"/>
      </w:r>
      <w:r>
        <w:rPr/>
      </w:r>
      <w:r>
        <w:rPr/>
        <w:fldChar w:fldCharType="end"/>
      </w:r>
      <w:r>
        <w:rPr>
          <w:sz w:val="20"/>
        </w:rPr>
        <w:tab/>
        <w:tab/>
        <w:t>Requirement ~ 1000MW</w:t>
      </w:r>
    </w:p>
    <w:p>
      <w:pPr>
        <w:pStyle w:val="Normal"/>
        <w:numPr>
          <w:ilvl w:val="0"/>
          <w:numId w:val="54"/>
        </w:numPr>
        <w:rPr>
          <w:sz w:val="20"/>
        </w:rPr>
      </w:pPr>
      <w:r>
        <w:rPr>
          <w:sz w:val="20"/>
        </w:rPr>
        <w:t>Responsive Reserve</w:t>
      </w:r>
      <w:r>
        <w:fldChar w:fldCharType="begin"/>
      </w:r>
      <w:r>
        <w:rPr/>
        <w:instrText xml:space="preserve"> XE "Responsive Reserve" </w:instrText>
      </w:r>
      <w:r>
        <w:rPr/>
        <w:fldChar w:fldCharType="separate"/>
      </w:r>
      <w:r>
        <w:rPr/>
      </w:r>
      <w:r>
        <w:rPr/>
        <w:fldChar w:fldCharType="end"/>
      </w:r>
      <w:r>
        <w:rPr>
          <w:sz w:val="20"/>
        </w:rPr>
        <w:tab/>
        <w:tab/>
        <w:t>Requirement ~ 2300MW</w:t>
      </w:r>
    </w:p>
    <w:p>
      <w:pPr>
        <w:pStyle w:val="Normal"/>
        <w:numPr>
          <w:ilvl w:val="0"/>
          <w:numId w:val="54"/>
        </w:numPr>
        <w:rPr>
          <w:sz w:val="20"/>
        </w:rPr>
      </w:pPr>
      <w:r>
        <w:rPr>
          <w:sz w:val="20"/>
        </w:rPr>
        <w:t>Non-Spinning Reserve</w:t>
      </w:r>
      <w:r>
        <w:fldChar w:fldCharType="begin"/>
      </w:r>
      <w:r>
        <w:rPr/>
        <w:instrText xml:space="preserve"> XE "Non-Spinning Reserve" </w:instrText>
      </w:r>
      <w:r>
        <w:rPr/>
        <w:fldChar w:fldCharType="separate"/>
      </w:r>
      <w:r>
        <w:rPr/>
      </w:r>
      <w:r>
        <w:rPr/>
        <w:fldChar w:fldCharType="end"/>
      </w:r>
      <w:r>
        <w:rPr>
          <w:sz w:val="20"/>
        </w:rPr>
        <w:tab/>
        <w:t>Requirement ~ 1500MW</w:t>
      </w:r>
    </w:p>
    <w:p>
      <w:pPr>
        <w:pStyle w:val="Normal"/>
        <w:rPr>
          <w:sz w:val="20"/>
        </w:rPr>
      </w:pPr>
      <w:r>
        <w:rPr>
          <w:sz w:val="20"/>
        </w:rPr>
      </w:r>
    </w:p>
    <w:p>
      <w:pPr>
        <w:pStyle w:val="Normal"/>
        <w:rPr/>
      </w:pPr>
      <w:r>
        <w:rPr>
          <w:sz w:val="20"/>
        </w:rPr>
        <w:t>ERCOT publishes a Day-Ahead forecast for each of these ancillary services</w:t>
      </w:r>
      <w:r>
        <w:fldChar w:fldCharType="begin"/>
      </w:r>
      <w:r>
        <w:rPr/>
        <w:instrText xml:space="preserve"> XE "ancillary services" </w:instrText>
      </w:r>
      <w:r>
        <w:rPr/>
        <w:fldChar w:fldCharType="separate"/>
      </w:r>
      <w:r>
        <w:rPr/>
      </w:r>
      <w:r>
        <w:rPr/>
        <w:fldChar w:fldCharType="end"/>
      </w:r>
      <w:r>
        <w:rPr>
          <w:sz w:val="20"/>
        </w:rPr>
        <w:t xml:space="preserve"> and allocates the requirement among all QSEs</w:t>
      </w:r>
      <w:r>
        <w:fldChar w:fldCharType="begin"/>
      </w:r>
      <w:r>
        <w:rPr/>
        <w:instrText xml:space="preserve"> XE "QSEs" </w:instrText>
      </w:r>
      <w:r>
        <w:rPr/>
        <w:fldChar w:fldCharType="separate"/>
      </w:r>
      <w:r>
        <w:rPr/>
      </w:r>
      <w:r>
        <w:rPr/>
        <w:fldChar w:fldCharType="end"/>
      </w:r>
      <w:r>
        <w:rPr>
          <w:sz w:val="20"/>
        </w:rPr>
        <w:t xml:space="preserve"> in the market, based on their historical load share. This is how ERCOT determines each QSE’s </w:t>
      </w:r>
      <w:r>
        <w:rPr>
          <w:sz w:val="20"/>
          <w:u w:val="single"/>
        </w:rPr>
        <w:t>obligation</w:t>
      </w:r>
      <w:r>
        <w:rPr>
          <w:sz w:val="20"/>
        </w:rPr>
        <w:t xml:space="preserve"> for the cost of each of these services.</w:t>
      </w:r>
    </w:p>
    <w:p>
      <w:pPr>
        <w:pStyle w:val="Normal"/>
        <w:rPr>
          <w:sz w:val="20"/>
        </w:rPr>
      </w:pPr>
      <w:r>
        <w:rPr>
          <w:sz w:val="20"/>
        </w:rPr>
      </w:r>
    </w:p>
    <w:p>
      <w:pPr>
        <w:pStyle w:val="Normal"/>
        <w:rPr/>
      </w:pPr>
      <w:r>
        <w:rPr>
          <w:sz w:val="20"/>
        </w:rPr>
        <w:t>QSEs</w:t>
      </w:r>
      <w:r>
        <w:fldChar w:fldCharType="begin"/>
      </w:r>
      <w:r>
        <w:rPr/>
        <w:instrText xml:space="preserve"> XE "QSEs" </w:instrText>
      </w:r>
      <w:r>
        <w:rPr/>
        <w:fldChar w:fldCharType="separate"/>
      </w:r>
      <w:r>
        <w:rPr/>
      </w:r>
      <w:r>
        <w:rPr/>
        <w:fldChar w:fldCharType="end"/>
      </w:r>
      <w:r>
        <w:rPr>
          <w:sz w:val="20"/>
        </w:rPr>
        <w:t xml:space="preserve"> indicate in their balanced schedules the amounts of ancillary services</w:t>
      </w:r>
      <w:r>
        <w:fldChar w:fldCharType="begin"/>
      </w:r>
      <w:r>
        <w:rPr/>
        <w:instrText xml:space="preserve"> XE "ancillary services" </w:instrText>
      </w:r>
      <w:r>
        <w:rPr/>
        <w:fldChar w:fldCharType="separate"/>
      </w:r>
      <w:r>
        <w:rPr/>
      </w:r>
      <w:r>
        <w:rPr/>
        <w:fldChar w:fldCharType="end"/>
      </w:r>
      <w:r>
        <w:rPr>
          <w:sz w:val="20"/>
        </w:rPr>
        <w:t xml:space="preserve"> that they intend to self-arrange. When ERCOT has validated and processed these schedules, the aggregate amount of self-provision is calculated. Hence the remainder, which ERCOT must procure, can be determined. ERCOT notifies the market of this shortfall in ancillary services.</w:t>
      </w:r>
    </w:p>
    <w:p>
      <w:pPr>
        <w:pStyle w:val="Header"/>
        <w:tabs>
          <w:tab w:val="clear" w:pos="4320"/>
          <w:tab w:val="clear" w:pos="8640"/>
        </w:tabs>
        <w:rPr>
          <w:sz w:val="20"/>
        </w:rPr>
      </w:pPr>
      <w:r>
        <w:rPr>
          <w:sz w:val="20"/>
        </w:rPr>
      </w:r>
    </w:p>
    <w:p>
      <w:pPr>
        <w:pStyle w:val="Normal"/>
        <w:rPr/>
      </w:pPr>
      <w:r>
        <w:rPr>
          <w:sz w:val="20"/>
        </w:rPr>
        <w:t>ERCOT then receives bids from QSEs</w:t>
      </w:r>
      <w:r>
        <w:fldChar w:fldCharType="begin"/>
      </w:r>
      <w:r>
        <w:rPr/>
        <w:instrText xml:space="preserve"> XE "QSEs" </w:instrText>
      </w:r>
      <w:r>
        <w:rPr/>
        <w:fldChar w:fldCharType="separate"/>
      </w:r>
      <w:r>
        <w:rPr/>
      </w:r>
      <w:r>
        <w:rPr/>
        <w:fldChar w:fldCharType="end"/>
      </w:r>
      <w:r>
        <w:rPr>
          <w:sz w:val="20"/>
        </w:rPr>
        <w:t xml:space="preserve"> to eliminate the shortfall. Its market operations system “stacks” these bids in merit order and establishes a Market Clearing Price at the bid price of the last bidder needed to purchase the required amount of each ancillary service. The markets for these four services are cleared in order:</w:t>
      </w:r>
    </w:p>
    <w:p>
      <w:pPr>
        <w:pStyle w:val="Normal"/>
        <w:rPr>
          <w:sz w:val="20"/>
        </w:rPr>
      </w:pPr>
      <w:r>
        <w:rPr>
          <w:sz w:val="20"/>
        </w:rPr>
      </w:r>
    </w:p>
    <w:p>
      <w:pPr>
        <w:pStyle w:val="Normal"/>
        <w:numPr>
          <w:ilvl w:val="0"/>
          <w:numId w:val="70"/>
        </w:numPr>
        <w:rPr>
          <w:sz w:val="20"/>
        </w:rPr>
      </w:pPr>
      <w:r>
        <w:rPr>
          <w:sz w:val="20"/>
        </w:rPr>
        <w:t>Regulation Down</w:t>
      </w:r>
      <w:r>
        <w:fldChar w:fldCharType="begin"/>
      </w:r>
      <w:r>
        <w:rPr/>
        <w:instrText xml:space="preserve"> XE "Regulation Down" </w:instrText>
      </w:r>
      <w:r>
        <w:rPr/>
        <w:fldChar w:fldCharType="separate"/>
      </w:r>
      <w:r>
        <w:rPr/>
      </w:r>
      <w:r>
        <w:rPr/>
        <w:fldChar w:fldCharType="end"/>
      </w:r>
    </w:p>
    <w:p>
      <w:pPr>
        <w:pStyle w:val="Normal"/>
        <w:numPr>
          <w:ilvl w:val="0"/>
          <w:numId w:val="70"/>
        </w:numPr>
        <w:rPr>
          <w:sz w:val="20"/>
        </w:rPr>
      </w:pPr>
      <w:r>
        <w:rPr>
          <w:sz w:val="20"/>
        </w:rPr>
        <w:t>Regulation Up</w:t>
      </w:r>
      <w:r>
        <w:fldChar w:fldCharType="begin"/>
      </w:r>
      <w:r>
        <w:rPr/>
        <w:instrText xml:space="preserve"> XE "Regulation Up" </w:instrText>
      </w:r>
      <w:r>
        <w:rPr/>
        <w:fldChar w:fldCharType="separate"/>
      </w:r>
      <w:r>
        <w:rPr/>
      </w:r>
      <w:r>
        <w:rPr/>
        <w:fldChar w:fldCharType="end"/>
      </w:r>
    </w:p>
    <w:p>
      <w:pPr>
        <w:pStyle w:val="Normal"/>
        <w:numPr>
          <w:ilvl w:val="0"/>
          <w:numId w:val="70"/>
        </w:numPr>
        <w:rPr>
          <w:sz w:val="20"/>
        </w:rPr>
      </w:pPr>
      <w:r>
        <w:rPr>
          <w:sz w:val="20"/>
        </w:rPr>
        <w:t>Responsive Reserve</w:t>
      </w:r>
      <w:r>
        <w:fldChar w:fldCharType="begin"/>
      </w:r>
      <w:r>
        <w:rPr/>
        <w:instrText xml:space="preserve"> XE "Responsive Reserve" </w:instrText>
      </w:r>
      <w:r>
        <w:rPr/>
        <w:fldChar w:fldCharType="separate"/>
      </w:r>
      <w:r>
        <w:rPr/>
      </w:r>
      <w:r>
        <w:rPr/>
        <w:fldChar w:fldCharType="end"/>
      </w:r>
    </w:p>
    <w:p>
      <w:pPr>
        <w:pStyle w:val="Normal"/>
        <w:numPr>
          <w:ilvl w:val="0"/>
          <w:numId w:val="70"/>
        </w:numPr>
        <w:rPr>
          <w:sz w:val="20"/>
        </w:rPr>
      </w:pPr>
      <w:r>
        <w:rPr>
          <w:sz w:val="20"/>
        </w:rPr>
        <w:t>Non-Spinning Reserve</w:t>
      </w:r>
      <w:r>
        <w:fldChar w:fldCharType="begin"/>
      </w:r>
      <w:r>
        <w:rPr/>
        <w:instrText xml:space="preserve"> XE "Non-Spinning Reserve" </w:instrText>
      </w:r>
      <w:r>
        <w:rPr/>
        <w:fldChar w:fldCharType="separate"/>
      </w:r>
      <w:r>
        <w:rPr/>
      </w:r>
      <w:r>
        <w:rPr/>
        <w:fldChar w:fldCharType="end"/>
      </w:r>
    </w:p>
    <w:p>
      <w:pPr>
        <w:pStyle w:val="Header"/>
        <w:tabs>
          <w:tab w:val="clear" w:pos="4320"/>
          <w:tab w:val="clear" w:pos="8640"/>
        </w:tabs>
        <w:rPr>
          <w:sz w:val="20"/>
        </w:rPr>
      </w:pPr>
      <w:r>
        <w:rPr>
          <w:sz w:val="20"/>
        </w:rPr>
      </w:r>
    </w:p>
    <w:p>
      <w:pPr>
        <w:pStyle w:val="Style11"/>
        <w:rPr/>
      </w:pPr>
      <w:r>
        <w:rPr/>
        <w:t>QSEs</w:t>
      </w:r>
      <w:r>
        <w:fldChar w:fldCharType="begin"/>
      </w:r>
      <w:r>
        <w:rPr/>
        <w:instrText xml:space="preserve"> XE "QSEs" </w:instrText>
      </w:r>
      <w:r>
        <w:rPr/>
        <w:fldChar w:fldCharType="separate"/>
      </w:r>
      <w:r>
        <w:rPr/>
      </w:r>
      <w:r>
        <w:rPr/>
        <w:fldChar w:fldCharType="end"/>
      </w:r>
      <w:r>
        <w:rPr/>
        <w:t xml:space="preserve"> can submit bids in which the same capacity is offered into more than one of these markets. Capacity which is not selected in a higher order market is then assumed by ERCOT to be available in the next lower order market. </w:t>
      </w:r>
    </w:p>
    <w:p>
      <w:pPr>
        <w:pStyle w:val="Normal"/>
        <w:rPr/>
      </w:pPr>
      <w:r>
        <w:rPr/>
      </w:r>
    </w:p>
    <w:p>
      <w:pPr>
        <w:pStyle w:val="Heading3"/>
        <w:rPr/>
      </w:pPr>
      <w:r>
        <w:rPr/>
        <w:t>Group B</w:t>
      </w:r>
    </w:p>
    <w:p>
      <w:pPr>
        <w:pStyle w:val="Normal"/>
        <w:numPr>
          <w:ilvl w:val="0"/>
          <w:numId w:val="76"/>
        </w:numPr>
        <w:rPr>
          <w:sz w:val="20"/>
        </w:rPr>
      </w:pPr>
      <w:r>
        <w:rPr>
          <w:sz w:val="20"/>
        </w:rPr>
        <w:t>Replacement Reserve</w:t>
      </w:r>
    </w:p>
    <w:p>
      <w:pPr>
        <w:pStyle w:val="Normal"/>
        <w:numPr>
          <w:ilvl w:val="0"/>
          <w:numId w:val="76"/>
        </w:numPr>
        <w:rPr>
          <w:sz w:val="20"/>
        </w:rPr>
      </w:pPr>
      <w:r>
        <w:rPr>
          <w:sz w:val="20"/>
        </w:rPr>
        <w:t>Balancing energy</w:t>
      </w:r>
    </w:p>
    <w:p>
      <w:pPr>
        <w:pStyle w:val="Style11"/>
        <w:rPr>
          <w:sz w:val="20"/>
        </w:rPr>
      </w:pPr>
      <w:r>
        <w:rPr>
          <w:sz w:val="20"/>
        </w:rPr>
      </w:r>
    </w:p>
    <w:p>
      <w:pPr>
        <w:pStyle w:val="Normal"/>
        <w:rPr>
          <w:sz w:val="20"/>
        </w:rPr>
      </w:pPr>
      <w:r>
        <w:rPr>
          <w:sz w:val="20"/>
        </w:rPr>
        <w:t>Replacement Reserve and balancing energy are procured to resolve either, or both, of:</w:t>
      </w:r>
    </w:p>
    <w:p>
      <w:pPr>
        <w:pStyle w:val="Normal"/>
        <w:rPr>
          <w:sz w:val="20"/>
        </w:rPr>
      </w:pPr>
      <w:r>
        <w:rPr>
          <w:sz w:val="20"/>
        </w:rPr>
      </w:r>
    </w:p>
    <w:p>
      <w:pPr>
        <w:pStyle w:val="Normal"/>
        <w:numPr>
          <w:ilvl w:val="0"/>
          <w:numId w:val="41"/>
        </w:numPr>
        <w:rPr>
          <w:sz w:val="20"/>
        </w:rPr>
      </w:pPr>
      <w:r>
        <w:rPr>
          <w:sz w:val="20"/>
        </w:rPr>
        <w:t>Capacity inadequacy – Occurs when the sum of QSE-scheduled load is less than the load forecasted by ERCOT.</w:t>
      </w:r>
    </w:p>
    <w:p>
      <w:pPr>
        <w:pStyle w:val="Normal"/>
        <w:numPr>
          <w:ilvl w:val="0"/>
          <w:numId w:val="41"/>
        </w:numPr>
        <w:rPr>
          <w:sz w:val="20"/>
        </w:rPr>
      </w:pPr>
      <w:r>
        <w:rPr>
          <w:sz w:val="20"/>
        </w:rPr>
        <w:t>Congestion – Occurs when power flows implied by QSE schedules violate transmission system limits.</w:t>
      </w:r>
    </w:p>
    <w:p>
      <w:pPr>
        <w:pStyle w:val="Normal"/>
        <w:rPr>
          <w:sz w:val="20"/>
        </w:rPr>
      </w:pPr>
      <w:r>
        <w:rPr>
          <w:sz w:val="20"/>
        </w:rPr>
      </w:r>
    </w:p>
    <w:p>
      <w:pPr>
        <w:pStyle w:val="Normal"/>
        <w:rPr>
          <w:sz w:val="20"/>
        </w:rPr>
      </w:pPr>
      <w:r>
        <w:rPr>
          <w:sz w:val="20"/>
        </w:rPr>
        <w:t xml:space="preserve">ERCOT procures Replacement Reserve, if necessary, at the end of the Day-Ahead Period and during the Adjustment Period. It procures balancing energy, as needed, approximately 10 minutes prior to Real Time. </w:t>
      </w:r>
    </w:p>
    <w:p>
      <w:pPr>
        <w:pStyle w:val="Normal"/>
        <w:rPr>
          <w:sz w:val="20"/>
        </w:rPr>
      </w:pPr>
      <w:r>
        <w:rPr>
          <w:sz w:val="20"/>
        </w:rPr>
      </w:r>
    </w:p>
    <w:p>
      <w:pPr>
        <w:pStyle w:val="Normal"/>
        <w:rPr>
          <w:sz w:val="20"/>
        </w:rPr>
      </w:pPr>
      <w:r>
        <w:rPr>
          <w:sz w:val="20"/>
        </w:rPr>
        <w:t>ERCOT’s goal in procuring balancing energy is to minimize the amount of regulation that is required to maintain system balance.</w:t>
      </w:r>
    </w:p>
    <w:p>
      <w:pPr>
        <w:pStyle w:val="Normal"/>
        <w:rPr>
          <w:sz w:val="20"/>
        </w:rPr>
      </w:pPr>
      <w:r>
        <w:rPr>
          <w:sz w:val="20"/>
        </w:rPr>
      </w:r>
    </w:p>
    <w:p>
      <w:pPr>
        <w:pStyle w:val="Normal"/>
        <w:rPr>
          <w:sz w:val="20"/>
        </w:rPr>
      </w:pPr>
      <w:r>
        <w:rPr>
          <w:sz w:val="20"/>
        </w:rPr>
        <w:t>For both Replacement Reserve and balancing energy, the essence of the Market Clearing Price calculation is the same:</w:t>
      </w:r>
    </w:p>
    <w:p>
      <w:pPr>
        <w:pStyle w:val="Normal"/>
        <w:rPr>
          <w:sz w:val="20"/>
        </w:rPr>
      </w:pPr>
      <w:r>
        <w:rPr>
          <w:sz w:val="20"/>
        </w:rPr>
      </w:r>
    </w:p>
    <w:p>
      <w:pPr>
        <w:pStyle w:val="Normal"/>
        <w:numPr>
          <w:ilvl w:val="0"/>
          <w:numId w:val="64"/>
        </w:numPr>
        <w:rPr>
          <w:sz w:val="20"/>
        </w:rPr>
      </w:pPr>
      <w:r>
        <w:rPr>
          <w:sz w:val="20"/>
        </w:rPr>
        <w:t>The ERCOT market operations system clears bids in order to minimize the total market cost of the Replacement Reserve and balancing energy that is required to resolve the capacity inadequacy and congestion</w:t>
      </w:r>
      <w:r>
        <w:fldChar w:fldCharType="begin"/>
      </w:r>
      <w:r>
        <w:rPr/>
        <w:instrText xml:space="preserve"> XE "congestion" </w:instrText>
      </w:r>
      <w:r>
        <w:rPr/>
        <w:fldChar w:fldCharType="separate"/>
      </w:r>
      <w:r>
        <w:rPr/>
      </w:r>
      <w:r>
        <w:rPr/>
        <w:fldChar w:fldCharType="end"/>
      </w:r>
      <w:r>
        <w:rPr>
          <w:sz w:val="20"/>
        </w:rPr>
        <w:t xml:space="preserve"> problems.</w:t>
      </w:r>
    </w:p>
    <w:p>
      <w:pPr>
        <w:pStyle w:val="Normal"/>
        <w:numPr>
          <w:ilvl w:val="0"/>
          <w:numId w:val="64"/>
        </w:numPr>
        <w:rPr>
          <w:sz w:val="20"/>
        </w:rPr>
      </w:pPr>
      <w:r>
        <w:rPr>
          <w:sz w:val="20"/>
        </w:rPr>
        <w:t>If Replacement Reserve or balancing energy is used to solve congestion</w:t>
      </w:r>
      <w:r>
        <w:fldChar w:fldCharType="begin"/>
      </w:r>
      <w:r>
        <w:rPr/>
        <w:instrText xml:space="preserve"> XE "congestion" </w:instrText>
      </w:r>
      <w:r>
        <w:rPr/>
        <w:fldChar w:fldCharType="separate"/>
      </w:r>
      <w:r>
        <w:rPr/>
      </w:r>
      <w:r>
        <w:rPr/>
        <w:fldChar w:fldCharType="end"/>
      </w:r>
      <w:r>
        <w:rPr>
          <w:sz w:val="20"/>
        </w:rPr>
        <w:t>, the bids are separated into zones and a separate Market Clearing Price is calculated for each zone.</w:t>
      </w:r>
    </w:p>
    <w:p>
      <w:pPr>
        <w:pStyle w:val="Normal"/>
        <w:rPr>
          <w:sz w:val="20"/>
        </w:rPr>
      </w:pPr>
      <w:r>
        <w:rPr>
          <w:sz w:val="20"/>
        </w:rPr>
      </w:r>
    </w:p>
    <w:p>
      <w:pPr>
        <w:pStyle w:val="Normal"/>
        <w:rPr>
          <w:sz w:val="20"/>
        </w:rPr>
      </w:pPr>
      <w:r>
        <w:rPr>
          <w:sz w:val="20"/>
        </w:rPr>
      </w:r>
    </w:p>
    <w:p>
      <w:pPr>
        <w:pStyle w:val="Heading3"/>
        <w:rPr/>
      </w:pPr>
      <w:r>
        <w:rPr/>
        <w:t>Group C</w:t>
      </w:r>
    </w:p>
    <w:p>
      <w:pPr>
        <w:pStyle w:val="Normal"/>
        <w:numPr>
          <w:ilvl w:val="0"/>
          <w:numId w:val="47"/>
        </w:numPr>
        <w:rPr>
          <w:sz w:val="20"/>
        </w:rPr>
      </w:pPr>
      <w:r>
        <w:rPr>
          <w:sz w:val="20"/>
        </w:rPr>
        <w:t>Black Start</w:t>
      </w:r>
    </w:p>
    <w:p>
      <w:pPr>
        <w:pStyle w:val="Normal"/>
        <w:numPr>
          <w:ilvl w:val="0"/>
          <w:numId w:val="47"/>
        </w:numPr>
        <w:rPr>
          <w:sz w:val="20"/>
        </w:rPr>
      </w:pPr>
      <w:r>
        <w:rPr>
          <w:sz w:val="20"/>
        </w:rPr>
        <w:t>Voltage Support</w:t>
      </w:r>
    </w:p>
    <w:p>
      <w:pPr>
        <w:pStyle w:val="Normal"/>
        <w:numPr>
          <w:ilvl w:val="0"/>
          <w:numId w:val="47"/>
        </w:numPr>
        <w:rPr>
          <w:sz w:val="20"/>
        </w:rPr>
      </w:pPr>
      <w:r>
        <w:rPr>
          <w:sz w:val="20"/>
        </w:rPr>
        <w:t xml:space="preserve">Reliability-Must-Run </w:t>
      </w:r>
    </w:p>
    <w:p>
      <w:pPr>
        <w:pStyle w:val="Style11"/>
        <w:rPr>
          <w:sz w:val="20"/>
        </w:rPr>
      </w:pPr>
      <w:r>
        <w:rPr>
          <w:sz w:val="20"/>
        </w:rPr>
      </w:r>
    </w:p>
    <w:p>
      <w:pPr>
        <w:pStyle w:val="Normal"/>
        <w:rPr>
          <w:sz w:val="20"/>
        </w:rPr>
      </w:pPr>
      <w:r>
        <w:rPr>
          <w:sz w:val="20"/>
        </w:rPr>
        <w:t>Black start units are generators that are capable of being started and synchronized without the support of the power grid. They are needed in the event of system failures.</w:t>
      </w:r>
    </w:p>
    <w:p>
      <w:pPr>
        <w:pStyle w:val="Normal"/>
        <w:rPr>
          <w:sz w:val="20"/>
        </w:rPr>
      </w:pPr>
      <w:r>
        <w:rPr>
          <w:sz w:val="20"/>
        </w:rPr>
      </w:r>
    </w:p>
    <w:p>
      <w:pPr>
        <w:pStyle w:val="Normal"/>
        <w:rPr>
          <w:sz w:val="20"/>
        </w:rPr>
      </w:pPr>
      <w:r>
        <w:rPr>
          <w:sz w:val="20"/>
        </w:rPr>
        <w:t xml:space="preserve">Voltage Support is provided by specific units to maintain transmission and distribution voltages in the power grid within acceptable limits. </w:t>
      </w:r>
    </w:p>
    <w:p>
      <w:pPr>
        <w:pStyle w:val="Normal"/>
        <w:rPr>
          <w:sz w:val="20"/>
        </w:rPr>
      </w:pPr>
      <w:r>
        <w:rPr>
          <w:sz w:val="20"/>
        </w:rPr>
      </w:r>
    </w:p>
    <w:p>
      <w:pPr>
        <w:pStyle w:val="Normal"/>
        <w:rPr>
          <w:b/>
          <w:i/>
          <w:i/>
          <w:sz w:val="20"/>
        </w:rPr>
      </w:pPr>
      <w:r>
        <w:rPr>
          <w:sz w:val="20"/>
        </w:rPr>
        <w:t>Reliability Must-Run Units are those generators that ERCOT retains to dispatch power for the purpose of voltage support, stability or reliability.  These generators would not normally be economical to operate in the energy market but are needed to resolve local system reliability due to lack of alternate resources in their area.</w:t>
      </w:r>
    </w:p>
    <w:p>
      <w:pPr>
        <w:pStyle w:val="Normal"/>
        <w:rPr>
          <w:b/>
          <w:i/>
          <w:i/>
          <w:sz w:val="20"/>
        </w:rPr>
      </w:pPr>
      <w:r>
        <w:rPr>
          <w:b/>
          <w:i/>
          <w:sz w:val="20"/>
        </w:rPr>
      </w:r>
    </w:p>
    <w:p>
      <w:pPr>
        <w:pStyle w:val="Normal"/>
        <w:rPr>
          <w:sz w:val="20"/>
        </w:rPr>
      </w:pPr>
      <w:r>
        <w:rPr>
          <w:sz w:val="20"/>
        </w:rPr>
        <w:t>All of the Group C services are procured by ERCOT on an annual contract basis. In addition, Reliability-Must-Run units are paid for the energy they provide based on the terms of their contract.</w:t>
      </w:r>
    </w:p>
    <w:p>
      <w:pPr>
        <w:pStyle w:val="Normal"/>
        <w:rPr>
          <w:sz w:val="20"/>
        </w:rPr>
      </w:pPr>
      <w:r>
        <w:rPr>
          <w:sz w:val="20"/>
        </w:rPr>
      </w:r>
    </w:p>
    <w:p>
      <w:pPr>
        <w:pStyle w:val="Heading3"/>
        <w:rPr/>
      </w:pPr>
      <w:r>
        <w:rPr/>
        <w:t>Group D</w:t>
      </w:r>
    </w:p>
    <w:p>
      <w:pPr>
        <w:pStyle w:val="Normal"/>
        <w:numPr>
          <w:ilvl w:val="0"/>
          <w:numId w:val="22"/>
        </w:numPr>
        <w:rPr>
          <w:sz w:val="20"/>
        </w:rPr>
      </w:pPr>
      <w:r>
        <w:rPr>
          <w:sz w:val="20"/>
        </w:rPr>
        <w:t>Out-of Merit Order</w:t>
      </w:r>
    </w:p>
    <w:p>
      <w:pPr>
        <w:pStyle w:val="Normal"/>
        <w:rPr>
          <w:sz w:val="20"/>
        </w:rPr>
      </w:pPr>
      <w:r>
        <w:rPr>
          <w:sz w:val="20"/>
        </w:rPr>
      </w:r>
    </w:p>
    <w:p>
      <w:pPr>
        <w:pStyle w:val="Normal"/>
        <w:rPr>
          <w:sz w:val="20"/>
        </w:rPr>
      </w:pPr>
      <w:r>
        <w:rPr>
          <w:sz w:val="20"/>
        </w:rPr>
        <w:t>ERCOT procures Out-of-Merit order capacity from resources that would otherwise not be selected to operate because of their place in, or absence from, the merit order of bids for ancillary services.</w:t>
      </w:r>
    </w:p>
    <w:p>
      <w:pPr>
        <w:pStyle w:val="Normal"/>
        <w:rPr>
          <w:sz w:val="20"/>
        </w:rPr>
      </w:pPr>
      <w:r>
        <w:rPr>
          <w:sz w:val="20"/>
        </w:rPr>
      </w:r>
    </w:p>
    <w:p>
      <w:pPr>
        <w:pStyle w:val="Normal"/>
        <w:rPr>
          <w:sz w:val="20"/>
        </w:rPr>
      </w:pPr>
      <w:r>
        <w:rPr>
          <w:sz w:val="20"/>
        </w:rPr>
        <w:t xml:space="preserve">ERCOT deploys Out-of-Merit order energy from resources that may or may not have provided resource-specific premium bids when no Market Solution exists for resolving congestion, or an emergency is declared. </w:t>
      </w:r>
    </w:p>
    <w:p>
      <w:pPr>
        <w:pStyle w:val="Normal"/>
        <w:rPr>
          <w:sz w:val="20"/>
        </w:rPr>
      </w:pPr>
      <w:r>
        <w:rPr>
          <w:sz w:val="20"/>
        </w:rPr>
      </w:r>
    </w:p>
    <w:p>
      <w:pPr>
        <w:pStyle w:val="Style11"/>
        <w:rPr/>
      </w:pPr>
      <w:r>
        <w:rPr/>
        <w:t>Out-Of-Merit Capacity payments incorporate the use of a Current Resource Specific Percentage (CRSP), which may vary from 150% to 100%, depending upon how frequently the resource is used to provide OOMC service. Providers are paid the lower of the CRSP times the prevailing Market Clearing Price, or the bid price.</w:t>
      </w:r>
    </w:p>
    <w:p>
      <w:pPr>
        <w:pStyle w:val="Normal"/>
        <w:rPr>
          <w:sz w:val="20"/>
        </w:rPr>
      </w:pPr>
      <w:r>
        <w:rPr>
          <w:sz w:val="20"/>
        </w:rPr>
      </w:r>
    </w:p>
    <w:p>
      <w:pPr>
        <w:pStyle w:val="Style11"/>
        <w:rPr/>
      </w:pPr>
      <w:r>
        <w:rPr/>
        <w:t>Out-of-Merit order Balancing Energy-up providers are paid based on the higher of (a) or (b) defined below:</w:t>
      </w:r>
    </w:p>
    <w:p>
      <w:pPr>
        <w:pStyle w:val="Normal"/>
        <w:rPr>
          <w:sz w:val="20"/>
        </w:rPr>
      </w:pPr>
      <w:r>
        <w:rPr>
          <w:sz w:val="20"/>
        </w:rPr>
      </w:r>
    </w:p>
    <w:p>
      <w:pPr>
        <w:pStyle w:val="Normal"/>
        <w:numPr>
          <w:ilvl w:val="0"/>
          <w:numId w:val="56"/>
        </w:numPr>
        <w:rPr>
          <w:sz w:val="20"/>
        </w:rPr>
      </w:pPr>
      <w:r>
        <w:rPr>
          <w:sz w:val="20"/>
        </w:rPr>
        <w:t>The lower of the:</w:t>
      </w:r>
    </w:p>
    <w:p>
      <w:pPr>
        <w:pStyle w:val="Normal"/>
        <w:rPr>
          <w:sz w:val="20"/>
        </w:rPr>
      </w:pPr>
      <w:r>
        <w:rPr>
          <w:sz w:val="20"/>
        </w:rPr>
      </w:r>
    </w:p>
    <w:p>
      <w:pPr>
        <w:pStyle w:val="Normal"/>
        <w:numPr>
          <w:ilvl w:val="1"/>
          <w:numId w:val="56"/>
        </w:numPr>
        <w:rPr>
          <w:sz w:val="20"/>
        </w:rPr>
      </w:pPr>
      <w:r>
        <w:rPr>
          <w:sz w:val="20"/>
        </w:rPr>
        <w:t xml:space="preserve">Actual bid price, or  </w:t>
      </w:r>
    </w:p>
    <w:p>
      <w:pPr>
        <w:pStyle w:val="Normal"/>
        <w:numPr>
          <w:ilvl w:val="1"/>
          <w:numId w:val="56"/>
        </w:numPr>
        <w:rPr>
          <w:sz w:val="20"/>
        </w:rPr>
      </w:pPr>
      <w:r>
        <w:rPr>
          <w:sz w:val="20"/>
        </w:rPr>
        <w:t>The product of a gas index times 18, or</w:t>
      </w:r>
    </w:p>
    <w:p>
      <w:pPr>
        <w:pStyle w:val="Normal"/>
        <w:rPr>
          <w:sz w:val="20"/>
        </w:rPr>
      </w:pPr>
      <w:r>
        <w:rPr>
          <w:sz w:val="20"/>
        </w:rPr>
      </w:r>
    </w:p>
    <w:p>
      <w:pPr>
        <w:pStyle w:val="Normal"/>
        <w:numPr>
          <w:ilvl w:val="0"/>
          <w:numId w:val="56"/>
        </w:numPr>
        <w:rPr>
          <w:sz w:val="20"/>
        </w:rPr>
      </w:pPr>
      <w:r>
        <w:rPr>
          <w:sz w:val="20"/>
        </w:rPr>
        <w:t>The MCPE for the congestion zone</w:t>
      </w:r>
    </w:p>
    <w:p>
      <w:pPr>
        <w:pStyle w:val="Normal"/>
        <w:rPr>
          <w:sz w:val="20"/>
        </w:rPr>
      </w:pPr>
      <w:r>
        <w:rPr>
          <w:sz w:val="20"/>
        </w:rPr>
      </w:r>
      <w:r>
        <w:br w:type="page"/>
      </w:r>
    </w:p>
    <w:p>
      <w:pPr>
        <w:pStyle w:val="Heading2"/>
        <w:rPr/>
      </w:pPr>
      <w:bookmarkStart w:id="31" w:name="__RefHeading___Toc505989424"/>
      <w:bookmarkEnd w:id="31"/>
      <w:r>
        <w:rPr/>
        <w:t>5B. Congestion Management</w:t>
      </w:r>
    </w:p>
    <w:p>
      <w:pPr>
        <w:pStyle w:val="Normal"/>
        <w:rPr/>
      </w:pPr>
      <w:r>
        <w:rPr>
          <w:sz w:val="20"/>
        </w:rPr>
        <w:t>Congestion arises when the balanced schedules submitted by QSEs</w:t>
      </w:r>
      <w:r>
        <w:fldChar w:fldCharType="begin"/>
      </w:r>
      <w:r>
        <w:rPr/>
        <w:instrText xml:space="preserve"> XE "QSEs" </w:instrText>
      </w:r>
      <w:r>
        <w:rPr/>
        <w:fldChar w:fldCharType="separate"/>
      </w:r>
      <w:r>
        <w:rPr/>
      </w:r>
      <w:r>
        <w:rPr/>
        <w:fldChar w:fldCharType="end"/>
      </w:r>
      <w:r>
        <w:rPr>
          <w:sz w:val="20"/>
        </w:rPr>
        <w:t xml:space="preserve"> are such that safe operating limits on the transmission system will be exceeded. In these circumstances, generators must be re-dispatched in a different way to meet the forecasted or actual loads, while respecting these limits.</w:t>
      </w:r>
    </w:p>
    <w:p>
      <w:pPr>
        <w:pStyle w:val="Normal"/>
        <w:rPr>
          <w:sz w:val="20"/>
        </w:rPr>
      </w:pPr>
      <w:r>
        <w:rPr>
          <w:sz w:val="20"/>
        </w:rPr>
      </w:r>
    </w:p>
    <w:p>
      <w:pPr>
        <w:pStyle w:val="Normal"/>
        <w:rPr>
          <w:sz w:val="20"/>
        </w:rPr>
      </w:pPr>
      <w:r>
        <w:drawing>
          <wp:anchor behindDoc="0" distT="0" distB="0" distL="114935" distR="114935" simplePos="0" locked="0" layoutInCell="0" allowOverlap="1" relativeHeight="147">
            <wp:simplePos x="0" y="0"/>
            <wp:positionH relativeFrom="column">
              <wp:posOffset>91440</wp:posOffset>
            </wp:positionH>
            <wp:positionV relativeFrom="paragraph">
              <wp:posOffset>532765</wp:posOffset>
            </wp:positionV>
            <wp:extent cx="3657600" cy="2612390"/>
            <wp:effectExtent l="0" t="0" r="0" b="0"/>
            <wp:wrapTopAndBottom/>
            <wp:docPr id="46"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 descr="" title=""/>
                    <pic:cNvPicPr>
                      <a:picLocks noChangeAspect="1" noChangeArrowheads="1"/>
                    </pic:cNvPicPr>
                  </pic:nvPicPr>
                  <pic:blipFill>
                    <a:blip r:embed="rId34"/>
                    <a:srcRect l="-6" t="-7" r="-6" b="-7"/>
                    <a:stretch>
                      <a:fillRect/>
                    </a:stretch>
                  </pic:blipFill>
                  <pic:spPr bwMode="auto">
                    <a:xfrm>
                      <a:off x="0" y="0"/>
                      <a:ext cx="3657600" cy="2612390"/>
                    </a:xfrm>
                    <a:prstGeom prst="rect">
                      <a:avLst/>
                    </a:prstGeom>
                    <a:noFill/>
                  </pic:spPr>
                </pic:pic>
              </a:graphicData>
            </a:graphic>
          </wp:anchor>
        </w:drawing>
      </w:r>
      <w:r>
        <w:rPr>
          <w:sz w:val="20"/>
        </w:rPr>
        <w:t>Consider the following example of a very simple grid with three zones, a load at each zone, and some generation capacity at two of the three zones:</w:t>
      </w:r>
    </w:p>
    <w:p>
      <w:pPr>
        <w:pStyle w:val="Header"/>
        <w:tabs>
          <w:tab w:val="clear" w:pos="4320"/>
          <w:tab w:val="clear" w:pos="8640"/>
        </w:tabs>
        <w:rPr>
          <w:sz w:val="20"/>
        </w:rPr>
      </w:pPr>
      <w:r>
        <w:rPr>
          <w:sz w:val="20"/>
        </w:rPr>
      </w:r>
    </w:p>
    <w:p>
      <w:pPr>
        <w:pStyle w:val="Normal"/>
        <w:rPr/>
      </w:pPr>
      <w:r>
        <w:rPr/>
      </w:r>
    </w:p>
    <w:p>
      <w:pPr>
        <w:pStyle w:val="Normal"/>
        <w:rPr>
          <w:sz w:val="20"/>
        </w:rPr>
      </w:pPr>
      <w:r>
        <w:rPr>
          <w:sz w:val="20"/>
        </w:rPr>
        <w:t xml:space="preserve">Assume that the characteristics of this grid are such that when power flows out from zone A, the flow along A-&gt;C is twice the flow along A-&gt;B. </w:t>
      </w:r>
    </w:p>
    <w:p>
      <w:pPr>
        <w:pStyle w:val="Normal"/>
        <w:rPr>
          <w:sz w:val="20"/>
        </w:rPr>
      </w:pPr>
      <w:r>
        <w:rPr>
          <w:sz w:val="20"/>
        </w:rPr>
      </w:r>
    </w:p>
    <w:p>
      <w:pPr>
        <w:pStyle w:val="Style11"/>
        <w:rPr/>
      </w:pPr>
      <w:r>
        <w:rPr/>
        <w:t>With no constraints on the transmission wires connecting each of the zones, the least cost solution to satisfy the requirement would be as follows:</w:t>
      </w:r>
    </w:p>
    <w:p>
      <w:pPr>
        <w:pStyle w:val="Normal"/>
        <w:numPr>
          <w:ilvl w:val="0"/>
          <w:numId w:val="0"/>
        </w:numPr>
        <w:rPr>
          <w:sz w:val="20"/>
        </w:rPr>
      </w:pPr>
      <w:r>
        <w:rPr>
          <w:sz w:val="20"/>
        </w:rPr>
        <w:drawing>
          <wp:anchor behindDoc="0" distT="0" distB="0" distL="114935" distR="114935" simplePos="0" locked="0" layoutInCell="0" allowOverlap="1" relativeHeight="149">
            <wp:simplePos x="0" y="0"/>
            <wp:positionH relativeFrom="column">
              <wp:posOffset>-89535</wp:posOffset>
            </wp:positionH>
            <wp:positionV relativeFrom="paragraph">
              <wp:posOffset>1905</wp:posOffset>
            </wp:positionV>
            <wp:extent cx="3838575" cy="2280285"/>
            <wp:effectExtent l="0" t="0" r="0" b="0"/>
            <wp:wrapTopAndBottom/>
            <wp:docPr id="47"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8" descr="" title=""/>
                    <pic:cNvPicPr>
                      <a:picLocks noChangeAspect="1" noChangeArrowheads="1"/>
                    </pic:cNvPicPr>
                  </pic:nvPicPr>
                  <pic:blipFill>
                    <a:blip r:embed="rId35"/>
                    <a:srcRect l="-5" t="-9" r="-5" b="-9"/>
                    <a:stretch>
                      <a:fillRect/>
                    </a:stretch>
                  </pic:blipFill>
                  <pic:spPr bwMode="auto">
                    <a:xfrm>
                      <a:off x="0" y="0"/>
                      <a:ext cx="3838575" cy="2280285"/>
                    </a:xfrm>
                    <a:prstGeom prst="rect">
                      <a:avLst/>
                    </a:prstGeom>
                    <a:noFill/>
                  </pic:spPr>
                </pic:pic>
              </a:graphicData>
            </a:graphic>
          </wp:anchor>
        </w:drawing>
      </w:r>
      <w:r>
        <w:br w:type="page"/>
      </w:r>
    </w:p>
    <w:p>
      <w:pPr>
        <w:pStyle w:val="Normal"/>
        <w:rPr>
          <w:sz w:val="20"/>
        </w:rPr>
      </w:pPr>
      <w:r>
        <w:rPr>
          <w:sz w:val="20"/>
        </w:rPr>
        <w:t>Generator A, being the lowest cost, is used to the maximum, and the excess generation, 300MW, flows out from A. As prescribed on the previous page, the flow from A-&gt;C is twice that of A-&gt;B, hence 200MW flows from A-&gt;C and 100 MW from A-&gt;B. The total cost is $20,000.</w:t>
      </w:r>
    </w:p>
    <w:p>
      <w:pPr>
        <w:pStyle w:val="Normal"/>
        <w:rPr>
          <w:sz w:val="20"/>
        </w:rPr>
      </w:pPr>
      <w:r>
        <w:rPr>
          <w:sz w:val="20"/>
        </w:rPr>
      </w:r>
    </w:p>
    <w:p>
      <w:pPr>
        <w:pStyle w:val="Style11"/>
        <w:rPr/>
      </w:pPr>
      <w:r>
        <w:rPr/>
        <w:t>Now let’s introduce a constraint. Say that the line connecting A-&gt;C is only capable of safely handling 100MW. Hence we currently have 100MW of congestion</w:t>
      </w:r>
      <w:r>
        <w:fldChar w:fldCharType="begin"/>
      </w:r>
      <w:r>
        <w:rPr/>
        <w:instrText xml:space="preserve"> XE "congestion" </w:instrText>
      </w:r>
      <w:r>
        <w:rPr/>
        <w:fldChar w:fldCharType="separate"/>
      </w:r>
      <w:r>
        <w:rPr/>
      </w:r>
      <w:r>
        <w:rPr/>
        <w:fldChar w:fldCharType="end"/>
      </w:r>
      <w:r>
        <w:rPr/>
        <w:t xml:space="preserve"> on this line. Now the generators have to be re-dispatched as follows:</w:t>
      </w:r>
    </w:p>
    <w:p>
      <w:pPr>
        <w:pStyle w:val="Normal"/>
        <w:rPr/>
      </w:pPr>
      <w:r>
        <w:rPr/>
      </w:r>
    </w:p>
    <w:p>
      <w:pPr>
        <w:pStyle w:val="Normal"/>
        <w:rPr/>
      </w:pPr>
      <w:r>
        <w:rPr/>
        <w:drawing>
          <wp:anchor behindDoc="0" distT="0" distB="0" distL="114935" distR="114935" simplePos="0" locked="0" layoutInCell="0" allowOverlap="1" relativeHeight="148">
            <wp:simplePos x="0" y="0"/>
            <wp:positionH relativeFrom="column">
              <wp:posOffset>0</wp:posOffset>
            </wp:positionH>
            <wp:positionV relativeFrom="paragraph">
              <wp:posOffset>76835</wp:posOffset>
            </wp:positionV>
            <wp:extent cx="3529330" cy="2484120"/>
            <wp:effectExtent l="0" t="0" r="0" b="0"/>
            <wp:wrapTopAndBottom/>
            <wp:docPr id="48"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9" descr="" title=""/>
                    <pic:cNvPicPr>
                      <a:picLocks noChangeAspect="1" noChangeArrowheads="1"/>
                    </pic:cNvPicPr>
                  </pic:nvPicPr>
                  <pic:blipFill>
                    <a:blip r:embed="rId36"/>
                    <a:srcRect l="-6" t="-8" r="-6" b="-8"/>
                    <a:stretch>
                      <a:fillRect/>
                    </a:stretch>
                  </pic:blipFill>
                  <pic:spPr bwMode="auto">
                    <a:xfrm>
                      <a:off x="0" y="0"/>
                      <a:ext cx="3529330" cy="2484120"/>
                    </a:xfrm>
                    <a:prstGeom prst="rect">
                      <a:avLst/>
                    </a:prstGeom>
                    <a:noFill/>
                  </pic:spPr>
                </pic:pic>
              </a:graphicData>
            </a:graphic>
          </wp:anchor>
        </w:drawing>
      </w:r>
    </w:p>
    <w:p>
      <w:pPr>
        <w:pStyle w:val="Style11"/>
        <w:rPr/>
      </w:pPr>
      <w:r>
        <w:rPr/>
      </w:r>
    </w:p>
    <w:p>
      <w:pPr>
        <w:pStyle w:val="Style11"/>
        <w:rPr/>
      </w:pPr>
      <w:r>
        <w:rPr/>
        <w:t>Generation at A has to be reduced to respect the 100MW constraint between A and C, and higher cost generation at B is dispatched to make up for the shortfall. The total cost of the generation dispatched is now $21,500, an increase of $1,500 over the unconstrained solution.</w:t>
      </w:r>
    </w:p>
    <w:p>
      <w:pPr>
        <w:pStyle w:val="Header"/>
        <w:tabs>
          <w:tab w:val="clear" w:pos="4320"/>
          <w:tab w:val="clear" w:pos="8640"/>
        </w:tabs>
        <w:rPr/>
      </w:pPr>
      <w:r>
        <w:rPr/>
      </w:r>
    </w:p>
    <w:p>
      <w:pPr>
        <w:pStyle w:val="Normal"/>
        <w:rPr>
          <w:sz w:val="20"/>
        </w:rPr>
      </w:pPr>
      <w:r>
        <w:rPr>
          <w:sz w:val="20"/>
        </w:rPr>
        <w:t xml:space="preserve">In practice, what would happen if the above situation were forecast by ERCOT as it analyzed Day-Ahead schedules? </w:t>
      </w:r>
    </w:p>
    <w:p>
      <w:pPr>
        <w:pStyle w:val="Normal"/>
        <w:rPr>
          <w:sz w:val="20"/>
        </w:rPr>
      </w:pPr>
      <w:r>
        <w:rPr>
          <w:sz w:val="20"/>
        </w:rPr>
      </w:r>
    </w:p>
    <w:p>
      <w:pPr>
        <w:pStyle w:val="Normal"/>
        <w:rPr/>
      </w:pPr>
      <w:r>
        <w:rPr>
          <w:sz w:val="20"/>
        </w:rPr>
        <w:t>First, ERCOT would notify the QSEs</w:t>
      </w:r>
      <w:r>
        <w:fldChar w:fldCharType="begin"/>
      </w:r>
      <w:r>
        <w:rPr/>
        <w:instrText xml:space="preserve"> XE "QSEs" </w:instrText>
      </w:r>
      <w:r>
        <w:rPr/>
        <w:fldChar w:fldCharType="separate"/>
      </w:r>
      <w:r>
        <w:rPr/>
      </w:r>
      <w:r>
        <w:rPr/>
        <w:fldChar w:fldCharType="end"/>
      </w:r>
      <w:r>
        <w:rPr>
          <w:sz w:val="20"/>
        </w:rPr>
        <w:t xml:space="preserve"> and thus give them the opportunity to adjust their schedules to relieve the forecast congestion</w:t>
      </w:r>
      <w:r>
        <w:fldChar w:fldCharType="begin"/>
      </w:r>
      <w:r>
        <w:rPr/>
        <w:instrText xml:space="preserve"> XE "congestion" </w:instrText>
      </w:r>
      <w:r>
        <w:rPr/>
        <w:fldChar w:fldCharType="separate"/>
      </w:r>
      <w:r>
        <w:rPr/>
      </w:r>
      <w:r>
        <w:rPr/>
        <w:fldChar w:fldCharType="end"/>
      </w:r>
      <w:r>
        <w:rPr>
          <w:sz w:val="20"/>
        </w:rPr>
        <w:t xml:space="preserve">. </w:t>
      </w:r>
    </w:p>
    <w:p>
      <w:pPr>
        <w:pStyle w:val="Normal"/>
        <w:rPr>
          <w:sz w:val="20"/>
        </w:rPr>
      </w:pPr>
      <w:r>
        <w:rPr>
          <w:sz w:val="20"/>
        </w:rPr>
      </w:r>
    </w:p>
    <w:p>
      <w:pPr>
        <w:pStyle w:val="Normal"/>
        <w:rPr/>
      </w:pPr>
      <w:r>
        <w:rPr>
          <w:sz w:val="20"/>
        </w:rPr>
        <w:t>If the adjusted schedules, after analysis, still produce congestion</w:t>
      </w:r>
      <w:r>
        <w:fldChar w:fldCharType="begin"/>
      </w:r>
      <w:r>
        <w:rPr/>
        <w:instrText xml:space="preserve"> XE "congestion" </w:instrText>
      </w:r>
      <w:r>
        <w:rPr/>
        <w:fldChar w:fldCharType="separate"/>
      </w:r>
      <w:r>
        <w:rPr/>
      </w:r>
      <w:r>
        <w:rPr/>
        <w:fldChar w:fldCharType="end"/>
      </w:r>
      <w:r>
        <w:rPr>
          <w:sz w:val="20"/>
        </w:rPr>
        <w:t xml:space="preserve">, then ERCOT’s next recourse is to procure Replacement Reserve – in this case 150MW of such reserve would be procured in zone B. That way, ERCOT knows that there will be sufficient capacity available in zone B and balancing energy bids available to deal with the congestion that has been forecast. </w:t>
      </w:r>
    </w:p>
    <w:p>
      <w:pPr>
        <w:pStyle w:val="Normal"/>
        <w:rPr>
          <w:sz w:val="20"/>
        </w:rPr>
      </w:pPr>
      <w:r>
        <w:rPr>
          <w:sz w:val="20"/>
        </w:rPr>
      </w:r>
    </w:p>
    <w:p>
      <w:pPr>
        <w:pStyle w:val="Normal"/>
        <w:rPr/>
      </w:pPr>
      <w:r>
        <w:rPr>
          <w:sz w:val="20"/>
        </w:rPr>
        <w:t>If the congestion</w:t>
      </w:r>
      <w:r>
        <w:fldChar w:fldCharType="begin"/>
      </w:r>
      <w:r>
        <w:rPr/>
        <w:instrText xml:space="preserve"> XE "congestion" </w:instrText>
      </w:r>
      <w:r>
        <w:rPr/>
        <w:fldChar w:fldCharType="separate"/>
      </w:r>
      <w:r>
        <w:rPr/>
      </w:r>
      <w:r>
        <w:rPr/>
        <w:fldChar w:fldCharType="end"/>
      </w:r>
      <w:r>
        <w:rPr>
          <w:sz w:val="20"/>
        </w:rPr>
        <w:t xml:space="preserve"> does indeed continue to be predicted as we approach real-time, ERCOT will clear balancing energy bids to relieve the congestion – incremental energy of 150MWh in zone B, and decremental energy of 150MWh in zone A.</w:t>
      </w:r>
    </w:p>
    <w:p>
      <w:pPr>
        <w:pStyle w:val="Normal"/>
        <w:rPr>
          <w:sz w:val="20"/>
        </w:rPr>
      </w:pPr>
      <w:r>
        <w:rPr>
          <w:sz w:val="20"/>
        </w:rPr>
      </w:r>
    </w:p>
    <w:p>
      <w:pPr>
        <w:pStyle w:val="Normal"/>
        <w:rPr/>
      </w:pPr>
      <w:r>
        <w:rPr>
          <w:sz w:val="20"/>
        </w:rPr>
        <w:t>The constraint example can be used to introduce the terms that describe congestion</w:t>
      </w:r>
      <w:r>
        <w:fldChar w:fldCharType="begin"/>
      </w:r>
      <w:r>
        <w:rPr/>
        <w:instrText xml:space="preserve"> XE "congestion" </w:instrText>
      </w:r>
      <w:r>
        <w:rPr/>
        <w:fldChar w:fldCharType="separate"/>
      </w:r>
      <w:r>
        <w:rPr/>
      </w:r>
      <w:r>
        <w:rPr/>
        <w:fldChar w:fldCharType="end"/>
      </w:r>
      <w:r>
        <w:rPr>
          <w:sz w:val="20"/>
        </w:rPr>
        <w:t>, as it is handled in the ERCOT service area:</w:t>
      </w:r>
    </w:p>
    <w:p>
      <w:pPr>
        <w:pStyle w:val="Normal"/>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F2F2F2" w:val="clear"/>
        <w:rPr/>
      </w:pPr>
      <w:r>
        <w:rPr>
          <w:sz w:val="20"/>
        </w:rPr>
        <w:t xml:space="preserve">The </w:t>
      </w:r>
      <w:r>
        <w:rPr>
          <w:i/>
          <w:sz w:val="20"/>
        </w:rPr>
        <w:t xml:space="preserve">Congestion Cost </w:t>
      </w:r>
      <w:r>
        <w:rPr>
          <w:sz w:val="20"/>
        </w:rPr>
        <w:t>is the incremental cost of the re-dispatch required to resolve the congestion</w:t>
      </w:r>
      <w:r>
        <w:fldChar w:fldCharType="begin"/>
      </w:r>
      <w:r>
        <w:rPr/>
        <w:instrText xml:space="preserve"> XE "congestion" </w:instrText>
      </w:r>
      <w:r>
        <w:rPr/>
        <w:fldChar w:fldCharType="separate"/>
      </w:r>
      <w:r>
        <w:rPr/>
      </w:r>
      <w:r>
        <w:rPr/>
        <w:fldChar w:fldCharType="end"/>
      </w:r>
      <w:r>
        <w:rPr>
          <w:sz w:val="20"/>
        </w:rPr>
        <w:t>. In the example this cost is $1,500.</w:t>
      </w:r>
    </w:p>
    <w:p>
      <w:pPr>
        <w:pStyle w:val="Normal"/>
        <w:pBdr>
          <w:top w:val="single" w:sz="4" w:space="1" w:color="000000"/>
          <w:left w:val="single" w:sz="4" w:space="4" w:color="000000"/>
          <w:bottom w:val="single" w:sz="4" w:space="1" w:color="000000"/>
          <w:right w:val="single" w:sz="4" w:space="4" w:color="000000"/>
        </w:pBdr>
        <w:shd w:fill="F2F2F2" w:val="clear"/>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F2F2F2" w:val="clear"/>
        <w:rPr/>
      </w:pPr>
      <w:r>
        <w:rPr>
          <w:sz w:val="20"/>
        </w:rPr>
        <w:t xml:space="preserve">The </w:t>
      </w:r>
      <w:r>
        <w:rPr>
          <w:i/>
          <w:sz w:val="20"/>
        </w:rPr>
        <w:t xml:space="preserve">shadow price </w:t>
      </w:r>
      <w:r>
        <w:rPr>
          <w:sz w:val="20"/>
        </w:rPr>
        <w:t>of congestion</w:t>
      </w:r>
      <w:r>
        <w:fldChar w:fldCharType="begin"/>
      </w:r>
      <w:r>
        <w:rPr/>
        <w:instrText xml:space="preserve"> XE "congestion" </w:instrText>
      </w:r>
      <w:r>
        <w:rPr/>
        <w:fldChar w:fldCharType="separate"/>
      </w:r>
      <w:r>
        <w:rPr/>
      </w:r>
      <w:r>
        <w:rPr/>
        <w:fldChar w:fldCharType="end"/>
      </w:r>
      <w:r>
        <w:rPr>
          <w:sz w:val="20"/>
        </w:rPr>
        <w:t xml:space="preserve"> is the marginal price of the constraint – it indicates the decrease in overall cost if the constraint limit were to increase by 1MW. In the example this is $15/MW.</w:t>
      </w:r>
    </w:p>
    <w:p>
      <w:pPr>
        <w:pStyle w:val="Normal"/>
        <w:pBdr>
          <w:top w:val="single" w:sz="4" w:space="1" w:color="000000"/>
          <w:left w:val="single" w:sz="4" w:space="4" w:color="000000"/>
          <w:bottom w:val="single" w:sz="4" w:space="1" w:color="000000"/>
          <w:right w:val="single" w:sz="4" w:space="4" w:color="000000"/>
        </w:pBdr>
        <w:shd w:fill="F2F2F2" w:val="clear"/>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F2F2F2" w:val="clear"/>
        <w:rPr/>
      </w:pPr>
      <w:r>
        <w:rPr>
          <w:sz w:val="20"/>
        </w:rPr>
        <w:t xml:space="preserve">The </w:t>
      </w:r>
      <w:r>
        <w:rPr>
          <w:i/>
          <w:sz w:val="20"/>
        </w:rPr>
        <w:t xml:space="preserve">shift factor </w:t>
      </w:r>
      <w:r>
        <w:rPr>
          <w:sz w:val="20"/>
        </w:rPr>
        <w:t xml:space="preserve">describes the impact that a generator in a given zone has on the constraint. These shift factors are expressed as fractions. </w:t>
      </w:r>
    </w:p>
    <w:p>
      <w:pPr>
        <w:pStyle w:val="Normal"/>
        <w:pBdr>
          <w:top w:val="single" w:sz="4" w:space="1" w:color="000000"/>
          <w:left w:val="single" w:sz="4" w:space="4" w:color="000000"/>
          <w:bottom w:val="single" w:sz="4" w:space="1" w:color="000000"/>
          <w:right w:val="single" w:sz="4" w:space="4" w:color="000000"/>
        </w:pBdr>
        <w:shd w:fill="F2F2F2" w:val="clear"/>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F2F2F2" w:val="clear"/>
        <w:rPr>
          <w:sz w:val="20"/>
        </w:rPr>
      </w:pPr>
      <w:r>
        <w:rPr>
          <w:sz w:val="20"/>
        </w:rPr>
        <w:t>Using these terms, we can describe our situation as follows:</w:t>
      </w:r>
    </w:p>
    <w:p>
      <w:pPr>
        <w:pStyle w:val="Normal"/>
        <w:pBdr>
          <w:top w:val="single" w:sz="4" w:space="1" w:color="000000"/>
          <w:left w:val="single" w:sz="4" w:space="4" w:color="000000"/>
          <w:bottom w:val="single" w:sz="4" w:space="1" w:color="000000"/>
          <w:right w:val="single" w:sz="4" w:space="4" w:color="000000"/>
        </w:pBdr>
        <w:shd w:fill="F2F2F2" w:val="clear"/>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F2F2F2" w:val="clear"/>
        <w:rPr>
          <w:sz w:val="20"/>
        </w:rPr>
      </w:pPr>
      <w:r>
        <w:rPr>
          <w:sz w:val="20"/>
        </w:rPr>
        <w:t>Shift factor (reflecting the impact of generation in zone A on the constraint A-&gt;C) = 0.66, since only 66% of the change in generation at A is reflected on the flow between A-&gt;C.</w:t>
      </w:r>
    </w:p>
    <w:p>
      <w:pPr>
        <w:pStyle w:val="Normal"/>
        <w:pBdr>
          <w:top w:val="single" w:sz="4" w:space="1" w:color="000000"/>
          <w:left w:val="single" w:sz="4" w:space="4" w:color="000000"/>
          <w:bottom w:val="single" w:sz="4" w:space="1" w:color="000000"/>
          <w:right w:val="single" w:sz="4" w:space="4" w:color="000000"/>
        </w:pBdr>
        <w:shd w:fill="F2F2F2" w:val="clear"/>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F2F2F2" w:val="clear"/>
        <w:rPr>
          <w:sz w:val="20"/>
        </w:rPr>
      </w:pPr>
      <w:r>
        <w:rPr>
          <w:sz w:val="20"/>
        </w:rPr>
        <w:t>Congestion cost = shadow price x amount by which limit is violated = $15/MW x 100MW = $1,500</w:t>
      </w:r>
    </w:p>
    <w:p>
      <w:pPr>
        <w:pStyle w:val="Normal"/>
        <w:pBdr>
          <w:top w:val="single" w:sz="4" w:space="1" w:color="000000"/>
          <w:left w:val="single" w:sz="4" w:space="4" w:color="000000"/>
          <w:bottom w:val="single" w:sz="4" w:space="1" w:color="000000"/>
          <w:right w:val="single" w:sz="4" w:space="4" w:color="000000"/>
        </w:pBdr>
        <w:shd w:fill="F2F2F2" w:val="clear"/>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F2F2F2" w:val="clear"/>
        <w:rPr>
          <w:sz w:val="20"/>
        </w:rPr>
      </w:pPr>
      <w:r>
        <w:rPr>
          <w:sz w:val="20"/>
        </w:rPr>
        <w:t>Clearing price at a unit impacting the constraint = shadow price x shift factor for the unit at the constraint = $15/MW x 0.66 = $10/MW.</w:t>
      </w:r>
    </w:p>
    <w:p>
      <w:pPr>
        <w:pStyle w:val="Normal"/>
        <w:pBdr>
          <w:top w:val="single" w:sz="4" w:space="1" w:color="000000"/>
          <w:left w:val="single" w:sz="4" w:space="4" w:color="000000"/>
          <w:bottom w:val="single" w:sz="4" w:space="1" w:color="000000"/>
          <w:right w:val="single" w:sz="4" w:space="4" w:color="000000"/>
        </w:pBdr>
        <w:shd w:fill="F2F2F2" w:val="clear"/>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F2F2F2" w:val="clear"/>
        <w:rPr/>
      </w:pPr>
      <w:r>
        <w:rPr>
          <w:sz w:val="20"/>
        </w:rPr>
        <w:t>Hence if the shift factors are known, the shadow prices and the overall congestion</w:t>
      </w:r>
      <w:r>
        <w:fldChar w:fldCharType="begin"/>
      </w:r>
      <w:r>
        <w:rPr/>
        <w:instrText xml:space="preserve"> XE "congestion" </w:instrText>
      </w:r>
      <w:r>
        <w:rPr/>
        <w:fldChar w:fldCharType="separate"/>
      </w:r>
      <w:r>
        <w:rPr/>
      </w:r>
      <w:r>
        <w:rPr/>
        <w:fldChar w:fldCharType="end"/>
      </w:r>
      <w:r>
        <w:rPr>
          <w:sz w:val="20"/>
        </w:rPr>
        <w:t xml:space="preserve"> clearing prices can be calculated for a given power flow situation. </w:t>
      </w:r>
    </w:p>
    <w:p>
      <w:pPr>
        <w:pStyle w:val="Normal"/>
        <w:rPr>
          <w:sz w:val="20"/>
        </w:rPr>
      </w:pPr>
      <w:r>
        <w:rPr>
          <w:sz w:val="20"/>
        </w:rPr>
      </w:r>
    </w:p>
    <w:p>
      <w:pPr>
        <w:pStyle w:val="Heading3"/>
        <w:rPr/>
      </w:pPr>
      <w:bookmarkStart w:id="32" w:name="__RefHeading___Toc505989425"/>
      <w:bookmarkEnd w:id="32"/>
      <w:r>
        <w:rPr/>
        <w:t>Congestion Zones</w:t>
      </w:r>
    </w:p>
    <w:p>
      <w:pPr>
        <w:pStyle w:val="Normal"/>
        <w:rPr>
          <w:sz w:val="20"/>
        </w:rPr>
      </w:pPr>
      <w:r>
        <w:rPr>
          <w:sz w:val="20"/>
        </w:rPr>
        <w:t xml:space="preserve">In an actual power flow situation, every combination of a generator and a constraint has its own shift factor, and that shift factor varies according to the power flow in the network.  </w:t>
      </w:r>
    </w:p>
    <w:p>
      <w:pPr>
        <w:pStyle w:val="Normal"/>
        <w:rPr>
          <w:sz w:val="20"/>
        </w:rPr>
      </w:pPr>
      <w:r>
        <w:rPr>
          <w:sz w:val="20"/>
        </w:rPr>
      </w:r>
    </w:p>
    <w:p>
      <w:pPr>
        <w:pStyle w:val="Normal"/>
        <w:rPr>
          <w:sz w:val="20"/>
        </w:rPr>
      </w:pPr>
      <w:r>
        <w:rPr>
          <w:sz w:val="20"/>
        </w:rPr>
        <w:t xml:space="preserve">To simplify the situation ERCOT defines a reasonably stable Commercial Model, which is a simplified version of the detailed network model of the Grid. </w:t>
      </w:r>
    </w:p>
    <w:p>
      <w:pPr>
        <w:pStyle w:val="Normal"/>
        <w:rPr>
          <w:sz w:val="20"/>
        </w:rPr>
      </w:pPr>
      <w:r>
        <w:rPr>
          <w:sz w:val="20"/>
        </w:rPr>
      </w:r>
    </w:p>
    <w:p>
      <w:pPr>
        <w:pStyle w:val="Normal"/>
        <w:rPr>
          <w:sz w:val="20"/>
        </w:rPr>
      </w:pPr>
      <w:r>
        <w:rPr>
          <w:sz w:val="20"/>
        </w:rPr>
        <w:t>To create the Commercial Model:</w:t>
      </w:r>
    </w:p>
    <w:p>
      <w:pPr>
        <w:pStyle w:val="Normal"/>
        <w:rPr>
          <w:sz w:val="20"/>
        </w:rPr>
      </w:pPr>
      <w:r>
        <w:rPr>
          <w:sz w:val="20"/>
        </w:rPr>
      </w:r>
    </w:p>
    <w:p>
      <w:pPr>
        <w:pStyle w:val="Normal"/>
        <w:numPr>
          <w:ilvl w:val="0"/>
          <w:numId w:val="27"/>
        </w:numPr>
        <w:rPr>
          <w:sz w:val="20"/>
        </w:rPr>
      </w:pPr>
      <w:r>
        <w:rPr>
          <w:sz w:val="20"/>
        </w:rPr>
        <w:t>The constraints that frequently impact the operation of the grid are identified on an annual basis – these are called Commercially Significant Constraints (CSC).</w:t>
      </w:r>
    </w:p>
    <w:p>
      <w:pPr>
        <w:pStyle w:val="Normal"/>
        <w:numPr>
          <w:ilvl w:val="0"/>
          <w:numId w:val="27"/>
        </w:numPr>
        <w:rPr>
          <w:sz w:val="20"/>
        </w:rPr>
      </w:pPr>
      <w:r>
        <w:rPr>
          <w:sz w:val="20"/>
        </w:rPr>
        <w:t>Power flow analysis is performed under typical grid conditions to determine the shift factors for these constraints for each transmission bus.</w:t>
      </w:r>
    </w:p>
    <w:p>
      <w:pPr>
        <w:pStyle w:val="Normal"/>
        <w:numPr>
          <w:ilvl w:val="0"/>
          <w:numId w:val="27"/>
        </w:numPr>
        <w:rPr>
          <w:sz w:val="20"/>
        </w:rPr>
      </w:pPr>
      <w:r>
        <w:rPr>
          <w:sz w:val="20"/>
        </w:rPr>
        <w:t>Transmission buses are grouped into Congestion Zones in which shift factors are similar relative to all constraints.</w:t>
      </w:r>
    </w:p>
    <w:p>
      <w:pPr>
        <w:pStyle w:val="Normal"/>
        <w:numPr>
          <w:ilvl w:val="0"/>
          <w:numId w:val="27"/>
        </w:numPr>
        <w:rPr>
          <w:sz w:val="20"/>
        </w:rPr>
      </w:pPr>
      <w:r>
        <w:rPr>
          <w:sz w:val="20"/>
        </w:rPr>
        <w:t xml:space="preserve">Zonal Shift Factors are then calculated for these zones as a weighted average of all the shift factors in the zone. </w:t>
      </w:r>
    </w:p>
    <w:p>
      <w:pPr>
        <w:pStyle w:val="Normal"/>
        <w:rPr>
          <w:sz w:val="20"/>
        </w:rPr>
      </w:pPr>
      <w:r>
        <w:rPr>
          <w:sz w:val="20"/>
        </w:rPr>
      </w:r>
    </w:p>
    <w:p>
      <w:pPr>
        <w:pStyle w:val="Normal"/>
        <w:rPr>
          <w:sz w:val="20"/>
        </w:rPr>
      </w:pPr>
      <w:r>
        <w:rPr>
          <w:sz w:val="20"/>
        </w:rPr>
        <w:t xml:space="preserve">This process produces a more manageable number of constraints and shift factors which help market participants understand the way the network is likely to behave and therefore to plan accordingly. </w:t>
      </w:r>
    </w:p>
    <w:p>
      <w:pPr>
        <w:pStyle w:val="Normal"/>
        <w:rPr>
          <w:sz w:val="20"/>
        </w:rPr>
      </w:pPr>
      <w:r>
        <w:rPr>
          <w:sz w:val="20"/>
        </w:rPr>
      </w:r>
    </w:p>
    <w:p>
      <w:pPr>
        <w:pStyle w:val="Normal"/>
        <w:rPr/>
      </w:pPr>
      <w:r>
        <w:rPr>
          <w:sz w:val="20"/>
        </w:rPr>
        <w:t>During real-time operations, the actual network model is used to assess security and to predict Operational Constraints. However, the principles described in the previous section are applied in the same way to arrive at congestion</w:t>
      </w:r>
      <w:r>
        <w:fldChar w:fldCharType="begin"/>
      </w:r>
      <w:r>
        <w:rPr/>
        <w:instrText xml:space="preserve"> XE "congestion" </w:instrText>
      </w:r>
      <w:r>
        <w:rPr/>
        <w:fldChar w:fldCharType="separate"/>
      </w:r>
      <w:r>
        <w:rPr/>
      </w:r>
      <w:r>
        <w:rPr/>
        <w:fldChar w:fldCharType="end"/>
      </w:r>
      <w:r>
        <w:rPr>
          <w:sz w:val="20"/>
        </w:rPr>
        <w:t xml:space="preserve"> costs and clearing prices for capacity and energy to relieve the congestion.</w:t>
      </w:r>
    </w:p>
    <w:p>
      <w:pPr>
        <w:pStyle w:val="Header"/>
        <w:tabs>
          <w:tab w:val="clear" w:pos="4320"/>
          <w:tab w:val="clear" w:pos="8640"/>
        </w:tabs>
        <w:rPr/>
      </w:pPr>
      <w:r>
        <w:rPr/>
      </w:r>
    </w:p>
    <w:p>
      <w:pPr>
        <w:pStyle w:val="Heading3"/>
        <w:rPr/>
      </w:pPr>
      <w:bookmarkStart w:id="33" w:name="__RefHeading___Toc505989426"/>
      <w:bookmarkEnd w:id="33"/>
      <w:r>
        <w:rPr/>
        <w:t>Settlement for Congestion</w:t>
      </w:r>
    </w:p>
    <w:p>
      <w:pPr>
        <w:pStyle w:val="Normal"/>
        <w:rPr>
          <w:sz w:val="20"/>
        </w:rPr>
      </w:pPr>
      <w:r>
        <w:rPr>
          <w:sz w:val="20"/>
        </w:rPr>
        <w:t xml:space="preserve">As discussed earlier in section 4F, the providers of Replacement Reserve are paid the prevailing capacity clearing price times the amount awarded; except for resources used to resolve Operational Constraints, which will receive the pay-as-bid price. Balancing energy services providers are paid zonal prevailing energy clearing prices plus a premium paid to the providers of balancing energy services participating in resolving OC. Imbalance energy is paid the difference between the scheduled and actual amount times the prevailing energy clearing price. </w:t>
      </w:r>
    </w:p>
    <w:p>
      <w:pPr>
        <w:pStyle w:val="Normal"/>
        <w:rPr>
          <w:sz w:val="20"/>
        </w:rPr>
      </w:pPr>
      <w:r>
        <w:rPr>
          <w:sz w:val="20"/>
        </w:rPr>
      </w:r>
    </w:p>
    <w:p>
      <w:pPr>
        <w:pStyle w:val="Normal"/>
        <w:rPr/>
      </w:pPr>
      <w:r>
        <w:rPr>
          <w:sz w:val="20"/>
        </w:rPr>
        <w:t>Initially, the costs associated with relieving congestion</w:t>
      </w:r>
      <w:r>
        <w:fldChar w:fldCharType="begin"/>
      </w:r>
      <w:r>
        <w:rPr/>
        <w:instrText xml:space="preserve"> XE "congestion" </w:instrText>
      </w:r>
      <w:r>
        <w:rPr/>
        <w:fldChar w:fldCharType="separate"/>
      </w:r>
      <w:r>
        <w:rPr/>
      </w:r>
      <w:r>
        <w:rPr/>
        <w:fldChar w:fldCharType="end"/>
      </w:r>
      <w:r>
        <w:rPr>
          <w:sz w:val="20"/>
        </w:rPr>
        <w:t xml:space="preserve"> are allocated to all QSEs</w:t>
      </w:r>
      <w:r>
        <w:fldChar w:fldCharType="begin"/>
      </w:r>
      <w:r>
        <w:rPr/>
        <w:instrText xml:space="preserve"> XE "QSEs" </w:instrText>
      </w:r>
      <w:r>
        <w:rPr/>
        <w:fldChar w:fldCharType="separate"/>
      </w:r>
      <w:r>
        <w:rPr/>
      </w:r>
      <w:r>
        <w:rPr/>
        <w:fldChar w:fldCharType="end"/>
      </w:r>
      <w:r>
        <w:rPr>
          <w:sz w:val="20"/>
        </w:rPr>
        <w:t xml:space="preserve"> in proportion to their load. Although this is the simplest method of allocating costs, it does not create an incentive to reduce congestion since those responsible for congestion are paying no more per MW than those who are not responsible for it.</w:t>
      </w:r>
    </w:p>
    <w:p>
      <w:pPr>
        <w:pStyle w:val="Normal"/>
        <w:rPr>
          <w:sz w:val="20"/>
        </w:rPr>
      </w:pPr>
      <w:r>
        <w:rPr>
          <w:sz w:val="20"/>
        </w:rPr>
      </w:r>
    </w:p>
    <w:p>
      <w:pPr>
        <w:pStyle w:val="Normal"/>
        <w:rPr>
          <w:sz w:val="20"/>
        </w:rPr>
      </w:pPr>
      <w:r>
        <w:rPr>
          <w:sz w:val="20"/>
        </w:rPr>
        <w:t>To create a more direct cost allocation for congestion, ERCOT has decided to introduce two mechanisms at a later date:</w:t>
      </w:r>
    </w:p>
    <w:p>
      <w:pPr>
        <w:pStyle w:val="Normal"/>
        <w:rPr>
          <w:sz w:val="20"/>
        </w:rPr>
      </w:pPr>
      <w:r>
        <w:rPr>
          <w:sz w:val="20"/>
        </w:rPr>
      </w:r>
    </w:p>
    <w:p>
      <w:pPr>
        <w:pStyle w:val="Normal"/>
        <w:numPr>
          <w:ilvl w:val="0"/>
          <w:numId w:val="62"/>
        </w:numPr>
        <w:rPr>
          <w:sz w:val="20"/>
        </w:rPr>
      </w:pPr>
      <w:r>
        <w:rPr>
          <w:sz w:val="20"/>
        </w:rPr>
        <w:t>Zonal cost allocation.</w:t>
      </w:r>
    </w:p>
    <w:p>
      <w:pPr>
        <w:pStyle w:val="Normal"/>
        <w:numPr>
          <w:ilvl w:val="0"/>
          <w:numId w:val="62"/>
        </w:numPr>
        <w:rPr>
          <w:sz w:val="20"/>
        </w:rPr>
      </w:pPr>
      <w:r>
        <w:rPr>
          <w:sz w:val="20"/>
        </w:rPr>
        <w:t>Transmission Congestion Rights.</w:t>
      </w:r>
    </w:p>
    <w:p>
      <w:pPr>
        <w:pStyle w:val="Normal"/>
        <w:rPr>
          <w:sz w:val="20"/>
        </w:rPr>
      </w:pPr>
      <w:r>
        <w:rPr>
          <w:sz w:val="20"/>
        </w:rPr>
      </w:r>
    </w:p>
    <w:p>
      <w:pPr>
        <w:pStyle w:val="Normal"/>
        <w:rPr/>
      </w:pPr>
      <w:r>
        <w:rPr>
          <w:sz w:val="20"/>
        </w:rPr>
        <w:t>The introduction of these mechanisms is triggered when the annual cost of relieving CSC congestion</w:t>
      </w:r>
      <w:r>
        <w:fldChar w:fldCharType="begin"/>
      </w:r>
      <w:r>
        <w:rPr/>
        <w:instrText xml:space="preserve"> XE "congestion" </w:instrText>
      </w:r>
      <w:r>
        <w:rPr/>
        <w:fldChar w:fldCharType="separate"/>
      </w:r>
      <w:r>
        <w:rPr/>
      </w:r>
      <w:r>
        <w:rPr/>
        <w:fldChar w:fldCharType="end"/>
      </w:r>
      <w:r>
        <w:rPr>
          <w:sz w:val="20"/>
        </w:rPr>
        <w:t xml:space="preserve"> reaches $20 million, or at the latest by May 2004.</w:t>
      </w:r>
    </w:p>
    <w:p>
      <w:pPr>
        <w:pStyle w:val="Normal"/>
        <w:rPr>
          <w:sz w:val="20"/>
        </w:rPr>
      </w:pPr>
      <w:r>
        <w:rPr>
          <w:sz w:val="20"/>
        </w:rPr>
      </w:r>
    </w:p>
    <w:p>
      <w:pPr>
        <w:pStyle w:val="Heading3"/>
        <w:rPr/>
      </w:pPr>
      <w:bookmarkStart w:id="34" w:name="__RefHeading___Toc505989427"/>
      <w:bookmarkEnd w:id="34"/>
      <w:r>
        <w:rPr/>
        <w:t>Zonal Congestion Cost Allocation</w:t>
      </w:r>
    </w:p>
    <w:p>
      <w:pPr>
        <w:pStyle w:val="Normal"/>
        <w:rPr/>
      </w:pPr>
      <w:r>
        <w:rPr>
          <w:sz w:val="20"/>
        </w:rPr>
        <w:t>The formulas used for zonal cost allocation are complex, but the essence of the zonal method is to calculate CSC congestion</w:t>
      </w:r>
      <w:r>
        <w:fldChar w:fldCharType="begin"/>
      </w:r>
      <w:r>
        <w:rPr/>
        <w:instrText xml:space="preserve"> XE "congestion" </w:instrText>
      </w:r>
      <w:r>
        <w:rPr/>
        <w:fldChar w:fldCharType="separate"/>
      </w:r>
      <w:r>
        <w:rPr/>
      </w:r>
      <w:r>
        <w:rPr/>
        <w:fldChar w:fldCharType="end"/>
      </w:r>
      <w:r>
        <w:rPr>
          <w:sz w:val="20"/>
        </w:rPr>
        <w:t xml:space="preserve"> costs zone by zone for each QSE for a specific CSC as the product of:</w:t>
      </w:r>
    </w:p>
    <w:p>
      <w:pPr>
        <w:pStyle w:val="Normal"/>
        <w:rPr>
          <w:sz w:val="20"/>
        </w:rPr>
      </w:pPr>
      <w:r>
        <w:rPr>
          <w:sz w:val="20"/>
        </w:rPr>
      </w:r>
    </w:p>
    <w:p>
      <w:pPr>
        <w:pStyle w:val="Normal"/>
        <w:rPr>
          <w:sz w:val="20"/>
        </w:rPr>
      </w:pPr>
      <w:r>
        <w:rPr>
          <w:sz w:val="20"/>
        </w:rPr>
        <w:t xml:space="preserve">(QSE’s impact on the CSC) x (shadow price for the constraint) </w:t>
      </w:r>
    </w:p>
    <w:p>
      <w:pPr>
        <w:pStyle w:val="Normal"/>
        <w:rPr/>
      </w:pPr>
      <w:r>
        <w:rPr>
          <w:sz w:val="20"/>
        </w:rPr>
        <w:t>Hence QSEs</w:t>
      </w:r>
      <w:r>
        <w:fldChar w:fldCharType="begin"/>
      </w:r>
      <w:r>
        <w:rPr/>
        <w:instrText xml:space="preserve"> XE "QSEs" </w:instrText>
      </w:r>
      <w:r>
        <w:rPr/>
        <w:fldChar w:fldCharType="separate"/>
      </w:r>
      <w:r>
        <w:rPr/>
      </w:r>
      <w:r>
        <w:rPr/>
        <w:fldChar w:fldCharType="end"/>
      </w:r>
      <w:r>
        <w:rPr>
          <w:sz w:val="20"/>
        </w:rPr>
        <w:t xml:space="preserve"> with the greatest impact on the constraint, pay the most.</w:t>
      </w:r>
    </w:p>
    <w:p>
      <w:pPr>
        <w:pStyle w:val="Heading3"/>
        <w:rPr/>
      </w:pPr>
      <w:bookmarkStart w:id="35" w:name="__RefHeading___Toc505989428"/>
      <w:bookmarkEnd w:id="35"/>
      <w:r>
        <w:rPr/>
        <w:t>Transmission Congestion Rights (TCR)</w:t>
      </w:r>
    </w:p>
    <w:p>
      <w:pPr>
        <w:pStyle w:val="Normal"/>
        <w:rPr/>
      </w:pPr>
      <w:r>
        <w:rPr>
          <w:sz w:val="20"/>
        </w:rPr>
        <w:t>Transmission congestion</w:t>
      </w:r>
      <w:r>
        <w:fldChar w:fldCharType="begin"/>
      </w:r>
      <w:r>
        <w:rPr/>
        <w:instrText xml:space="preserve"> XE "congestion" </w:instrText>
      </w:r>
      <w:r>
        <w:rPr/>
        <w:fldChar w:fldCharType="separate"/>
      </w:r>
      <w:r>
        <w:rPr/>
      </w:r>
      <w:r>
        <w:rPr/>
        <w:fldChar w:fldCharType="end"/>
      </w:r>
      <w:r>
        <w:rPr>
          <w:sz w:val="20"/>
        </w:rPr>
        <w:t xml:space="preserve"> rights are financial instruments that enable QSEs</w:t>
      </w:r>
      <w:r>
        <w:fldChar w:fldCharType="begin"/>
      </w:r>
      <w:r>
        <w:rPr/>
        <w:instrText xml:space="preserve"> XE "QSEs" </w:instrText>
      </w:r>
      <w:r>
        <w:rPr/>
        <w:fldChar w:fldCharType="separate"/>
      </w:r>
      <w:r>
        <w:rPr/>
      </w:r>
      <w:r>
        <w:rPr/>
        <w:fldChar w:fldCharType="end"/>
      </w:r>
      <w:r>
        <w:rPr>
          <w:sz w:val="20"/>
        </w:rPr>
        <w:t xml:space="preserve"> to hedge against the risk of incurring CSC congestion charges. Each MW of transmission capacity on each CSC is equal to 1 TCR for that constraint. </w:t>
      </w:r>
    </w:p>
    <w:p>
      <w:pPr>
        <w:pStyle w:val="Normal"/>
        <w:rPr>
          <w:sz w:val="20"/>
        </w:rPr>
      </w:pPr>
      <w:r>
        <w:rPr>
          <w:sz w:val="20"/>
        </w:rPr>
      </w:r>
    </w:p>
    <w:p>
      <w:pPr>
        <w:pStyle w:val="Normal"/>
        <w:rPr/>
      </w:pPr>
      <w:r>
        <w:rPr>
          <w:sz w:val="20"/>
        </w:rPr>
        <w:t>These congestion</w:t>
      </w:r>
      <w:r>
        <w:fldChar w:fldCharType="begin"/>
      </w:r>
      <w:r>
        <w:rPr/>
        <w:instrText xml:space="preserve"> XE "congestion" </w:instrText>
      </w:r>
      <w:r>
        <w:rPr/>
        <w:fldChar w:fldCharType="separate"/>
      </w:r>
      <w:r>
        <w:rPr/>
      </w:r>
      <w:r>
        <w:rPr/>
        <w:fldChar w:fldCharType="end"/>
      </w:r>
      <w:r>
        <w:rPr>
          <w:sz w:val="20"/>
        </w:rPr>
        <w:t xml:space="preserve"> rights will be auctioned to the highest bidder, and are applicable for a defined period, usually 1 year or month. The owner of a TCR can use it to avoid the congestion charges for a corresponding constraint, for the period in which the rights are valid.</w:t>
      </w:r>
    </w:p>
    <w:p>
      <w:pPr>
        <w:pStyle w:val="Normal"/>
        <w:rPr>
          <w:sz w:val="20"/>
        </w:rPr>
      </w:pPr>
      <w:r>
        <w:rPr>
          <w:sz w:val="20"/>
        </w:rPr>
      </w:r>
    </w:p>
    <w:p>
      <w:pPr>
        <w:pStyle w:val="Normal"/>
        <w:rPr>
          <w:sz w:val="20"/>
        </w:rPr>
      </w:pPr>
      <w:r>
        <w:rPr>
          <w:sz w:val="20"/>
        </w:rPr>
      </w:r>
    </w:p>
    <w:p>
      <w:pPr>
        <w:pStyle w:val="Normal"/>
        <w:rPr>
          <w:sz w:val="20"/>
        </w:rPr>
      </w:pPr>
      <w:r>
        <w:rPr>
          <w:sz w:val="20"/>
        </w:rPr>
      </w:r>
      <w:r>
        <w:br w:type="page"/>
      </w:r>
    </w:p>
    <w:p>
      <w:pPr>
        <w:pStyle w:val="Heading1"/>
        <w:rPr/>
      </w:pPr>
      <w:bookmarkStart w:id="36" w:name="__RefHeading___Toc505989429"/>
      <w:bookmarkEnd w:id="36"/>
      <w:r>
        <w:rPr/>
        <w:t>6. Participant Readiness</w:t>
      </w:r>
    </w:p>
    <w:p>
      <w:pPr>
        <w:pStyle w:val="Normal"/>
        <w:rPr/>
      </w:pPr>
      <w:r>
        <w:rPr>
          <w:sz w:val="20"/>
        </w:rPr>
        <w:t>This section provides a very high level set of requirements for market participant readiness to interface with ERCOT systems, in order to operate in the Customer Choice Pilot</w:t>
      </w:r>
      <w:r>
        <w:fldChar w:fldCharType="begin"/>
      </w:r>
      <w:r>
        <w:rPr/>
        <w:instrText xml:space="preserve"> XE "Pilot" </w:instrText>
      </w:r>
      <w:r>
        <w:rPr/>
        <w:fldChar w:fldCharType="separate"/>
      </w:r>
      <w:r>
        <w:rPr/>
      </w:r>
      <w:r>
        <w:rPr/>
        <w:fldChar w:fldCharType="end"/>
      </w:r>
      <w:r>
        <w:rPr>
          <w:sz w:val="20"/>
        </w:rPr>
        <w:t xml:space="preserve"> that starts on June 1, 2001.  </w:t>
      </w:r>
    </w:p>
    <w:p>
      <w:pPr>
        <w:pStyle w:val="Normal"/>
        <w:rPr>
          <w:sz w:val="20"/>
        </w:rPr>
      </w:pPr>
      <w:r>
        <w:rPr>
          <w:sz w:val="20"/>
        </w:rPr>
      </w:r>
    </w:p>
    <w:p>
      <w:pPr>
        <w:pStyle w:val="Normal"/>
        <w:pBdr>
          <w:top w:val="single" w:sz="4" w:space="1" w:color="000000"/>
          <w:left w:val="single" w:sz="4" w:space="4" w:color="000000"/>
          <w:bottom w:val="single" w:sz="4" w:space="1" w:color="000000"/>
          <w:right w:val="single" w:sz="4" w:space="4" w:color="000000"/>
        </w:pBdr>
        <w:shd w:fill="DFDFDF" w:val="clear"/>
        <w:rPr/>
      </w:pPr>
      <w:r>
        <w:rPr>
          <w:sz w:val="20"/>
        </w:rPr>
        <w:t xml:space="preserve">More detailed sources for readiness information are the </w:t>
      </w:r>
      <w:hyperlink r:id="rId37">
        <w:r>
          <w:rPr>
            <w:rStyle w:val="Hyperlink"/>
            <w:sz w:val="20"/>
          </w:rPr>
          <w:t>www.TexasChoiceProgram.com</w:t>
        </w:r>
      </w:hyperlink>
      <w:r>
        <w:rPr>
          <w:sz w:val="20"/>
        </w:rPr>
        <w:t xml:space="preserve"> website.</w:t>
      </w:r>
    </w:p>
    <w:p>
      <w:pPr>
        <w:pStyle w:val="Heading2"/>
        <w:rPr/>
      </w:pPr>
      <w:bookmarkStart w:id="37" w:name="__RefHeading___Toc505989430"/>
      <w:bookmarkEnd w:id="37"/>
      <w:r>
        <w:rPr/>
        <w:t>6A. Interfaces</w:t>
      </w:r>
    </w:p>
    <w:p>
      <w:pPr>
        <w:pStyle w:val="Normal"/>
        <w:rPr>
          <w:sz w:val="20"/>
        </w:rPr>
      </w:pPr>
      <w:r>
        <w:rPr>
          <w:sz w:val="20"/>
        </w:rPr>
        <w:t xml:space="preserve">Market participants have specific requirements to interface effectively with ERCOT. </w:t>
      </w:r>
    </w:p>
    <w:p>
      <w:pPr>
        <w:pStyle w:val="Normal"/>
        <w:rPr>
          <w:sz w:val="20"/>
        </w:rPr>
      </w:pPr>
      <w:r>
        <w:rPr>
          <w:sz w:val="20"/>
        </w:rPr>
      </w:r>
    </w:p>
    <w:p>
      <w:pPr>
        <w:pStyle w:val="Normal"/>
        <w:rPr>
          <w:sz w:val="20"/>
        </w:rPr>
      </w:pPr>
      <w:r>
        <w:rPr>
          <w:sz w:val="20"/>
        </w:rPr>
        <w:t>There are 5 main technical interfaces between market participants and ERCOT. In general, most QSEs and Transmission Service Providers will interact with ERCOT over a private wide area network. Other market participants will use perform their market transactions over the internet.</w:t>
      </w:r>
    </w:p>
    <w:p>
      <w:pPr>
        <w:pStyle w:val="Normal"/>
        <w:rPr>
          <w:sz w:val="20"/>
        </w:rPr>
      </w:pPr>
      <w:r>
        <w:rPr>
          <w:sz w:val="20"/>
        </w:rPr>
      </w:r>
    </w:p>
    <w:p>
      <w:pPr>
        <w:pStyle w:val="Normal"/>
        <w:numPr>
          <w:ilvl w:val="0"/>
          <w:numId w:val="29"/>
        </w:numPr>
        <w:rPr>
          <w:sz w:val="20"/>
        </w:rPr>
      </w:pPr>
      <w:r>
        <w:rPr>
          <w:sz w:val="20"/>
        </w:rPr>
        <w:t xml:space="preserve">Portal – the portal is a browser-based interface which allows both public and private information transfers between ERCOT and participants. Private information transfers require a digital certificate and is encrypted for added security. </w:t>
      </w:r>
    </w:p>
    <w:p>
      <w:pPr>
        <w:pStyle w:val="Normal"/>
        <w:rPr>
          <w:sz w:val="20"/>
        </w:rPr>
      </w:pPr>
      <w:r>
        <w:rPr>
          <w:sz w:val="20"/>
        </w:rPr>
      </w:r>
    </w:p>
    <w:p>
      <w:pPr>
        <w:pStyle w:val="Normal"/>
        <w:numPr>
          <w:ilvl w:val="0"/>
          <w:numId w:val="29"/>
        </w:numPr>
        <w:rPr>
          <w:sz w:val="20"/>
        </w:rPr>
      </w:pPr>
      <w:r>
        <w:rPr>
          <w:sz w:val="20"/>
        </w:rPr>
        <w:t>Transaction Clearinghouse – the transaction clearinghouse manages the EDI transactions between ERCOT and participants. The Transaction Clearinghouse will also support the XML implementation of the EDI transactions. The clearinghouse supports commercial transaction management for complex transactions like switches which require multiple organizations to be involved in the right sequence to execute correctly. The encryption and digital certificate technology provided by ERCOT makes this information transfer secure.</w:t>
      </w:r>
    </w:p>
    <w:p>
      <w:pPr>
        <w:pStyle w:val="Normal"/>
        <w:rPr>
          <w:sz w:val="20"/>
        </w:rPr>
      </w:pPr>
      <w:r>
        <w:rPr>
          <w:sz w:val="20"/>
        </w:rPr>
      </w:r>
    </w:p>
    <w:p>
      <w:pPr>
        <w:pStyle w:val="Normal"/>
        <w:numPr>
          <w:ilvl w:val="0"/>
          <w:numId w:val="29"/>
        </w:numPr>
        <w:rPr>
          <w:sz w:val="20"/>
        </w:rPr>
      </w:pPr>
      <w:r>
        <w:rPr>
          <w:sz w:val="20"/>
        </w:rPr>
        <w:t>Application Programmatic Interface (API) – the API is a custom interface developed by ERCOT to support integration between participant systems and ERCOT’s systems to reduce the need for manual interaction in this process. This is particularly important in areas like scheduling and bidding where manual interaction could be cumbersome.</w:t>
      </w:r>
    </w:p>
    <w:p>
      <w:pPr>
        <w:pStyle w:val="Normal"/>
        <w:rPr>
          <w:sz w:val="20"/>
        </w:rPr>
      </w:pPr>
      <w:r>
        <w:rPr>
          <w:sz w:val="20"/>
        </w:rPr>
      </w:r>
    </w:p>
    <w:p>
      <w:pPr>
        <w:pStyle w:val="Normal"/>
        <w:numPr>
          <w:ilvl w:val="0"/>
          <w:numId w:val="29"/>
        </w:numPr>
        <w:rPr>
          <w:sz w:val="20"/>
        </w:rPr>
      </w:pPr>
      <w:r>
        <w:rPr>
          <w:sz w:val="20"/>
        </w:rPr>
        <w:t>Real Time Inter Control Center Communications (ICCP) Interface – this is a standard power industry interface supporting automated integration between QSE/TDSP control systems and ERCOT’s power control system.</w:t>
      </w:r>
    </w:p>
    <w:p>
      <w:pPr>
        <w:pStyle w:val="Normal"/>
        <w:rPr>
          <w:sz w:val="20"/>
        </w:rPr>
      </w:pPr>
      <w:r>
        <w:rPr>
          <w:sz w:val="20"/>
        </w:rPr>
      </w:r>
    </w:p>
    <w:p>
      <w:pPr>
        <w:pStyle w:val="Normal"/>
        <w:numPr>
          <w:ilvl w:val="0"/>
          <w:numId w:val="29"/>
        </w:numPr>
        <w:rPr>
          <w:sz w:val="20"/>
        </w:rPr>
      </w:pPr>
      <w:r>
        <w:rPr>
          <w:sz w:val="20"/>
        </w:rPr>
        <w:t>Real Time Remote Terminal Unit (RTU) Interface – this interface supports real-time signal transfer between ERCOT and TDSP/QSEs to support dispatch instructions and transmission system management.</w:t>
      </w:r>
    </w:p>
    <w:p>
      <w:pPr>
        <w:pStyle w:val="Normal"/>
        <w:rPr>
          <w:sz w:val="20"/>
        </w:rPr>
      </w:pPr>
      <w:r>
        <w:rPr>
          <w:sz w:val="20"/>
        </w:rPr>
      </w:r>
    </w:p>
    <w:p>
      <w:pPr>
        <w:pStyle w:val="Normal"/>
        <w:rPr>
          <w:sz w:val="20"/>
        </w:rPr>
      </w:pPr>
      <w:r>
        <w:rPr>
          <w:sz w:val="20"/>
        </w:rPr>
      </w:r>
    </w:p>
    <w:p>
      <w:pPr>
        <w:pStyle w:val="Normal"/>
        <w:rPr/>
      </w:pPr>
      <w:r>
        <w:rPr>
          <w:sz w:val="20"/>
        </w:rPr>
        <w:t xml:space="preserve">A </w:t>
      </w:r>
      <w:r>
        <w:rPr>
          <w:b/>
          <w:sz w:val="20"/>
        </w:rPr>
        <w:t>CR</w:t>
      </w:r>
      <w:r>
        <w:fldChar w:fldCharType="begin"/>
      </w:r>
      <w:r>
        <w:rPr/>
        <w:instrText xml:space="preserve"> XE "REP" </w:instrText>
      </w:r>
      <w:r>
        <w:rPr/>
        <w:fldChar w:fldCharType="separate"/>
      </w:r>
      <w:r>
        <w:rPr/>
      </w:r>
      <w:r>
        <w:rPr/>
        <w:fldChar w:fldCharType="end"/>
      </w:r>
      <w:r>
        <w:rPr>
          <w:sz w:val="20"/>
        </w:rPr>
        <w:t xml:space="preserve"> requires technical interfaces to exchange customer information with ERCOT.  Interface requirements:</w:t>
      </w:r>
    </w:p>
    <w:p>
      <w:pPr>
        <w:pStyle w:val="Normal"/>
        <w:numPr>
          <w:ilvl w:val="0"/>
          <w:numId w:val="15"/>
        </w:numPr>
        <w:rPr>
          <w:sz w:val="20"/>
        </w:rPr>
      </w:pPr>
      <w:r>
        <w:rPr>
          <w:sz w:val="20"/>
        </w:rPr>
        <w:t>Portal via Web Browser Internet Explorer version 5.x over PGP (data encryption tool).</w:t>
      </w:r>
    </w:p>
    <w:p>
      <w:pPr>
        <w:pStyle w:val="Normal"/>
        <w:numPr>
          <w:ilvl w:val="0"/>
          <w:numId w:val="15"/>
        </w:numPr>
        <w:rPr>
          <w:sz w:val="20"/>
        </w:rPr>
      </w:pPr>
      <w:r>
        <w:rPr>
          <w:sz w:val="20"/>
        </w:rPr>
        <w:t>EDI/XML  via FTP with data encryption</w:t>
      </w:r>
    </w:p>
    <w:p>
      <w:pPr>
        <w:pStyle w:val="Normal"/>
        <w:numPr>
          <w:ilvl w:val="0"/>
          <w:numId w:val="15"/>
        </w:numPr>
        <w:rPr>
          <w:sz w:val="20"/>
        </w:rPr>
      </w:pPr>
      <w:r>
        <w:rPr>
          <w:sz w:val="20"/>
        </w:rPr>
        <w:t>Programmatic Interface via HTTPS (optional).</w:t>
      </w:r>
    </w:p>
    <w:p>
      <w:pPr>
        <w:pStyle w:val="Normal"/>
        <w:numPr>
          <w:ilvl w:val="0"/>
          <w:numId w:val="15"/>
        </w:numPr>
        <w:rPr>
          <w:sz w:val="20"/>
        </w:rPr>
      </w:pPr>
      <w:r>
        <w:rPr>
          <w:sz w:val="20"/>
        </w:rPr>
        <w:t>Private Wide Area Network Access (optional)</w:t>
      </w:r>
    </w:p>
    <w:p>
      <w:pPr>
        <w:pStyle w:val="Style11"/>
        <w:rPr>
          <w:rFonts w:eastAsia="Book Antiqua"/>
        </w:rPr>
      </w:pPr>
      <w:r>
        <w:rPr>
          <w:rFonts w:eastAsia="Book Antiqua"/>
        </w:rPr>
        <w:t xml:space="preserve"> </w:t>
      </w:r>
    </w:p>
    <w:p>
      <w:pPr>
        <w:pStyle w:val="Normal"/>
        <w:rPr/>
      </w:pPr>
      <w:r>
        <w:rPr>
          <w:sz w:val="20"/>
        </w:rPr>
        <w:t xml:space="preserve">A </w:t>
      </w:r>
      <w:r>
        <w:rPr>
          <w:b/>
          <w:sz w:val="20"/>
        </w:rPr>
        <w:t>QSE</w:t>
      </w:r>
      <w:r>
        <w:rPr>
          <w:sz w:val="20"/>
        </w:rPr>
        <w:t xml:space="preserve"> needs interfaces with the Transaction Clearinghouse to process invoices.  It also needs ICCP/RTU for real-time signal communication with ERCOT.  The portal and the Programmatic Interface give access to specific QSE information, including selected bids, generation outage schedules, as well as market data.  Interface requirements:</w:t>
      </w:r>
    </w:p>
    <w:p>
      <w:pPr>
        <w:pStyle w:val="Normal"/>
        <w:numPr>
          <w:ilvl w:val="0"/>
          <w:numId w:val="23"/>
        </w:numPr>
        <w:rPr>
          <w:sz w:val="20"/>
        </w:rPr>
      </w:pPr>
      <w:r>
        <w:rPr>
          <w:sz w:val="20"/>
        </w:rPr>
        <w:t>Web browser Internet Explorer version 5.x.</w:t>
      </w:r>
    </w:p>
    <w:p>
      <w:pPr>
        <w:pStyle w:val="Normal"/>
        <w:numPr>
          <w:ilvl w:val="0"/>
          <w:numId w:val="23"/>
        </w:numPr>
        <w:rPr>
          <w:sz w:val="20"/>
        </w:rPr>
      </w:pPr>
      <w:r>
        <w:rPr>
          <w:sz w:val="20"/>
        </w:rPr>
        <w:t>Internet.</w:t>
      </w:r>
    </w:p>
    <w:p>
      <w:pPr>
        <w:pStyle w:val="Normal"/>
        <w:numPr>
          <w:ilvl w:val="0"/>
          <w:numId w:val="23"/>
        </w:numPr>
        <w:rPr>
          <w:sz w:val="20"/>
        </w:rPr>
      </w:pPr>
      <w:r>
        <w:rPr>
          <w:sz w:val="20"/>
        </w:rPr>
        <w:t>Private Wide Area Network Access (required for QSEs with dispatchable resources).</w:t>
      </w:r>
    </w:p>
    <w:p>
      <w:pPr>
        <w:pStyle w:val="Normal"/>
        <w:numPr>
          <w:ilvl w:val="0"/>
          <w:numId w:val="23"/>
        </w:numPr>
        <w:rPr>
          <w:sz w:val="20"/>
        </w:rPr>
      </w:pPr>
      <w:r>
        <w:rPr>
          <w:sz w:val="20"/>
        </w:rPr>
        <w:t>EDI/XML for processing of settlement invoices.</w:t>
      </w:r>
    </w:p>
    <w:p>
      <w:pPr>
        <w:pStyle w:val="Normal"/>
        <w:numPr>
          <w:ilvl w:val="0"/>
          <w:numId w:val="23"/>
        </w:numPr>
        <w:rPr>
          <w:sz w:val="20"/>
        </w:rPr>
      </w:pPr>
      <w:r>
        <w:rPr>
          <w:sz w:val="20"/>
        </w:rPr>
        <w:t>Programmatic Interface.</w:t>
      </w:r>
    </w:p>
    <w:p>
      <w:pPr>
        <w:pStyle w:val="Normal"/>
        <w:numPr>
          <w:ilvl w:val="0"/>
          <w:numId w:val="23"/>
        </w:numPr>
        <w:rPr>
          <w:sz w:val="20"/>
        </w:rPr>
      </w:pPr>
      <w:r>
        <w:rPr>
          <w:sz w:val="20"/>
        </w:rPr>
        <w:t>ICCP/RTU (required for QSEs with dispatchable resources).</w:t>
      </w:r>
    </w:p>
    <w:p>
      <w:pPr>
        <w:pStyle w:val="Normal"/>
        <w:rPr>
          <w:sz w:val="20"/>
        </w:rPr>
      </w:pPr>
      <w:r>
        <w:rPr>
          <w:sz w:val="20"/>
        </w:rPr>
      </w:r>
    </w:p>
    <w:p>
      <w:pPr>
        <w:pStyle w:val="Normal"/>
        <w:rPr/>
      </w:pPr>
      <w:r>
        <w:rPr>
          <w:sz w:val="20"/>
        </w:rPr>
        <w:t xml:space="preserve">A </w:t>
      </w:r>
      <w:r>
        <w:rPr>
          <w:b/>
          <w:sz w:val="20"/>
        </w:rPr>
        <w:t>TDSP</w:t>
      </w:r>
      <w:r>
        <w:fldChar w:fldCharType="begin"/>
      </w:r>
      <w:r>
        <w:rPr/>
        <w:instrText xml:space="preserve"> XE "TDSP" </w:instrText>
      </w:r>
      <w:r>
        <w:rPr/>
        <w:fldChar w:fldCharType="separate"/>
      </w:r>
      <w:r>
        <w:rPr/>
      </w:r>
      <w:r>
        <w:rPr/>
        <w:fldChar w:fldCharType="end"/>
      </w:r>
      <w:r>
        <w:rPr>
          <w:sz w:val="20"/>
        </w:rPr>
        <w:t xml:space="preserve"> needs to use ICCP/RTU to receive real-time signals if it operates any transmission lines.   Distribution Service Providers also require the Transaction Clearinghouse access to send ESI ID maintenance, consumption, and switch responses.  Interface requirements:</w:t>
      </w:r>
    </w:p>
    <w:p>
      <w:pPr>
        <w:pStyle w:val="Normal"/>
        <w:numPr>
          <w:ilvl w:val="0"/>
          <w:numId w:val="26"/>
        </w:numPr>
        <w:rPr>
          <w:sz w:val="20"/>
        </w:rPr>
      </w:pPr>
      <w:r>
        <w:rPr>
          <w:sz w:val="20"/>
        </w:rPr>
        <w:t>Web browser Internet Explorer version 5.x.</w:t>
      </w:r>
    </w:p>
    <w:p>
      <w:pPr>
        <w:pStyle w:val="Normal"/>
        <w:numPr>
          <w:ilvl w:val="0"/>
          <w:numId w:val="26"/>
        </w:numPr>
        <w:rPr>
          <w:sz w:val="20"/>
        </w:rPr>
      </w:pPr>
      <w:r>
        <w:rPr>
          <w:sz w:val="20"/>
        </w:rPr>
        <w:t>Internet.</w:t>
      </w:r>
    </w:p>
    <w:p>
      <w:pPr>
        <w:pStyle w:val="Normal"/>
        <w:numPr>
          <w:ilvl w:val="0"/>
          <w:numId w:val="26"/>
        </w:numPr>
        <w:rPr>
          <w:sz w:val="20"/>
        </w:rPr>
      </w:pPr>
      <w:r>
        <w:rPr>
          <w:sz w:val="20"/>
        </w:rPr>
        <w:t>Private Network Access (Required for Transmission Service Providers).</w:t>
      </w:r>
    </w:p>
    <w:p>
      <w:pPr>
        <w:pStyle w:val="Normal"/>
        <w:numPr>
          <w:ilvl w:val="0"/>
          <w:numId w:val="26"/>
        </w:numPr>
        <w:rPr>
          <w:sz w:val="20"/>
        </w:rPr>
      </w:pPr>
      <w:r>
        <w:rPr>
          <w:sz w:val="20"/>
        </w:rPr>
        <w:t>EDI/XML for commercial operations such as meter reads.</w:t>
      </w:r>
    </w:p>
    <w:p>
      <w:pPr>
        <w:pStyle w:val="Normal"/>
        <w:numPr>
          <w:ilvl w:val="0"/>
          <w:numId w:val="26"/>
        </w:numPr>
        <w:rPr>
          <w:sz w:val="20"/>
        </w:rPr>
      </w:pPr>
      <w:r>
        <w:rPr>
          <w:sz w:val="20"/>
        </w:rPr>
        <w:t>Programmatic Interface (recommended).</w:t>
      </w:r>
    </w:p>
    <w:p>
      <w:pPr>
        <w:pStyle w:val="Normal"/>
        <w:numPr>
          <w:ilvl w:val="0"/>
          <w:numId w:val="26"/>
        </w:numPr>
        <w:rPr>
          <w:sz w:val="20"/>
        </w:rPr>
      </w:pPr>
      <w:r>
        <w:rPr>
          <w:sz w:val="20"/>
        </w:rPr>
        <w:t>ICCP/RTU (Required for Transmission Service Providers).</w:t>
      </w:r>
    </w:p>
    <w:p>
      <w:pPr>
        <w:pStyle w:val="Normal"/>
        <w:rPr>
          <w:sz w:val="20"/>
        </w:rPr>
      </w:pPr>
      <w:r>
        <w:rPr>
          <w:sz w:val="20"/>
        </w:rPr>
      </w:r>
    </w:p>
    <w:p>
      <w:pPr>
        <w:pStyle w:val="Normal"/>
        <w:rPr/>
      </w:pPr>
      <w:r>
        <w:rPr>
          <w:sz w:val="20"/>
        </w:rPr>
        <w:t xml:space="preserve">A Basic </w:t>
      </w:r>
      <w:r>
        <w:rPr>
          <w:b/>
          <w:sz w:val="20"/>
        </w:rPr>
        <w:t xml:space="preserve">Non Opt-In Entity </w:t>
      </w:r>
      <w:r>
        <w:rPr>
          <w:sz w:val="20"/>
        </w:rPr>
        <w:t>(without transmission) interacts with ERCOT via the QSE.  It may access data from the ERCOT data archive via the portal. Interface requirement:</w:t>
      </w:r>
    </w:p>
    <w:p>
      <w:pPr>
        <w:pStyle w:val="Normal"/>
        <w:numPr>
          <w:ilvl w:val="0"/>
          <w:numId w:val="71"/>
        </w:numPr>
        <w:rPr>
          <w:sz w:val="20"/>
        </w:rPr>
      </w:pPr>
      <w:r>
        <w:rPr>
          <w:sz w:val="20"/>
        </w:rPr>
        <w:t>Web browser Internet Explorer version 5.x.</w:t>
      </w:r>
    </w:p>
    <w:p>
      <w:pPr>
        <w:pStyle w:val="Normal"/>
        <w:numPr>
          <w:ilvl w:val="0"/>
          <w:numId w:val="71"/>
        </w:numPr>
        <w:rPr>
          <w:sz w:val="20"/>
        </w:rPr>
      </w:pPr>
      <w:r>
        <w:rPr>
          <w:sz w:val="20"/>
        </w:rPr>
        <w:t>Internet.</w:t>
      </w:r>
    </w:p>
    <w:p>
      <w:pPr>
        <w:pStyle w:val="Style11"/>
        <w:rPr>
          <w:sz w:val="20"/>
        </w:rPr>
      </w:pPr>
      <w:r>
        <w:rPr>
          <w:sz w:val="20"/>
        </w:rPr>
      </w:r>
    </w:p>
    <w:p>
      <w:pPr>
        <w:pStyle w:val="Normal"/>
        <w:rPr>
          <w:sz w:val="20"/>
        </w:rPr>
      </w:pPr>
      <w:r>
        <w:rPr>
          <w:sz w:val="20"/>
        </w:rPr>
      </w:r>
    </w:p>
    <w:p>
      <w:pPr>
        <w:pStyle w:val="Normal"/>
        <w:rPr/>
      </w:pPr>
      <w:r>
        <w:rPr>
          <w:sz w:val="20"/>
        </w:rPr>
        <w:t xml:space="preserve">A </w:t>
      </w:r>
      <w:r>
        <w:rPr>
          <w:b/>
          <w:sz w:val="20"/>
        </w:rPr>
        <w:t>Resource</w:t>
      </w:r>
      <w:r>
        <w:fldChar w:fldCharType="begin"/>
      </w:r>
      <w:r>
        <w:rPr/>
        <w:instrText xml:space="preserve"> XE "PGC" </w:instrText>
      </w:r>
      <w:r>
        <w:rPr/>
        <w:fldChar w:fldCharType="separate"/>
      </w:r>
      <w:r>
        <w:rPr/>
      </w:r>
      <w:r>
        <w:rPr/>
        <w:fldChar w:fldCharType="end"/>
      </w:r>
      <w:r>
        <w:rPr>
          <w:sz w:val="20"/>
        </w:rPr>
        <w:t xml:space="preserve"> interacts with ERCOT via a QSE.  Needs portal access for general market information and data from the ERCOT data archive.  Interface requirement:</w:t>
      </w:r>
    </w:p>
    <w:p>
      <w:pPr>
        <w:pStyle w:val="Normal"/>
        <w:numPr>
          <w:ilvl w:val="0"/>
          <w:numId w:val="78"/>
        </w:numPr>
        <w:rPr>
          <w:sz w:val="20"/>
        </w:rPr>
      </w:pPr>
      <w:r>
        <w:rPr>
          <w:sz w:val="20"/>
        </w:rPr>
        <w:t>Web browser Internet Explorer version 5.x.</w:t>
      </w:r>
    </w:p>
    <w:p>
      <w:pPr>
        <w:pStyle w:val="Normal"/>
        <w:numPr>
          <w:ilvl w:val="0"/>
          <w:numId w:val="78"/>
        </w:numPr>
        <w:rPr>
          <w:sz w:val="20"/>
        </w:rPr>
      </w:pPr>
      <w:r>
        <w:rPr>
          <w:sz w:val="20"/>
        </w:rPr>
        <w:t>Internet.</w:t>
      </w:r>
    </w:p>
    <w:p>
      <w:pPr>
        <w:pStyle w:val="Normal"/>
        <w:rPr>
          <w:sz w:val="20"/>
        </w:rPr>
      </w:pPr>
      <w:r>
        <w:rPr>
          <w:sz w:val="20"/>
        </w:rPr>
      </w:r>
    </w:p>
    <w:p>
      <w:pPr>
        <w:pStyle w:val="Normal"/>
        <w:rPr/>
      </w:pPr>
      <w:r>
        <w:rPr>
          <w:sz w:val="20"/>
        </w:rPr>
        <w:t xml:space="preserve">The </w:t>
      </w:r>
      <w:r>
        <w:rPr>
          <w:b/>
          <w:sz w:val="20"/>
        </w:rPr>
        <w:t>PUCT</w:t>
      </w:r>
      <w:r>
        <w:rPr>
          <w:sz w:val="20"/>
        </w:rPr>
        <w:t xml:space="preserve"> needs to interface with ERCOT to extract market data for oversight function.  Interface requirement:</w:t>
      </w:r>
    </w:p>
    <w:p>
      <w:pPr>
        <w:pStyle w:val="Normal"/>
        <w:numPr>
          <w:ilvl w:val="0"/>
          <w:numId w:val="71"/>
        </w:numPr>
        <w:rPr>
          <w:sz w:val="20"/>
        </w:rPr>
      </w:pPr>
      <w:r>
        <w:rPr>
          <w:sz w:val="20"/>
        </w:rPr>
        <w:t>Web browser Internet Explorer version 5.x.</w:t>
      </w:r>
    </w:p>
    <w:p>
      <w:pPr>
        <w:pStyle w:val="Normal"/>
        <w:numPr>
          <w:ilvl w:val="0"/>
          <w:numId w:val="71"/>
        </w:numPr>
        <w:rPr>
          <w:sz w:val="20"/>
        </w:rPr>
      </w:pPr>
      <w:r>
        <w:rPr>
          <w:sz w:val="20"/>
        </w:rPr>
        <w:t>Internet.</w:t>
      </w:r>
    </w:p>
    <w:p>
      <w:pPr>
        <w:pStyle w:val="Normal"/>
        <w:numPr>
          <w:ilvl w:val="0"/>
          <w:numId w:val="71"/>
        </w:numPr>
        <w:rPr>
          <w:sz w:val="20"/>
        </w:rPr>
      </w:pPr>
      <w:r>
        <w:rPr>
          <w:sz w:val="20"/>
        </w:rPr>
      </w:r>
    </w:p>
    <w:p>
      <w:pPr>
        <w:pStyle w:val="Heading2"/>
        <w:rPr>
          <w:sz w:val="20"/>
        </w:rPr>
      </w:pPr>
      <w:bookmarkStart w:id="38" w:name="__RefHeading___Toc505989431"/>
      <w:bookmarkEnd w:id="38"/>
      <w:r>
        <w:rPr/>
        <w:t>6B. Training</w:t>
      </w:r>
    </w:p>
    <w:p>
      <w:pPr>
        <w:pStyle w:val="Normal"/>
        <w:rPr>
          <w:sz w:val="20"/>
        </w:rPr>
      </w:pPr>
      <w:r>
        <w:rPr>
          <w:sz w:val="20"/>
        </w:rPr>
        <w:t xml:space="preserve">Market participant training will be based on a “train the trainer” approach, in which market participants will send their own trainers to be trained. </w:t>
      </w:r>
    </w:p>
    <w:p>
      <w:pPr>
        <w:pStyle w:val="Normal"/>
        <w:rPr>
          <w:sz w:val="20"/>
        </w:rPr>
      </w:pPr>
      <w:r>
        <w:rPr>
          <w:sz w:val="20"/>
        </w:rPr>
      </w:r>
    </w:p>
    <w:p>
      <w:pPr>
        <w:pStyle w:val="Style11"/>
        <w:rPr/>
      </w:pPr>
      <w:r>
        <w:rPr>
          <w:i/>
        </w:rPr>
        <w:t xml:space="preserve">Please refer to the </w:t>
      </w:r>
      <w:hyperlink r:id="rId38">
        <w:r>
          <w:rPr>
            <w:rStyle w:val="Hyperlink"/>
            <w:i/>
          </w:rPr>
          <w:t>www.TexasChoiceProgram.com</w:t>
        </w:r>
      </w:hyperlink>
      <w:r>
        <w:rPr>
          <w:i/>
        </w:rPr>
        <w:t xml:space="preserve"> website for the detailed and current version of the Market Participant checklists and readiness timelines, and relevant training information.</w:t>
      </w:r>
    </w:p>
    <w:p>
      <w:pPr>
        <w:pStyle w:val="Normal"/>
        <w:rPr>
          <w:i/>
          <w:i/>
          <w:sz w:val="20"/>
        </w:rPr>
      </w:pPr>
      <w:r>
        <w:rPr>
          <w:i/>
          <w:sz w:val="20"/>
        </w:rPr>
      </w:r>
    </w:p>
    <w:p>
      <w:pPr>
        <w:pStyle w:val="Normal"/>
        <w:rPr>
          <w:sz w:val="20"/>
        </w:rPr>
      </w:pPr>
      <w:r>
        <w:rPr>
          <w:sz w:val="20"/>
        </w:rPr>
        <w:t xml:space="preserve">Classroom training is scheduled to take place in the Austin area, starting February, 2001.  </w:t>
      </w:r>
    </w:p>
    <w:p>
      <w:pPr>
        <w:pStyle w:val="Normal"/>
        <w:rPr>
          <w:sz w:val="20"/>
        </w:rPr>
      </w:pPr>
      <w:r>
        <w:rPr>
          <w:sz w:val="20"/>
        </w:rPr>
      </w:r>
    </w:p>
    <w:p>
      <w:pPr>
        <w:pStyle w:val="Normal"/>
        <w:rPr>
          <w:sz w:val="20"/>
        </w:rPr>
      </w:pPr>
      <w:r>
        <w:rPr>
          <w:sz w:val="20"/>
        </w:rPr>
        <w:t>Training will cover:</w:t>
      </w:r>
    </w:p>
    <w:p>
      <w:pPr>
        <w:pStyle w:val="Normal"/>
        <w:numPr>
          <w:ilvl w:val="0"/>
          <w:numId w:val="65"/>
        </w:numPr>
        <w:rPr>
          <w:sz w:val="20"/>
        </w:rPr>
      </w:pPr>
      <w:r>
        <w:rPr>
          <w:sz w:val="20"/>
        </w:rPr>
        <w:t>ERCOT grid operations, market operations, settlement, registration, and market monitoring functions.</w:t>
      </w:r>
    </w:p>
    <w:p>
      <w:pPr>
        <w:pStyle w:val="Normal"/>
        <w:numPr>
          <w:ilvl w:val="0"/>
          <w:numId w:val="65"/>
        </w:numPr>
        <w:rPr>
          <w:sz w:val="20"/>
        </w:rPr>
      </w:pPr>
      <w:r>
        <w:rPr>
          <w:sz w:val="20"/>
        </w:rPr>
        <w:t>Hands-on ERCOT portal, learning to perform key market participant activities.</w:t>
      </w:r>
    </w:p>
    <w:p>
      <w:pPr>
        <w:pStyle w:val="Normal"/>
        <w:rPr>
          <w:sz w:val="20"/>
        </w:rPr>
      </w:pPr>
      <w:r>
        <w:rPr>
          <w:sz w:val="20"/>
        </w:rPr>
      </w:r>
    </w:p>
    <w:p>
      <w:pPr>
        <w:pStyle w:val="Normal"/>
        <w:rPr>
          <w:sz w:val="20"/>
        </w:rPr>
      </w:pPr>
      <w:r>
        <w:rPr>
          <w:sz w:val="20"/>
        </w:rPr>
        <w:t xml:space="preserve">Classes will have access to a training version of the ERCOT portal for hands-on learning. </w:t>
      </w:r>
    </w:p>
    <w:p>
      <w:pPr>
        <w:pStyle w:val="Normal"/>
        <w:rPr>
          <w:sz w:val="20"/>
        </w:rPr>
      </w:pPr>
      <w:r>
        <w:rPr>
          <w:sz w:val="20"/>
        </w:rPr>
      </w:r>
    </w:p>
    <w:p>
      <w:pPr>
        <w:pStyle w:val="BodyText3"/>
        <w:rPr/>
      </w:pPr>
      <w:r>
        <w:rPr/>
        <w:t>ERCOT training includes:</w:t>
      </w:r>
    </w:p>
    <w:p>
      <w:pPr>
        <w:pStyle w:val="Normal"/>
        <w:rPr>
          <w:sz w:val="20"/>
        </w:rPr>
      </w:pPr>
      <w:r>
        <w:rPr>
          <w:sz w:val="20"/>
        </w:rPr>
      </w:r>
    </w:p>
    <w:p>
      <w:pPr>
        <w:pStyle w:val="Normal"/>
        <w:numPr>
          <w:ilvl w:val="0"/>
          <w:numId w:val="19"/>
        </w:numPr>
        <w:rPr>
          <w:sz w:val="20"/>
        </w:rPr>
      </w:pPr>
      <w:r>
        <w:rPr>
          <w:sz w:val="20"/>
        </w:rPr>
        <w:t>Registration</w:t>
      </w:r>
    </w:p>
    <w:p>
      <w:pPr>
        <w:pStyle w:val="Normal"/>
        <w:ind w:start="1080" w:end="0"/>
        <w:rPr>
          <w:sz w:val="20"/>
        </w:rPr>
      </w:pPr>
      <w:r>
        <w:rPr>
          <w:sz w:val="20"/>
        </w:rPr>
      </w:r>
    </w:p>
    <w:p>
      <w:pPr>
        <w:pStyle w:val="Normal"/>
        <w:numPr>
          <w:ilvl w:val="0"/>
          <w:numId w:val="19"/>
        </w:numPr>
        <w:rPr>
          <w:sz w:val="20"/>
        </w:rPr>
      </w:pPr>
      <w:r>
        <w:rPr>
          <w:sz w:val="20"/>
        </w:rPr>
        <w:t>Settlements and Billing</w:t>
      </w:r>
    </w:p>
    <w:p>
      <w:pPr>
        <w:pStyle w:val="Normal"/>
        <w:ind w:start="1440" w:end="0"/>
        <w:rPr>
          <w:sz w:val="20"/>
        </w:rPr>
      </w:pPr>
      <w:r>
        <w:rPr>
          <w:sz w:val="20"/>
        </w:rPr>
      </w:r>
    </w:p>
    <w:p>
      <w:pPr>
        <w:pStyle w:val="Normal"/>
        <w:numPr>
          <w:ilvl w:val="0"/>
          <w:numId w:val="19"/>
        </w:numPr>
        <w:rPr>
          <w:sz w:val="20"/>
        </w:rPr>
      </w:pPr>
      <w:r>
        <w:rPr>
          <w:sz w:val="20"/>
        </w:rPr>
        <w:t>Metering, Data Acquisition, Data Aggregation, and Load Profiling</w:t>
      </w:r>
    </w:p>
    <w:p>
      <w:pPr>
        <w:pStyle w:val="Normal"/>
        <w:rPr>
          <w:sz w:val="20"/>
        </w:rPr>
      </w:pPr>
      <w:r>
        <w:rPr>
          <w:sz w:val="20"/>
        </w:rPr>
      </w:r>
    </w:p>
    <w:p>
      <w:pPr>
        <w:pStyle w:val="Normal"/>
        <w:numPr>
          <w:ilvl w:val="0"/>
          <w:numId w:val="19"/>
        </w:numPr>
        <w:rPr>
          <w:sz w:val="20"/>
        </w:rPr>
      </w:pPr>
      <w:r>
        <w:rPr>
          <w:sz w:val="20"/>
        </w:rPr>
        <w:t>Systems Operations</w:t>
      </w:r>
    </w:p>
    <w:p>
      <w:pPr>
        <w:pStyle w:val="Normal"/>
        <w:rPr>
          <w:sz w:val="20"/>
        </w:rPr>
      </w:pPr>
      <w:r>
        <w:rPr>
          <w:sz w:val="20"/>
        </w:rPr>
      </w:r>
    </w:p>
    <w:p>
      <w:pPr>
        <w:pStyle w:val="Normal"/>
        <w:numPr>
          <w:ilvl w:val="0"/>
          <w:numId w:val="19"/>
        </w:numPr>
        <w:rPr>
          <w:sz w:val="20"/>
        </w:rPr>
      </w:pPr>
      <w:r>
        <w:rPr>
          <w:sz w:val="20"/>
        </w:rPr>
        <w:t>Market Operations System Interface</w:t>
      </w:r>
    </w:p>
    <w:p>
      <w:pPr>
        <w:pStyle w:val="Normal"/>
        <w:rPr>
          <w:sz w:val="20"/>
        </w:rPr>
      </w:pPr>
      <w:r>
        <w:rPr>
          <w:sz w:val="20"/>
        </w:rPr>
      </w:r>
    </w:p>
    <w:p>
      <w:pPr>
        <w:pStyle w:val="Heading2"/>
        <w:rPr/>
      </w:pPr>
      <w:bookmarkStart w:id="39" w:name="__RefHeading___Toc505989432"/>
      <w:r>
        <w:rPr/>
        <w:t>6C. Participant Requirements</w:t>
      </w:r>
      <w:bookmarkEnd w:id="39"/>
      <w:r>
        <w:rPr/>
        <w:t xml:space="preserve"> </w:t>
      </w:r>
    </w:p>
    <w:p>
      <w:pPr>
        <w:pStyle w:val="Style11"/>
        <w:rPr/>
      </w:pPr>
      <w:r>
        <w:rPr/>
        <w:t>The requirements for market participants to be ready to operate in the Customer Choice Pilot</w:t>
      </w:r>
      <w:r>
        <w:fldChar w:fldCharType="begin"/>
      </w:r>
      <w:r>
        <w:rPr/>
        <w:instrText xml:space="preserve"> XE "Pilot" </w:instrText>
      </w:r>
      <w:r>
        <w:rPr/>
        <w:fldChar w:fldCharType="separate"/>
      </w:r>
      <w:r>
        <w:rPr/>
      </w:r>
      <w:r>
        <w:rPr/>
        <w:fldChar w:fldCharType="end"/>
      </w:r>
      <w:r>
        <w:rPr/>
        <w:t xml:space="preserve"> on June 1, 2001 are listed below. For specific requirements and dates each market participant should refer to its readiness scorecard, which is available from ERCOT Client Relations upon registration with ERCOT. Readiness tests listed in this section pertain to interfaces between market participants and ERCOT; and do not include tests that may be recommended by the Texas SET Test Planning Team to support testing of commercial transactions between TDSPs and CRs.</w:t>
      </w:r>
    </w:p>
    <w:p>
      <w:pPr>
        <w:pStyle w:val="Style11"/>
        <w:rPr/>
      </w:pPr>
      <w:r>
        <w:rPr/>
      </w:r>
    </w:p>
    <w:p>
      <w:pPr>
        <w:pStyle w:val="Style11"/>
        <w:rPr/>
      </w:pPr>
      <w:r>
        <w:rPr>
          <w:i/>
        </w:rPr>
        <w:t xml:space="preserve">Please refer to the </w:t>
      </w:r>
      <w:hyperlink r:id="rId39">
        <w:r>
          <w:rPr>
            <w:rStyle w:val="Hyperlink"/>
            <w:i/>
          </w:rPr>
          <w:t>www.TexasChoiceProgram.com</w:t>
        </w:r>
      </w:hyperlink>
      <w:r>
        <w:rPr>
          <w:i/>
        </w:rPr>
        <w:t xml:space="preserve"> website for the detailed and current version of the Market Participant checklists and readiness timelines.</w:t>
      </w:r>
    </w:p>
    <w:p>
      <w:pPr>
        <w:pStyle w:val="Normal"/>
        <w:rPr>
          <w:b/>
          <w:i/>
          <w:i/>
          <w:sz w:val="20"/>
        </w:rPr>
      </w:pPr>
      <w:r>
        <w:rPr>
          <w:b/>
          <w:i/>
          <w:sz w:val="20"/>
        </w:rPr>
      </w:r>
    </w:p>
    <w:p>
      <w:pPr>
        <w:pStyle w:val="Normal"/>
        <w:rPr>
          <w:b/>
          <w:sz w:val="20"/>
        </w:rPr>
      </w:pPr>
      <w:r>
        <w:rPr>
          <w:b/>
          <w:sz w:val="20"/>
        </w:rPr>
        <w:t>Load Serving Entities (LSEs)</w:t>
      </w:r>
    </w:p>
    <w:p>
      <w:pPr>
        <w:pStyle w:val="Normal"/>
        <w:rPr>
          <w:b/>
          <w:sz w:val="20"/>
        </w:rPr>
      </w:pPr>
      <w:r>
        <w:rPr>
          <w:b/>
          <w:sz w:val="20"/>
        </w:rPr>
      </w:r>
    </w:p>
    <w:p>
      <w:pPr>
        <w:pStyle w:val="Normal"/>
        <w:ind w:hanging="720" w:start="720" w:end="0"/>
        <w:rPr/>
      </w:pPr>
      <w:r>
        <w:rPr>
          <w:b/>
          <w:sz w:val="20"/>
        </w:rPr>
        <w:t>I.</w:t>
        <w:tab/>
        <w:t>Competitive Retailer (CR): Retail Electric Providers (R</w:t>
      </w:r>
      <w:r>
        <w:fldChar w:fldCharType="begin"/>
      </w:r>
      <w:r>
        <w:rPr/>
        <w:instrText xml:space="preserve"> XE "REP" </w:instrText>
      </w:r>
      <w:r>
        <w:rPr/>
        <w:fldChar w:fldCharType="separate"/>
      </w:r>
      <w:r>
        <w:rPr/>
      </w:r>
      <w:r>
        <w:rPr/>
        <w:fldChar w:fldCharType="end"/>
      </w:r>
      <w:r>
        <w:rPr>
          <w:b/>
          <w:sz w:val="20"/>
        </w:rPr>
        <w:t>EPs)/Opt-In MOUs /Coops</w:t>
      </w:r>
    </w:p>
    <w:p>
      <w:pPr>
        <w:pStyle w:val="Normal"/>
        <w:rPr>
          <w:b/>
          <w:sz w:val="20"/>
        </w:rPr>
      </w:pPr>
      <w:r>
        <w:rPr>
          <w:b/>
          <w:sz w:val="20"/>
        </w:rPr>
      </w:r>
    </w:p>
    <w:p>
      <w:pPr>
        <w:pStyle w:val="Normal"/>
        <w:rPr>
          <w:i/>
          <w:i/>
          <w:sz w:val="20"/>
        </w:rPr>
      </w:pPr>
      <w:r>
        <w:rPr>
          <w:i/>
          <w:sz w:val="20"/>
        </w:rPr>
        <w:t>January 2001:</w:t>
      </w:r>
    </w:p>
    <w:p>
      <w:pPr>
        <w:pStyle w:val="Normal"/>
        <w:numPr>
          <w:ilvl w:val="0"/>
          <w:numId w:val="50"/>
        </w:numPr>
        <w:rPr>
          <w:sz w:val="20"/>
          <w:u w:val="single"/>
        </w:rPr>
      </w:pPr>
      <w:r>
        <w:rPr>
          <w:sz w:val="20"/>
        </w:rPr>
        <w:t>LSE</w:t>
      </w:r>
      <w:r>
        <w:rPr>
          <w:sz w:val="20"/>
          <w:u w:val="single"/>
        </w:rPr>
        <w:t xml:space="preserve"> Registration</w:t>
      </w:r>
    </w:p>
    <w:p>
      <w:pPr>
        <w:pStyle w:val="Normal"/>
        <w:numPr>
          <w:ilvl w:val="0"/>
          <w:numId w:val="40"/>
        </w:numPr>
        <w:rPr>
          <w:sz w:val="20"/>
        </w:rPr>
      </w:pPr>
      <w:r>
        <w:rPr>
          <w:sz w:val="20"/>
        </w:rPr>
        <w:t>Submit Application</w:t>
      </w:r>
    </w:p>
    <w:p>
      <w:pPr>
        <w:pStyle w:val="Normal"/>
        <w:numPr>
          <w:ilvl w:val="0"/>
          <w:numId w:val="40"/>
        </w:numPr>
        <w:rPr>
          <w:sz w:val="20"/>
        </w:rPr>
      </w:pPr>
      <w:r>
        <w:rPr>
          <w:sz w:val="20"/>
        </w:rPr>
        <w:t>Register company and users</w:t>
      </w:r>
    </w:p>
    <w:p>
      <w:pPr>
        <w:pStyle w:val="Normal"/>
        <w:ind w:start="720" w:end="0"/>
        <w:rPr>
          <w:sz w:val="20"/>
        </w:rPr>
      </w:pPr>
      <w:r>
        <w:rPr>
          <w:sz w:val="20"/>
        </w:rPr>
        <w:t>-      Designate a QSE</w:t>
      </w:r>
    </w:p>
    <w:p>
      <w:pPr>
        <w:pStyle w:val="Normal"/>
        <w:ind w:start="720" w:end="0"/>
        <w:rPr>
          <w:sz w:val="20"/>
        </w:rPr>
      </w:pPr>
      <w:r>
        <w:rPr>
          <w:sz w:val="20"/>
        </w:rPr>
      </w:r>
    </w:p>
    <w:p>
      <w:pPr>
        <w:pStyle w:val="Normal"/>
        <w:rPr>
          <w:sz w:val="20"/>
        </w:rPr>
      </w:pPr>
      <w:r>
        <w:rPr>
          <w:sz w:val="20"/>
        </w:rPr>
      </w:r>
    </w:p>
    <w:p>
      <w:pPr>
        <w:pStyle w:val="Style11"/>
        <w:rPr>
          <w:i/>
          <w:i/>
        </w:rPr>
      </w:pPr>
      <w:r>
        <w:rPr>
          <w:i/>
        </w:rPr>
        <w:t>February 2001:</w:t>
      </w:r>
    </w:p>
    <w:p>
      <w:pPr>
        <w:pStyle w:val="Normal"/>
        <w:numPr>
          <w:ilvl w:val="0"/>
          <w:numId w:val="34"/>
        </w:numPr>
        <w:rPr>
          <w:sz w:val="20"/>
        </w:rPr>
      </w:pPr>
      <w:r>
        <w:rPr>
          <w:sz w:val="20"/>
        </w:rPr>
        <w:t>Execute LSE Agreement</w:t>
      </w:r>
    </w:p>
    <w:p>
      <w:pPr>
        <w:pStyle w:val="Normal"/>
        <w:numPr>
          <w:ilvl w:val="0"/>
          <w:numId w:val="34"/>
        </w:numPr>
        <w:rPr>
          <w:sz w:val="20"/>
        </w:rPr>
      </w:pPr>
      <w:r>
        <w:rPr>
          <w:sz w:val="20"/>
        </w:rPr>
        <w:t>ERCOT Programmatic Interface technical testing completed.</w:t>
      </w:r>
    </w:p>
    <w:p>
      <w:pPr>
        <w:pStyle w:val="Normal"/>
        <w:numPr>
          <w:ilvl w:val="0"/>
          <w:numId w:val="34"/>
        </w:numPr>
        <w:rPr>
          <w:sz w:val="20"/>
        </w:rPr>
      </w:pPr>
      <w:r>
        <w:rPr>
          <w:sz w:val="20"/>
        </w:rPr>
        <w:t>EDI/XML Technical Connectivity</w:t>
      </w:r>
    </w:p>
    <w:p>
      <w:pPr>
        <w:pStyle w:val="Normal"/>
        <w:rPr>
          <w:sz w:val="20"/>
        </w:rPr>
      </w:pPr>
      <w:r>
        <w:rPr>
          <w:sz w:val="20"/>
        </w:rPr>
      </w:r>
    </w:p>
    <w:p>
      <w:pPr>
        <w:pStyle w:val="Normal"/>
        <w:rPr>
          <w:i/>
          <w:i/>
          <w:sz w:val="20"/>
        </w:rPr>
      </w:pPr>
      <w:r>
        <w:rPr>
          <w:i/>
          <w:sz w:val="20"/>
        </w:rPr>
        <w:t>Feb-May 2001:</w:t>
      </w:r>
    </w:p>
    <w:p>
      <w:pPr>
        <w:pStyle w:val="Normal"/>
        <w:numPr>
          <w:ilvl w:val="0"/>
          <w:numId w:val="44"/>
        </w:numPr>
        <w:rPr>
          <w:sz w:val="20"/>
        </w:rPr>
      </w:pPr>
      <w:r>
        <w:rPr>
          <w:sz w:val="20"/>
        </w:rPr>
        <w:t>Market Participant training on ERCOT business systems.</w:t>
      </w:r>
    </w:p>
    <w:p>
      <w:pPr>
        <w:pStyle w:val="Normal"/>
        <w:ind w:firstLine="720" w:end="0"/>
        <w:rPr>
          <w:sz w:val="20"/>
        </w:rPr>
      </w:pPr>
      <w:r>
        <w:rPr>
          <w:sz w:val="20"/>
        </w:rPr>
      </w:r>
    </w:p>
    <w:p>
      <w:pPr>
        <w:pStyle w:val="Normal"/>
        <w:rPr>
          <w:i/>
          <w:i/>
          <w:sz w:val="20"/>
        </w:rPr>
      </w:pPr>
      <w:r>
        <w:rPr>
          <w:i/>
          <w:sz w:val="20"/>
        </w:rPr>
        <w:t>March 2001:</w:t>
      </w:r>
    </w:p>
    <w:p>
      <w:pPr>
        <w:pStyle w:val="Style11"/>
        <w:numPr>
          <w:ilvl w:val="0"/>
          <w:numId w:val="44"/>
        </w:numPr>
        <w:rPr/>
      </w:pPr>
      <w:r>
        <w:rPr/>
        <w:t>ERCOT Programmatic Interface functional testing completed.</w:t>
      </w:r>
    </w:p>
    <w:p>
      <w:pPr>
        <w:pStyle w:val="Normal"/>
        <w:numPr>
          <w:ilvl w:val="0"/>
          <w:numId w:val="44"/>
        </w:numPr>
        <w:rPr>
          <w:sz w:val="20"/>
        </w:rPr>
      </w:pPr>
      <w:r>
        <w:rPr>
          <w:sz w:val="20"/>
        </w:rPr>
        <w:t>EDI/XML Functional Certification.</w:t>
      </w:r>
    </w:p>
    <w:p>
      <w:pPr>
        <w:pStyle w:val="Normal"/>
        <w:numPr>
          <w:ilvl w:val="0"/>
          <w:numId w:val="44"/>
        </w:numPr>
        <w:rPr>
          <w:sz w:val="20"/>
        </w:rPr>
      </w:pPr>
      <w:r>
        <w:rPr>
          <w:sz w:val="20"/>
        </w:rPr>
        <w:t>Complete PUCT certification (REPs only)</w:t>
      </w:r>
    </w:p>
    <w:p>
      <w:pPr>
        <w:pStyle w:val="Style11"/>
        <w:rPr>
          <w:sz w:val="20"/>
        </w:rPr>
      </w:pPr>
      <w:r>
        <w:rPr>
          <w:sz w:val="20"/>
        </w:rPr>
      </w:r>
    </w:p>
    <w:p>
      <w:pPr>
        <w:pStyle w:val="Normal"/>
        <w:rPr>
          <w:i/>
          <w:i/>
          <w:sz w:val="20"/>
        </w:rPr>
      </w:pPr>
      <w:r>
        <w:rPr>
          <w:i/>
          <w:sz w:val="20"/>
        </w:rPr>
        <w:t>April -May 2001:</w:t>
      </w:r>
    </w:p>
    <w:p>
      <w:pPr>
        <w:pStyle w:val="Normal"/>
        <w:numPr>
          <w:ilvl w:val="0"/>
          <w:numId w:val="42"/>
        </w:numPr>
        <w:rPr>
          <w:sz w:val="20"/>
        </w:rPr>
      </w:pPr>
      <w:r>
        <w:rPr>
          <w:sz w:val="20"/>
        </w:rPr>
        <w:t>Participate in the Mock Market.</w:t>
      </w:r>
    </w:p>
    <w:p>
      <w:pPr>
        <w:pStyle w:val="Normal"/>
        <w:ind w:start="720" w:end="0"/>
        <w:rPr>
          <w:sz w:val="20"/>
        </w:rPr>
      </w:pPr>
      <w:r>
        <w:rPr>
          <w:sz w:val="20"/>
        </w:rPr>
      </w:r>
    </w:p>
    <w:p>
      <w:pPr>
        <w:pStyle w:val="Normal"/>
        <w:rPr>
          <w:sz w:val="20"/>
        </w:rPr>
      </w:pPr>
      <w:r>
        <w:rPr>
          <w:sz w:val="20"/>
        </w:rPr>
      </w:r>
    </w:p>
    <w:p>
      <w:pPr>
        <w:pStyle w:val="Normal"/>
        <w:rPr>
          <w:sz w:val="20"/>
        </w:rPr>
      </w:pPr>
      <w:r>
        <w:rPr>
          <w:sz w:val="20"/>
        </w:rPr>
      </w:r>
    </w:p>
    <w:p>
      <w:pPr>
        <w:pStyle w:val="BodyText3"/>
        <w:rPr/>
      </w:pPr>
      <w:r>
        <w:rPr/>
        <w:t>II.</w:t>
        <w:tab/>
        <w:t>Non Opt-In Entities (NOIEs) (See the other applicable categories for additional requirements)</w:t>
      </w:r>
    </w:p>
    <w:p>
      <w:pPr>
        <w:pStyle w:val="Normal"/>
        <w:rPr>
          <w:sz w:val="20"/>
        </w:rPr>
      </w:pPr>
      <w:r>
        <w:rPr>
          <w:sz w:val="20"/>
        </w:rPr>
      </w:r>
    </w:p>
    <w:p>
      <w:pPr>
        <w:pStyle w:val="Normal"/>
        <w:rPr>
          <w:i/>
          <w:i/>
          <w:sz w:val="20"/>
        </w:rPr>
      </w:pPr>
      <w:r>
        <w:rPr>
          <w:i/>
          <w:sz w:val="20"/>
        </w:rPr>
        <w:t>January 2001:</w:t>
      </w:r>
    </w:p>
    <w:p>
      <w:pPr>
        <w:pStyle w:val="Normal"/>
        <w:numPr>
          <w:ilvl w:val="0"/>
          <w:numId w:val="42"/>
        </w:numPr>
        <w:rPr>
          <w:sz w:val="20"/>
          <w:u w:val="single"/>
        </w:rPr>
      </w:pPr>
      <w:r>
        <w:rPr>
          <w:sz w:val="20"/>
        </w:rPr>
        <w:t>QSE/LES/TDSP/</w:t>
      </w:r>
      <w:r>
        <w:rPr>
          <w:sz w:val="20"/>
          <w:u w:val="single"/>
        </w:rPr>
        <w:t>Resource Registration</w:t>
      </w:r>
    </w:p>
    <w:p>
      <w:pPr>
        <w:pStyle w:val="Normal"/>
        <w:numPr>
          <w:ilvl w:val="0"/>
          <w:numId w:val="40"/>
        </w:numPr>
        <w:rPr>
          <w:sz w:val="20"/>
        </w:rPr>
      </w:pPr>
      <w:r>
        <w:rPr>
          <w:sz w:val="20"/>
        </w:rPr>
        <w:t>Submit Application</w:t>
      </w:r>
    </w:p>
    <w:p>
      <w:pPr>
        <w:pStyle w:val="Normal"/>
        <w:numPr>
          <w:ilvl w:val="0"/>
          <w:numId w:val="40"/>
        </w:numPr>
        <w:rPr>
          <w:sz w:val="20"/>
        </w:rPr>
      </w:pPr>
      <w:r>
        <w:rPr>
          <w:sz w:val="20"/>
        </w:rPr>
        <w:t>Register organization and users</w:t>
      </w:r>
    </w:p>
    <w:p>
      <w:pPr>
        <w:pStyle w:val="Normal"/>
        <w:numPr>
          <w:ilvl w:val="0"/>
          <w:numId w:val="40"/>
        </w:numPr>
        <w:rPr>
          <w:sz w:val="20"/>
        </w:rPr>
      </w:pPr>
      <w:r>
        <w:rPr>
          <w:sz w:val="20"/>
        </w:rPr>
        <w:t>Designate a QSE</w:t>
      </w:r>
    </w:p>
    <w:p>
      <w:pPr>
        <w:pStyle w:val="Style11"/>
        <w:rPr/>
      </w:pPr>
      <w:r>
        <w:rPr>
          <w:rFonts w:eastAsia="Book Antiqua"/>
        </w:rPr>
        <w:t xml:space="preserve"> </w:t>
      </w:r>
      <w:r>
        <w:rPr/>
        <w:tab/>
        <w:t>Execute appropriate agreements.</w:t>
      </w:r>
    </w:p>
    <w:p>
      <w:pPr>
        <w:pStyle w:val="Normal"/>
        <w:rPr>
          <w:i/>
          <w:i/>
          <w:sz w:val="20"/>
        </w:rPr>
      </w:pPr>
      <w:r>
        <w:rPr>
          <w:i/>
          <w:sz w:val="20"/>
        </w:rPr>
        <w:t>February 2001:</w:t>
      </w:r>
    </w:p>
    <w:p>
      <w:pPr>
        <w:pStyle w:val="Normal"/>
        <w:numPr>
          <w:ilvl w:val="0"/>
          <w:numId w:val="42"/>
        </w:numPr>
        <w:rPr>
          <w:sz w:val="20"/>
        </w:rPr>
      </w:pPr>
      <w:r>
        <w:rPr>
          <w:sz w:val="20"/>
        </w:rPr>
        <w:t>Complete applicable agreements.</w:t>
      </w:r>
    </w:p>
    <w:p>
      <w:pPr>
        <w:pStyle w:val="Normal"/>
        <w:numPr>
          <w:ilvl w:val="0"/>
          <w:numId w:val="42"/>
        </w:numPr>
        <w:rPr>
          <w:sz w:val="20"/>
        </w:rPr>
      </w:pPr>
      <w:r>
        <w:rPr>
          <w:sz w:val="20"/>
        </w:rPr>
        <w:t>NOIE identification and meter point registration: Provide wholesale points of delivery, ESI-Ids and data.</w:t>
      </w:r>
    </w:p>
    <w:p>
      <w:pPr>
        <w:pStyle w:val="Normal"/>
        <w:rPr>
          <w:sz w:val="20"/>
        </w:rPr>
      </w:pPr>
      <w:r>
        <w:rPr>
          <w:sz w:val="20"/>
        </w:rPr>
      </w:r>
    </w:p>
    <w:p>
      <w:pPr>
        <w:pStyle w:val="Normal"/>
        <w:rPr>
          <w:sz w:val="20"/>
        </w:rPr>
      </w:pPr>
      <w:r>
        <w:rPr>
          <w:sz w:val="20"/>
        </w:rPr>
      </w:r>
    </w:p>
    <w:p>
      <w:pPr>
        <w:pStyle w:val="Normal"/>
        <w:rPr>
          <w:i/>
          <w:i/>
          <w:sz w:val="20"/>
        </w:rPr>
      </w:pPr>
      <w:r>
        <w:rPr>
          <w:i/>
          <w:sz w:val="20"/>
        </w:rPr>
        <w:t>April 2001:</w:t>
      </w:r>
    </w:p>
    <w:p>
      <w:pPr>
        <w:pStyle w:val="Normal"/>
        <w:numPr>
          <w:ilvl w:val="0"/>
          <w:numId w:val="66"/>
        </w:numPr>
        <w:rPr>
          <w:sz w:val="20"/>
        </w:rPr>
      </w:pPr>
      <w:r>
        <w:rPr>
          <w:sz w:val="20"/>
        </w:rPr>
        <w:t>Install revenue quality metering at wholesale delivery points.</w:t>
      </w:r>
    </w:p>
    <w:p>
      <w:pPr>
        <w:pStyle w:val="Normal"/>
        <w:rPr>
          <w:sz w:val="20"/>
        </w:rPr>
      </w:pPr>
      <w:r>
        <w:rPr>
          <w:sz w:val="20"/>
        </w:rPr>
      </w:r>
    </w:p>
    <w:p>
      <w:pPr>
        <w:pStyle w:val="Normal"/>
        <w:rPr>
          <w:i/>
          <w:i/>
          <w:sz w:val="20"/>
        </w:rPr>
      </w:pPr>
      <w:r>
        <w:rPr>
          <w:i/>
          <w:sz w:val="20"/>
        </w:rPr>
        <w:t>Feb-May 2001:</w:t>
      </w:r>
    </w:p>
    <w:p>
      <w:pPr>
        <w:pStyle w:val="Normal"/>
        <w:numPr>
          <w:ilvl w:val="0"/>
          <w:numId w:val="66"/>
        </w:numPr>
        <w:rPr>
          <w:sz w:val="20"/>
        </w:rPr>
      </w:pPr>
      <w:r>
        <w:rPr>
          <w:sz w:val="20"/>
        </w:rPr>
        <w:t>Market Participant training on ERCOT business systems.</w:t>
      </w:r>
    </w:p>
    <w:p>
      <w:pPr>
        <w:pStyle w:val="Normal"/>
        <w:rPr>
          <w:sz w:val="20"/>
        </w:rPr>
      </w:pPr>
      <w:r>
        <w:rPr>
          <w:sz w:val="20"/>
        </w:rPr>
      </w:r>
    </w:p>
    <w:p>
      <w:pPr>
        <w:pStyle w:val="Normal"/>
        <w:rPr>
          <w:i/>
          <w:i/>
          <w:sz w:val="20"/>
        </w:rPr>
      </w:pPr>
      <w:r>
        <w:rPr>
          <w:i/>
          <w:sz w:val="20"/>
        </w:rPr>
        <w:t>April -May 2001:</w:t>
      </w:r>
    </w:p>
    <w:p>
      <w:pPr>
        <w:pStyle w:val="Normal"/>
        <w:numPr>
          <w:ilvl w:val="0"/>
          <w:numId w:val="66"/>
        </w:numPr>
        <w:rPr>
          <w:sz w:val="20"/>
        </w:rPr>
      </w:pPr>
      <w:r>
        <w:rPr>
          <w:sz w:val="20"/>
        </w:rPr>
        <w:t>Participate in the Mock Market.</w:t>
      </w:r>
    </w:p>
    <w:p>
      <w:pPr>
        <w:pStyle w:val="Normal"/>
        <w:rPr>
          <w:sz w:val="20"/>
        </w:rPr>
      </w:pPr>
      <w:r>
        <w:rPr>
          <w:sz w:val="20"/>
        </w:rPr>
      </w:r>
    </w:p>
    <w:p>
      <w:pPr>
        <w:pStyle w:val="Normal"/>
        <w:rPr>
          <w:i/>
          <w:i/>
          <w:sz w:val="20"/>
        </w:rPr>
      </w:pPr>
      <w:r>
        <w:rPr>
          <w:i/>
          <w:sz w:val="20"/>
        </w:rPr>
        <w:t>June 2001:</w:t>
      </w:r>
    </w:p>
    <w:p>
      <w:pPr>
        <w:pStyle w:val="Normal"/>
        <w:numPr>
          <w:ilvl w:val="0"/>
          <w:numId w:val="66"/>
        </w:numPr>
        <w:rPr>
          <w:sz w:val="20"/>
        </w:rPr>
      </w:pPr>
      <w:r>
        <w:rPr>
          <w:sz w:val="20"/>
        </w:rPr>
        <w:t>Declare intent to opt-in to competition for January 1, 2002.</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b/>
          <w:sz w:val="20"/>
        </w:rPr>
      </w:pPr>
      <w:r>
        <w:rPr>
          <w:b/>
          <w:sz w:val="20"/>
        </w:rPr>
        <w:t>Qualified Scheduling Entities (QSEs)</w:t>
      </w:r>
    </w:p>
    <w:p>
      <w:pPr>
        <w:pStyle w:val="Normal"/>
        <w:rPr>
          <w:b/>
          <w:sz w:val="20"/>
        </w:rPr>
      </w:pPr>
      <w:r>
        <w:rPr>
          <w:b/>
          <w:sz w:val="20"/>
        </w:rPr>
      </w:r>
    </w:p>
    <w:p>
      <w:pPr>
        <w:pStyle w:val="Normal"/>
        <w:rPr>
          <w:i/>
          <w:i/>
          <w:sz w:val="20"/>
        </w:rPr>
      </w:pPr>
      <w:r>
        <w:rPr>
          <w:i/>
          <w:sz w:val="20"/>
        </w:rPr>
        <w:t>January 2001:</w:t>
      </w:r>
    </w:p>
    <w:p>
      <w:pPr>
        <w:pStyle w:val="Normal"/>
        <w:numPr>
          <w:ilvl w:val="0"/>
          <w:numId w:val="66"/>
        </w:numPr>
        <w:rPr>
          <w:sz w:val="20"/>
          <w:u w:val="single"/>
        </w:rPr>
      </w:pPr>
      <w:r>
        <w:rPr>
          <w:sz w:val="20"/>
        </w:rPr>
        <w:t>QSE</w:t>
      </w:r>
      <w:r>
        <w:rPr>
          <w:sz w:val="20"/>
          <w:u w:val="single"/>
        </w:rPr>
        <w:t xml:space="preserve"> Registration</w:t>
      </w:r>
    </w:p>
    <w:p>
      <w:pPr>
        <w:pStyle w:val="Normal"/>
        <w:numPr>
          <w:ilvl w:val="0"/>
          <w:numId w:val="40"/>
        </w:numPr>
        <w:rPr>
          <w:sz w:val="20"/>
        </w:rPr>
      </w:pPr>
      <w:r>
        <w:rPr>
          <w:sz w:val="20"/>
        </w:rPr>
        <w:t>Submit Application</w:t>
      </w:r>
    </w:p>
    <w:p>
      <w:pPr>
        <w:pStyle w:val="Normal"/>
        <w:numPr>
          <w:ilvl w:val="0"/>
          <w:numId w:val="40"/>
        </w:numPr>
        <w:rPr>
          <w:sz w:val="20"/>
        </w:rPr>
      </w:pPr>
      <w:r>
        <w:rPr>
          <w:sz w:val="20"/>
        </w:rPr>
        <w:t xml:space="preserve">Register company and users </w:t>
      </w:r>
    </w:p>
    <w:p>
      <w:pPr>
        <w:pStyle w:val="Normal"/>
        <w:numPr>
          <w:ilvl w:val="0"/>
          <w:numId w:val="40"/>
        </w:numPr>
        <w:rPr>
          <w:sz w:val="20"/>
        </w:rPr>
      </w:pPr>
      <w:r>
        <w:rPr>
          <w:sz w:val="20"/>
        </w:rPr>
        <w:t>Declare intent to provide ancillary services</w:t>
      </w:r>
    </w:p>
    <w:p>
      <w:pPr>
        <w:pStyle w:val="Normal"/>
        <w:ind w:start="720" w:end="0"/>
        <w:rPr>
          <w:sz w:val="20"/>
        </w:rPr>
      </w:pPr>
      <w:r>
        <w:rPr>
          <w:sz w:val="20"/>
        </w:rPr>
      </w:r>
    </w:p>
    <w:p>
      <w:pPr>
        <w:pStyle w:val="Normal"/>
        <w:rPr>
          <w:i/>
          <w:i/>
          <w:sz w:val="20"/>
        </w:rPr>
      </w:pPr>
      <w:r>
        <w:rPr>
          <w:i/>
          <w:sz w:val="20"/>
        </w:rPr>
        <w:t>February 2001:</w:t>
      </w:r>
    </w:p>
    <w:p>
      <w:pPr>
        <w:pStyle w:val="Normal"/>
        <w:numPr>
          <w:ilvl w:val="0"/>
          <w:numId w:val="66"/>
        </w:numPr>
        <w:rPr>
          <w:sz w:val="20"/>
        </w:rPr>
      </w:pPr>
      <w:r>
        <w:rPr>
          <w:sz w:val="20"/>
        </w:rPr>
        <w:t>ERCOT Programmatic Interface technical integration test.</w:t>
      </w:r>
    </w:p>
    <w:p>
      <w:pPr>
        <w:pStyle w:val="Normal"/>
        <w:numPr>
          <w:ilvl w:val="0"/>
          <w:numId w:val="66"/>
        </w:numPr>
        <w:rPr>
          <w:sz w:val="20"/>
        </w:rPr>
      </w:pPr>
      <w:r>
        <w:rPr>
          <w:sz w:val="20"/>
        </w:rPr>
        <w:t>Complete partial service filing.</w:t>
      </w:r>
    </w:p>
    <w:p>
      <w:pPr>
        <w:pStyle w:val="Normal"/>
        <w:numPr>
          <w:ilvl w:val="0"/>
          <w:numId w:val="66"/>
        </w:numPr>
        <w:rPr>
          <w:sz w:val="20"/>
        </w:rPr>
      </w:pPr>
      <w:r>
        <w:rPr>
          <w:sz w:val="20"/>
        </w:rPr>
        <w:t>Execute QSE Agreement.</w:t>
      </w:r>
    </w:p>
    <w:p>
      <w:pPr>
        <w:pStyle w:val="Normal"/>
        <w:numPr>
          <w:ilvl w:val="0"/>
          <w:numId w:val="66"/>
        </w:numPr>
        <w:rPr>
          <w:sz w:val="20"/>
        </w:rPr>
      </w:pPr>
      <w:r>
        <w:rPr>
          <w:sz w:val="20"/>
        </w:rPr>
        <w:t>EDI Technical connectivity.</w:t>
      </w:r>
    </w:p>
    <w:p>
      <w:pPr>
        <w:pStyle w:val="Normal"/>
        <w:numPr>
          <w:ilvl w:val="0"/>
          <w:numId w:val="66"/>
        </w:numPr>
        <w:rPr>
          <w:sz w:val="20"/>
        </w:rPr>
      </w:pPr>
      <w:r>
        <w:rPr>
          <w:sz w:val="20"/>
        </w:rPr>
        <w:t>Establish and test ERCOT private network access.</w:t>
      </w:r>
    </w:p>
    <w:p>
      <w:pPr>
        <w:pStyle w:val="Normal"/>
        <w:numPr>
          <w:ilvl w:val="0"/>
          <w:numId w:val="66"/>
        </w:numPr>
        <w:rPr>
          <w:sz w:val="20"/>
        </w:rPr>
      </w:pPr>
      <w:r>
        <w:rPr>
          <w:sz w:val="20"/>
        </w:rPr>
        <w:t>Test real-time data exchange and ability to send/receive control signals (ICCP/RTU).</w:t>
      </w:r>
    </w:p>
    <w:p>
      <w:pPr>
        <w:pStyle w:val="Normal"/>
        <w:numPr>
          <w:ilvl w:val="0"/>
          <w:numId w:val="66"/>
        </w:numPr>
        <w:rPr>
          <w:sz w:val="20"/>
        </w:rPr>
      </w:pPr>
      <w:r>
        <w:rPr>
          <w:sz w:val="20"/>
        </w:rPr>
        <w:t>Ancillary service tests.</w:t>
      </w:r>
    </w:p>
    <w:p>
      <w:pPr>
        <w:pStyle w:val="Normal"/>
        <w:rPr>
          <w:i/>
          <w:i/>
          <w:sz w:val="20"/>
        </w:rPr>
      </w:pPr>
      <w:r>
        <w:rPr>
          <w:i/>
          <w:sz w:val="20"/>
        </w:rPr>
        <w:t>March 2001:</w:t>
      </w:r>
    </w:p>
    <w:p>
      <w:pPr>
        <w:pStyle w:val="Normal"/>
        <w:numPr>
          <w:ilvl w:val="0"/>
          <w:numId w:val="59"/>
        </w:numPr>
        <w:rPr>
          <w:sz w:val="20"/>
        </w:rPr>
      </w:pPr>
      <w:r>
        <w:rPr>
          <w:sz w:val="20"/>
        </w:rPr>
        <w:t>ERCOT programmatic interface functional testing.</w:t>
      </w:r>
    </w:p>
    <w:p>
      <w:pPr>
        <w:pStyle w:val="Normal"/>
        <w:numPr>
          <w:ilvl w:val="0"/>
          <w:numId w:val="59"/>
        </w:numPr>
        <w:rPr>
          <w:sz w:val="20"/>
        </w:rPr>
      </w:pPr>
      <w:r>
        <w:rPr>
          <w:sz w:val="20"/>
        </w:rPr>
        <w:t xml:space="preserve">EDI Functional certification (test ability to receive settlement data via EDI/XML or portal interface). </w:t>
      </w:r>
    </w:p>
    <w:p>
      <w:pPr>
        <w:pStyle w:val="Normal"/>
        <w:ind w:hanging="720" w:start="720" w:end="0"/>
        <w:rPr>
          <w:sz w:val="20"/>
        </w:rPr>
      </w:pPr>
      <w:r>
        <w:rPr>
          <w:sz w:val="20"/>
        </w:rPr>
      </w:r>
    </w:p>
    <w:p>
      <w:pPr>
        <w:pStyle w:val="Normal"/>
        <w:ind w:hanging="720" w:start="720" w:end="0"/>
        <w:rPr>
          <w:i/>
          <w:i/>
          <w:sz w:val="20"/>
        </w:rPr>
      </w:pPr>
      <w:r>
        <w:rPr>
          <w:i/>
          <w:sz w:val="20"/>
        </w:rPr>
        <w:t>April - May 2001:</w:t>
      </w:r>
    </w:p>
    <w:p>
      <w:pPr>
        <w:pStyle w:val="Normal"/>
        <w:numPr>
          <w:ilvl w:val="0"/>
          <w:numId w:val="28"/>
        </w:numPr>
        <w:rPr>
          <w:sz w:val="20"/>
        </w:rPr>
      </w:pPr>
      <w:r>
        <w:rPr>
          <w:sz w:val="20"/>
        </w:rPr>
        <w:t>Participate in the Mock Market.</w:t>
      </w:r>
    </w:p>
    <w:p>
      <w:pPr>
        <w:pStyle w:val="Normal"/>
        <w:ind w:hanging="720" w:start="720" w:end="0"/>
        <w:rPr>
          <w:sz w:val="20"/>
        </w:rPr>
      </w:pPr>
      <w:r>
        <w:rPr>
          <w:sz w:val="20"/>
        </w:rPr>
      </w:r>
    </w:p>
    <w:p>
      <w:pPr>
        <w:pStyle w:val="Normal"/>
        <w:ind w:hanging="720" w:start="720" w:end="0"/>
        <w:rPr>
          <w:i/>
          <w:i/>
          <w:sz w:val="20"/>
        </w:rPr>
      </w:pPr>
      <w:r>
        <w:rPr>
          <w:i/>
          <w:sz w:val="20"/>
        </w:rPr>
        <w:t>February-May 2001:</w:t>
      </w:r>
    </w:p>
    <w:p>
      <w:pPr>
        <w:pStyle w:val="Normal"/>
        <w:numPr>
          <w:ilvl w:val="0"/>
          <w:numId w:val="59"/>
        </w:numPr>
        <w:rPr>
          <w:sz w:val="20"/>
        </w:rPr>
      </w:pPr>
      <w:r>
        <w:rPr>
          <w:sz w:val="20"/>
        </w:rPr>
        <w:t>Market Participant training on ERCOT business systems.</w:t>
      </w:r>
    </w:p>
    <w:p>
      <w:pPr>
        <w:pStyle w:val="Normal"/>
        <w:ind w:hanging="720" w:start="720" w:end="0"/>
        <w:rPr>
          <w:sz w:val="20"/>
        </w:rPr>
      </w:pPr>
      <w:r>
        <w:rPr>
          <w:sz w:val="20"/>
        </w:rPr>
      </w:r>
    </w:p>
    <w:p>
      <w:pPr>
        <w:pStyle w:val="Normal"/>
        <w:rPr>
          <w:sz w:val="20"/>
        </w:rPr>
      </w:pPr>
      <w:r>
        <w:rPr>
          <w:sz w:val="20"/>
        </w:rPr>
      </w:r>
    </w:p>
    <w:p>
      <w:pPr>
        <w:pStyle w:val="Normal"/>
        <w:rPr>
          <w:b/>
          <w:sz w:val="20"/>
        </w:rPr>
      </w:pPr>
      <w:r>
        <w:rPr>
          <w:b/>
          <w:sz w:val="20"/>
        </w:rPr>
        <w:t>Resources (Power Generating Companies (PGCs) and Loads Acting as Resources)</w:t>
      </w:r>
    </w:p>
    <w:p>
      <w:pPr>
        <w:pStyle w:val="Normal"/>
        <w:rPr/>
      </w:pPr>
      <w:r>
        <w:fldChar w:fldCharType="begin"/>
      </w:r>
      <w:r>
        <w:rPr/>
        <w:instrText xml:space="preserve"> XE "PGC" </w:instrText>
      </w:r>
      <w:r>
        <w:rPr/>
        <w:fldChar w:fldCharType="separate"/>
      </w:r>
      <w:r>
        <w:rPr/>
      </w:r>
      <w:r>
        <w:rPr/>
        <w:fldChar w:fldCharType="end"/>
      </w:r>
      <w:r>
        <w:rPr>
          <w:rFonts w:eastAsia="Book Antiqua"/>
          <w:b/>
          <w:sz w:val="20"/>
        </w:rPr>
        <w:t xml:space="preserve"> </w:t>
      </w:r>
    </w:p>
    <w:p>
      <w:pPr>
        <w:pStyle w:val="Normal"/>
        <w:rPr>
          <w:i/>
          <w:i/>
          <w:sz w:val="20"/>
        </w:rPr>
      </w:pPr>
      <w:r>
        <w:rPr>
          <w:i/>
          <w:sz w:val="20"/>
        </w:rPr>
        <w:t>January 2001:</w:t>
      </w:r>
    </w:p>
    <w:p>
      <w:pPr>
        <w:pStyle w:val="Normal"/>
        <w:numPr>
          <w:ilvl w:val="0"/>
          <w:numId w:val="59"/>
        </w:numPr>
        <w:rPr>
          <w:sz w:val="20"/>
          <w:u w:val="single"/>
        </w:rPr>
      </w:pPr>
      <w:r>
        <w:rPr>
          <w:sz w:val="20"/>
        </w:rPr>
        <w:t>Resource R</w:t>
      </w:r>
      <w:r>
        <w:rPr>
          <w:sz w:val="20"/>
          <w:u w:val="single"/>
        </w:rPr>
        <w:t>egistration</w:t>
      </w:r>
    </w:p>
    <w:p>
      <w:pPr>
        <w:pStyle w:val="Normal"/>
        <w:numPr>
          <w:ilvl w:val="0"/>
          <w:numId w:val="40"/>
        </w:numPr>
        <w:rPr>
          <w:sz w:val="20"/>
        </w:rPr>
      </w:pPr>
      <w:r>
        <w:rPr>
          <w:sz w:val="20"/>
        </w:rPr>
        <w:t>Submit Application</w:t>
      </w:r>
    </w:p>
    <w:p>
      <w:pPr>
        <w:pStyle w:val="Normal"/>
        <w:numPr>
          <w:ilvl w:val="0"/>
          <w:numId w:val="40"/>
        </w:numPr>
        <w:rPr>
          <w:sz w:val="20"/>
        </w:rPr>
      </w:pPr>
      <w:r>
        <w:rPr>
          <w:sz w:val="20"/>
        </w:rPr>
        <w:t xml:space="preserve">Register company and users </w:t>
      </w:r>
    </w:p>
    <w:p>
      <w:pPr>
        <w:pStyle w:val="Normal"/>
        <w:numPr>
          <w:ilvl w:val="0"/>
          <w:numId w:val="40"/>
        </w:numPr>
        <w:rPr>
          <w:sz w:val="20"/>
        </w:rPr>
      </w:pPr>
      <w:r>
        <w:rPr>
          <w:sz w:val="20"/>
        </w:rPr>
        <w:t>Designate a QSE</w:t>
      </w:r>
    </w:p>
    <w:p>
      <w:pPr>
        <w:pStyle w:val="Normal"/>
        <w:numPr>
          <w:ilvl w:val="0"/>
          <w:numId w:val="40"/>
        </w:numPr>
        <w:rPr>
          <w:sz w:val="20"/>
        </w:rPr>
      </w:pPr>
      <w:r>
        <w:rPr>
          <w:sz w:val="20"/>
        </w:rPr>
        <w:t>Complete asset registration form</w:t>
      </w:r>
    </w:p>
    <w:p>
      <w:pPr>
        <w:pStyle w:val="Normal"/>
        <w:ind w:hanging="720" w:start="720" w:end="0"/>
        <w:rPr>
          <w:sz w:val="20"/>
        </w:rPr>
      </w:pPr>
      <w:r>
        <w:rPr>
          <w:i/>
          <w:sz w:val="20"/>
        </w:rPr>
        <w:t>February 2001:</w:t>
      </w:r>
    </w:p>
    <w:p>
      <w:pPr>
        <w:pStyle w:val="Normal"/>
        <w:numPr>
          <w:ilvl w:val="0"/>
          <w:numId w:val="59"/>
        </w:numPr>
        <w:rPr>
          <w:sz w:val="20"/>
        </w:rPr>
      </w:pPr>
      <w:r>
        <w:rPr>
          <w:sz w:val="20"/>
        </w:rPr>
        <w:t>Execute Resource agreement.</w:t>
      </w:r>
    </w:p>
    <w:p>
      <w:pPr>
        <w:pStyle w:val="Normal"/>
        <w:rPr>
          <w:sz w:val="20"/>
        </w:rPr>
      </w:pPr>
      <w:r>
        <w:rPr>
          <w:sz w:val="20"/>
        </w:rPr>
      </w:r>
    </w:p>
    <w:p>
      <w:pPr>
        <w:pStyle w:val="Normal"/>
        <w:rPr/>
      </w:pPr>
      <w:r>
        <w:rPr>
          <w:i/>
          <w:sz w:val="20"/>
        </w:rPr>
        <w:t>March 2001</w:t>
      </w:r>
      <w:r>
        <w:rPr>
          <w:sz w:val="20"/>
        </w:rPr>
        <w:t>:</w:t>
      </w:r>
    </w:p>
    <w:p>
      <w:pPr>
        <w:pStyle w:val="Normal"/>
        <w:numPr>
          <w:ilvl w:val="0"/>
          <w:numId w:val="59"/>
        </w:numPr>
        <w:rPr>
          <w:sz w:val="20"/>
        </w:rPr>
      </w:pPr>
      <w:r>
        <w:rPr>
          <w:sz w:val="20"/>
        </w:rPr>
        <w:t>Register with PUCT</w:t>
      </w:r>
    </w:p>
    <w:p>
      <w:pPr>
        <w:pStyle w:val="Normal"/>
        <w:rPr>
          <w:sz w:val="20"/>
        </w:rPr>
      </w:pPr>
      <w:r>
        <w:rPr>
          <w:sz w:val="20"/>
        </w:rPr>
      </w:r>
    </w:p>
    <w:p>
      <w:pPr>
        <w:pStyle w:val="Normal"/>
        <w:rPr>
          <w:sz w:val="20"/>
        </w:rPr>
      </w:pPr>
      <w:r>
        <w:rPr>
          <w:i/>
          <w:sz w:val="20"/>
        </w:rPr>
        <w:t>April - May 2001:</w:t>
      </w:r>
    </w:p>
    <w:p>
      <w:pPr>
        <w:pStyle w:val="Normal"/>
        <w:numPr>
          <w:ilvl w:val="0"/>
          <w:numId w:val="59"/>
        </w:numPr>
        <w:rPr>
          <w:sz w:val="20"/>
        </w:rPr>
      </w:pPr>
      <w:r>
        <w:rPr>
          <w:sz w:val="20"/>
        </w:rPr>
        <w:t>Participate in Mock Market.</w:t>
      </w:r>
    </w:p>
    <w:p>
      <w:pPr>
        <w:pStyle w:val="Normal"/>
        <w:ind w:hanging="720" w:start="720" w:end="0"/>
        <w:rPr>
          <w:sz w:val="20"/>
        </w:rPr>
      </w:pPr>
      <w:r>
        <w:rPr>
          <w:sz w:val="20"/>
        </w:rPr>
        <w:tab/>
      </w:r>
    </w:p>
    <w:p>
      <w:pPr>
        <w:pStyle w:val="Normal"/>
        <w:rPr>
          <w:sz w:val="20"/>
        </w:rPr>
      </w:pPr>
      <w:r>
        <w:rPr>
          <w:sz w:val="20"/>
        </w:rPr>
      </w:r>
    </w:p>
    <w:p>
      <w:pPr>
        <w:pStyle w:val="Normal"/>
        <w:rPr>
          <w:sz w:val="20"/>
        </w:rPr>
      </w:pPr>
      <w:r>
        <w:rPr>
          <w:i/>
          <w:sz w:val="20"/>
        </w:rPr>
        <w:t>February - May  2001:</w:t>
      </w:r>
    </w:p>
    <w:p>
      <w:pPr>
        <w:pStyle w:val="Normal"/>
        <w:numPr>
          <w:ilvl w:val="0"/>
          <w:numId w:val="59"/>
        </w:numPr>
        <w:rPr>
          <w:sz w:val="20"/>
        </w:rPr>
      </w:pPr>
      <w:r>
        <w:rPr>
          <w:sz w:val="20"/>
        </w:rPr>
        <w:t>Market Participant training on ERCOT business systems</w:t>
      </w:r>
      <w:r>
        <w:fldChar w:fldCharType="begin"/>
      </w:r>
      <w:r>
        <w:rPr/>
        <w:instrText xml:space="preserve"> XE "TDSPs" </w:instrText>
      </w:r>
      <w:r>
        <w:rPr/>
        <w:fldChar w:fldCharType="separate"/>
      </w:r>
      <w:r>
        <w:rPr/>
      </w:r>
      <w:r>
        <w:rPr/>
        <w:fldChar w:fldCharType="end"/>
      </w:r>
    </w:p>
    <w:p>
      <w:pPr>
        <w:pStyle w:val="Normal"/>
        <w:rPr>
          <w:sz w:val="20"/>
        </w:rPr>
      </w:pPr>
      <w:r>
        <w:rPr>
          <w:sz w:val="20"/>
        </w:rPr>
      </w:r>
    </w:p>
    <w:p>
      <w:pPr>
        <w:pStyle w:val="Normal"/>
        <w:rPr>
          <w:sz w:val="20"/>
        </w:rPr>
      </w:pPr>
      <w:r>
        <w:rPr>
          <w:sz w:val="20"/>
        </w:rPr>
      </w:r>
    </w:p>
    <w:p>
      <w:pPr>
        <w:pStyle w:val="Normal"/>
        <w:rPr/>
      </w:pPr>
      <w:r>
        <w:rPr>
          <w:b/>
          <w:sz w:val="20"/>
        </w:rPr>
        <w:t>Transmission and/or Distribution Service Provider (TDSP)</w:t>
      </w:r>
      <w:r>
        <w:fldChar w:fldCharType="begin"/>
      </w:r>
      <w:r>
        <w:rPr/>
        <w:instrText xml:space="preserve"> XE "TDSP" </w:instrText>
      </w:r>
      <w:r>
        <w:rPr/>
        <w:fldChar w:fldCharType="separate"/>
      </w:r>
      <w:r>
        <w:rPr/>
      </w:r>
      <w:r>
        <w:rPr/>
        <w:fldChar w:fldCharType="end"/>
      </w:r>
      <w:r>
        <w:rPr>
          <w:b/>
          <w:sz w:val="20"/>
        </w:rPr>
        <w:t xml:space="preserve"> that operates in the ERCOT region </w:t>
      </w:r>
    </w:p>
    <w:p>
      <w:pPr>
        <w:pStyle w:val="Normal"/>
        <w:rPr>
          <w:b/>
          <w:sz w:val="20"/>
        </w:rPr>
      </w:pPr>
      <w:r>
        <w:rPr>
          <w:b/>
          <w:sz w:val="20"/>
        </w:rPr>
      </w:r>
    </w:p>
    <w:p>
      <w:pPr>
        <w:pStyle w:val="Normal"/>
        <w:rPr>
          <w:i/>
          <w:i/>
          <w:sz w:val="20"/>
        </w:rPr>
      </w:pPr>
      <w:r>
        <w:rPr>
          <w:i/>
          <w:sz w:val="20"/>
        </w:rPr>
        <w:t>September 2000 to march 2001</w:t>
      </w:r>
    </w:p>
    <w:p>
      <w:pPr>
        <w:pStyle w:val="Normal"/>
        <w:numPr>
          <w:ilvl w:val="0"/>
          <w:numId w:val="59"/>
        </w:numPr>
        <w:rPr>
          <w:sz w:val="20"/>
        </w:rPr>
      </w:pPr>
      <w:r>
        <w:rPr>
          <w:sz w:val="20"/>
        </w:rPr>
        <w:t>Data Conversion of premise, historic, and ongoing retail usage data (ESI-ID) via EDI/XML (Not required for NOIEs)</w:t>
      </w:r>
    </w:p>
    <w:p>
      <w:pPr>
        <w:pStyle w:val="Normal"/>
        <w:rPr>
          <w:i/>
          <w:i/>
          <w:sz w:val="20"/>
        </w:rPr>
      </w:pPr>
      <w:r>
        <w:rPr>
          <w:i/>
          <w:sz w:val="20"/>
        </w:rPr>
      </w:r>
    </w:p>
    <w:p>
      <w:pPr>
        <w:pStyle w:val="Normal"/>
        <w:rPr>
          <w:i/>
          <w:i/>
          <w:sz w:val="20"/>
        </w:rPr>
      </w:pPr>
      <w:r>
        <w:rPr>
          <w:i/>
          <w:sz w:val="20"/>
        </w:rPr>
        <w:t>January 2001:</w:t>
      </w:r>
    </w:p>
    <w:p>
      <w:pPr>
        <w:pStyle w:val="Normal"/>
        <w:numPr>
          <w:ilvl w:val="0"/>
          <w:numId w:val="59"/>
        </w:numPr>
        <w:rPr>
          <w:sz w:val="20"/>
          <w:u w:val="single"/>
        </w:rPr>
      </w:pPr>
      <w:r>
        <w:rPr>
          <w:sz w:val="20"/>
        </w:rPr>
        <w:t>TDSP</w:t>
      </w:r>
      <w:r>
        <w:rPr>
          <w:sz w:val="20"/>
          <w:u w:val="single"/>
        </w:rPr>
        <w:t xml:space="preserve"> Registration</w:t>
      </w:r>
    </w:p>
    <w:p>
      <w:pPr>
        <w:pStyle w:val="Normal"/>
        <w:numPr>
          <w:ilvl w:val="0"/>
          <w:numId w:val="40"/>
        </w:numPr>
        <w:rPr>
          <w:sz w:val="20"/>
        </w:rPr>
      </w:pPr>
      <w:r>
        <w:rPr>
          <w:sz w:val="20"/>
        </w:rPr>
        <w:t>Submit Application</w:t>
      </w:r>
    </w:p>
    <w:p>
      <w:pPr>
        <w:pStyle w:val="Normal"/>
        <w:numPr>
          <w:ilvl w:val="0"/>
          <w:numId w:val="40"/>
        </w:numPr>
        <w:rPr>
          <w:sz w:val="20"/>
        </w:rPr>
      </w:pPr>
      <w:r>
        <w:rPr>
          <w:sz w:val="20"/>
        </w:rPr>
        <w:t xml:space="preserve">Register company and users </w:t>
      </w:r>
    </w:p>
    <w:p>
      <w:pPr>
        <w:pStyle w:val="Normal"/>
        <w:rPr>
          <w:sz w:val="20"/>
        </w:rPr>
      </w:pPr>
      <w:r>
        <w:rPr>
          <w:i/>
          <w:sz w:val="20"/>
        </w:rPr>
        <w:t>February 2001:</w:t>
      </w:r>
    </w:p>
    <w:p>
      <w:pPr>
        <w:pStyle w:val="Normal"/>
        <w:numPr>
          <w:ilvl w:val="0"/>
          <w:numId w:val="59"/>
        </w:numPr>
        <w:rPr>
          <w:sz w:val="20"/>
        </w:rPr>
      </w:pPr>
      <w:r>
        <w:rPr>
          <w:sz w:val="20"/>
        </w:rPr>
        <w:t xml:space="preserve">Execute TDSP agreement </w:t>
      </w:r>
    </w:p>
    <w:p>
      <w:pPr>
        <w:pStyle w:val="Normal"/>
        <w:numPr>
          <w:ilvl w:val="0"/>
          <w:numId w:val="59"/>
        </w:numPr>
        <w:rPr>
          <w:sz w:val="20"/>
        </w:rPr>
      </w:pPr>
      <w:r>
        <w:rPr>
          <w:sz w:val="20"/>
        </w:rPr>
        <w:t>ECOT Programmatic Interface technical integration test</w:t>
      </w:r>
    </w:p>
    <w:p>
      <w:pPr>
        <w:pStyle w:val="Normal"/>
        <w:numPr>
          <w:ilvl w:val="0"/>
          <w:numId w:val="59"/>
        </w:numPr>
        <w:rPr>
          <w:sz w:val="20"/>
        </w:rPr>
      </w:pPr>
      <w:r>
        <w:rPr>
          <w:sz w:val="20"/>
        </w:rPr>
        <w:t>Provide annual distribution loss factors or alternate methodology</w:t>
      </w:r>
    </w:p>
    <w:p>
      <w:pPr>
        <w:pStyle w:val="Normal"/>
        <w:numPr>
          <w:ilvl w:val="0"/>
          <w:numId w:val="59"/>
        </w:numPr>
        <w:rPr>
          <w:sz w:val="20"/>
        </w:rPr>
      </w:pPr>
      <w:r>
        <w:rPr>
          <w:sz w:val="20"/>
        </w:rPr>
        <w:t xml:space="preserve">Establish and test ERCOT private network access </w:t>
      </w:r>
    </w:p>
    <w:p>
      <w:pPr>
        <w:pStyle w:val="Normal"/>
        <w:numPr>
          <w:ilvl w:val="0"/>
          <w:numId w:val="59"/>
        </w:numPr>
        <w:rPr>
          <w:sz w:val="20"/>
        </w:rPr>
      </w:pPr>
      <w:r>
        <w:rPr>
          <w:sz w:val="20"/>
        </w:rPr>
        <w:t>Test Transmission SCADA using ICCP or RTU...</w:t>
      </w:r>
    </w:p>
    <w:p>
      <w:pPr>
        <w:pStyle w:val="Normal"/>
        <w:rPr>
          <w:i/>
          <w:i/>
          <w:sz w:val="20"/>
        </w:rPr>
      </w:pPr>
      <w:r>
        <w:rPr>
          <w:i/>
          <w:sz w:val="20"/>
        </w:rPr>
      </w:r>
    </w:p>
    <w:p>
      <w:pPr>
        <w:pStyle w:val="Normal"/>
        <w:rPr>
          <w:i/>
          <w:i/>
          <w:sz w:val="20"/>
        </w:rPr>
      </w:pPr>
      <w:r>
        <w:rPr>
          <w:i/>
          <w:sz w:val="20"/>
        </w:rPr>
        <w:t>March 2001:</w:t>
      </w:r>
    </w:p>
    <w:p>
      <w:pPr>
        <w:pStyle w:val="Normal"/>
        <w:numPr>
          <w:ilvl w:val="0"/>
          <w:numId w:val="32"/>
        </w:numPr>
        <w:rPr>
          <w:sz w:val="20"/>
        </w:rPr>
      </w:pPr>
      <w:r>
        <w:rPr>
          <w:sz w:val="20"/>
        </w:rPr>
        <w:t>ERCOT Programmatic Interface functional testing</w:t>
      </w:r>
    </w:p>
    <w:p>
      <w:pPr>
        <w:pStyle w:val="Normal"/>
        <w:numPr>
          <w:ilvl w:val="0"/>
          <w:numId w:val="32"/>
        </w:numPr>
        <w:rPr>
          <w:sz w:val="20"/>
        </w:rPr>
      </w:pPr>
      <w:r>
        <w:rPr>
          <w:sz w:val="20"/>
        </w:rPr>
        <w:t>EDI/XML functional certification</w:t>
      </w:r>
    </w:p>
    <w:p>
      <w:pPr>
        <w:pStyle w:val="Style11"/>
        <w:rPr>
          <w:sz w:val="20"/>
        </w:rPr>
      </w:pPr>
      <w:r>
        <w:rPr>
          <w:sz w:val="20"/>
        </w:rPr>
      </w:r>
    </w:p>
    <w:p>
      <w:pPr>
        <w:pStyle w:val="Normal"/>
        <w:rPr>
          <w:sz w:val="20"/>
        </w:rPr>
      </w:pPr>
      <w:r>
        <w:rPr>
          <w:i/>
          <w:sz w:val="20"/>
        </w:rPr>
        <w:t>April 2001:</w:t>
      </w:r>
    </w:p>
    <w:p>
      <w:pPr>
        <w:pStyle w:val="Normal"/>
        <w:numPr>
          <w:ilvl w:val="0"/>
          <w:numId w:val="61"/>
        </w:numPr>
        <w:rPr>
          <w:sz w:val="20"/>
        </w:rPr>
      </w:pPr>
      <w:r>
        <w:rPr>
          <w:sz w:val="20"/>
        </w:rPr>
        <w:t>ERCOT polled settlement metering installation</w:t>
      </w:r>
    </w:p>
    <w:p>
      <w:pPr>
        <w:pStyle w:val="Normal"/>
        <w:rPr>
          <w:sz w:val="20"/>
        </w:rPr>
      </w:pPr>
      <w:r>
        <w:rPr>
          <w:sz w:val="20"/>
        </w:rPr>
        <w:tab/>
      </w:r>
    </w:p>
    <w:p>
      <w:pPr>
        <w:pStyle w:val="Normal"/>
        <w:ind w:hanging="720" w:start="720" w:end="0"/>
        <w:rPr>
          <w:i/>
          <w:i/>
          <w:sz w:val="20"/>
        </w:rPr>
      </w:pPr>
      <w:r>
        <w:rPr>
          <w:i/>
          <w:sz w:val="20"/>
        </w:rPr>
        <w:t>April - May 2001:</w:t>
      </w:r>
    </w:p>
    <w:p>
      <w:pPr>
        <w:pStyle w:val="Normal"/>
        <w:numPr>
          <w:ilvl w:val="0"/>
          <w:numId w:val="61"/>
        </w:numPr>
        <w:rPr>
          <w:i/>
          <w:i/>
          <w:sz w:val="20"/>
        </w:rPr>
      </w:pPr>
      <w:r>
        <w:rPr>
          <w:sz w:val="20"/>
        </w:rPr>
        <w:t>Participate in the Mock Market</w:t>
      </w:r>
      <w:r>
        <w:rPr>
          <w:i/>
          <w:sz w:val="20"/>
        </w:rPr>
        <w:t xml:space="preserve"> </w:t>
      </w:r>
    </w:p>
    <w:p>
      <w:pPr>
        <w:pStyle w:val="Normal"/>
        <w:rPr>
          <w:i/>
          <w:i/>
          <w:sz w:val="20"/>
        </w:rPr>
      </w:pPr>
      <w:r>
        <w:rPr>
          <w:i/>
          <w:sz w:val="20"/>
        </w:rPr>
      </w:r>
    </w:p>
    <w:p>
      <w:pPr>
        <w:pStyle w:val="Normal"/>
        <w:ind w:hanging="720" w:start="720" w:end="0"/>
        <w:rPr>
          <w:i/>
          <w:i/>
          <w:sz w:val="20"/>
        </w:rPr>
      </w:pPr>
      <w:r>
        <w:rPr>
          <w:i/>
          <w:sz w:val="20"/>
        </w:rPr>
        <w:t>May 2001:</w:t>
      </w:r>
    </w:p>
    <w:p>
      <w:pPr>
        <w:pStyle w:val="Normal"/>
        <w:numPr>
          <w:ilvl w:val="0"/>
          <w:numId w:val="61"/>
        </w:numPr>
        <w:rPr>
          <w:sz w:val="20"/>
        </w:rPr>
      </w:pPr>
      <w:r>
        <w:rPr>
          <w:sz w:val="20"/>
        </w:rPr>
        <w:t>Meet mandatory IDR meter installation requirements</w:t>
      </w:r>
    </w:p>
    <w:p>
      <w:pPr>
        <w:pStyle w:val="Normal"/>
        <w:rPr>
          <w:i/>
          <w:i/>
          <w:sz w:val="20"/>
        </w:rPr>
      </w:pPr>
      <w:r>
        <w:rPr>
          <w:i/>
          <w:sz w:val="20"/>
        </w:rPr>
      </w:r>
    </w:p>
    <w:p>
      <w:pPr>
        <w:pStyle w:val="Normal"/>
        <w:rPr>
          <w:sz w:val="20"/>
        </w:rPr>
      </w:pPr>
      <w:r>
        <w:rPr>
          <w:i/>
          <w:sz w:val="20"/>
        </w:rPr>
        <w:t>June 2001:</w:t>
      </w:r>
    </w:p>
    <w:p>
      <w:pPr>
        <w:pStyle w:val="Normal"/>
        <w:numPr>
          <w:ilvl w:val="0"/>
          <w:numId w:val="61"/>
        </w:numPr>
        <w:rPr>
          <w:sz w:val="20"/>
        </w:rPr>
      </w:pPr>
      <w:r>
        <w:rPr>
          <w:sz w:val="20"/>
        </w:rPr>
        <w:t>Market Participant training on ERCOT business systems.</w:t>
      </w:r>
    </w:p>
    <w:p>
      <w:pPr>
        <w:pStyle w:val="Normal"/>
        <w:ind w:start="720" w:end="0"/>
        <w:rPr>
          <w:sz w:val="20"/>
        </w:rPr>
      </w:pPr>
      <w:r>
        <w:rPr>
          <w:sz w:val="20"/>
        </w:rPr>
      </w:r>
    </w:p>
    <w:p>
      <w:pPr>
        <w:pStyle w:val="Normal"/>
        <w:rPr>
          <w:sz w:val="20"/>
        </w:rPr>
      </w:pPr>
      <w:r>
        <w:rPr>
          <w:sz w:val="20"/>
        </w:rPr>
      </w:r>
    </w:p>
    <w:p>
      <w:pPr>
        <w:pStyle w:val="Normal"/>
        <w:rPr/>
      </w:pPr>
      <w:r>
        <w:rPr>
          <w:b/>
          <w:sz w:val="20"/>
        </w:rPr>
        <w:t>TDSP</w:t>
      </w:r>
      <w:r>
        <w:fldChar w:fldCharType="begin"/>
      </w:r>
      <w:r>
        <w:rPr/>
        <w:instrText xml:space="preserve"> XE "TDSP" </w:instrText>
      </w:r>
      <w:r>
        <w:rPr/>
        <w:fldChar w:fldCharType="separate"/>
      </w:r>
      <w:r>
        <w:rPr/>
      </w:r>
      <w:r>
        <w:rPr/>
        <w:fldChar w:fldCharType="end"/>
      </w:r>
      <w:r>
        <w:rPr>
          <w:b/>
          <w:sz w:val="20"/>
        </w:rPr>
        <w:t xml:space="preserve"> that operates in the Texas competitive retail market, but outside the ERCOT region</w:t>
      </w:r>
    </w:p>
    <w:p>
      <w:pPr>
        <w:pStyle w:val="Normal"/>
        <w:rPr>
          <w:b/>
          <w:sz w:val="20"/>
        </w:rPr>
      </w:pPr>
      <w:r>
        <w:rPr>
          <w:b/>
          <w:sz w:val="20"/>
        </w:rPr>
      </w:r>
    </w:p>
    <w:p>
      <w:pPr>
        <w:pStyle w:val="Normal"/>
        <w:rPr>
          <w:i/>
          <w:i/>
          <w:sz w:val="20"/>
        </w:rPr>
      </w:pPr>
      <w:r>
        <w:rPr>
          <w:i/>
          <w:sz w:val="20"/>
        </w:rPr>
        <w:t>September 2000 to march 2001</w:t>
      </w:r>
    </w:p>
    <w:p>
      <w:pPr>
        <w:pStyle w:val="Normal"/>
        <w:numPr>
          <w:ilvl w:val="0"/>
          <w:numId w:val="61"/>
        </w:numPr>
        <w:rPr>
          <w:sz w:val="20"/>
        </w:rPr>
      </w:pPr>
      <w:r>
        <w:rPr>
          <w:sz w:val="20"/>
        </w:rPr>
        <w:t>Data Conversion of premise, historic, and ongoing retail usage data (ESI-ID) via EDI/XML (Not required for NOIEs)</w:t>
      </w:r>
    </w:p>
    <w:p>
      <w:pPr>
        <w:pStyle w:val="Normal"/>
        <w:rPr>
          <w:i/>
          <w:i/>
          <w:sz w:val="20"/>
        </w:rPr>
      </w:pPr>
      <w:r>
        <w:rPr>
          <w:i/>
          <w:sz w:val="20"/>
        </w:rPr>
      </w:r>
    </w:p>
    <w:p>
      <w:pPr>
        <w:pStyle w:val="Normal"/>
        <w:rPr>
          <w:i/>
          <w:i/>
          <w:sz w:val="20"/>
        </w:rPr>
      </w:pPr>
      <w:r>
        <w:rPr>
          <w:i/>
          <w:sz w:val="20"/>
        </w:rPr>
        <w:t>January 2001:</w:t>
      </w:r>
    </w:p>
    <w:p>
      <w:pPr>
        <w:pStyle w:val="Normal"/>
        <w:numPr>
          <w:ilvl w:val="0"/>
          <w:numId w:val="61"/>
        </w:numPr>
        <w:rPr>
          <w:sz w:val="20"/>
          <w:u w:val="single"/>
        </w:rPr>
      </w:pPr>
      <w:r>
        <w:rPr>
          <w:sz w:val="20"/>
        </w:rPr>
        <w:t>TDSP</w:t>
      </w:r>
      <w:r>
        <w:rPr>
          <w:sz w:val="20"/>
          <w:u w:val="single"/>
        </w:rPr>
        <w:t xml:space="preserve"> Registration</w:t>
      </w:r>
    </w:p>
    <w:p>
      <w:pPr>
        <w:pStyle w:val="Normal"/>
        <w:numPr>
          <w:ilvl w:val="0"/>
          <w:numId w:val="40"/>
        </w:numPr>
        <w:rPr>
          <w:sz w:val="20"/>
        </w:rPr>
      </w:pPr>
      <w:r>
        <w:rPr>
          <w:sz w:val="20"/>
        </w:rPr>
        <w:t>Submit Application</w:t>
      </w:r>
    </w:p>
    <w:p>
      <w:pPr>
        <w:pStyle w:val="Normal"/>
        <w:numPr>
          <w:ilvl w:val="0"/>
          <w:numId w:val="40"/>
        </w:numPr>
        <w:rPr>
          <w:sz w:val="20"/>
        </w:rPr>
      </w:pPr>
      <w:r>
        <w:rPr>
          <w:sz w:val="20"/>
        </w:rPr>
        <w:t xml:space="preserve">Register company and users </w:t>
      </w:r>
    </w:p>
    <w:p>
      <w:pPr>
        <w:pStyle w:val="Normal"/>
        <w:rPr>
          <w:i/>
          <w:i/>
          <w:sz w:val="20"/>
        </w:rPr>
      </w:pPr>
      <w:r>
        <w:rPr>
          <w:i/>
          <w:sz w:val="20"/>
        </w:rPr>
      </w:r>
    </w:p>
    <w:p>
      <w:pPr>
        <w:pStyle w:val="Normal"/>
        <w:rPr>
          <w:sz w:val="20"/>
        </w:rPr>
      </w:pPr>
      <w:r>
        <w:rPr>
          <w:i/>
          <w:sz w:val="20"/>
        </w:rPr>
        <w:t>February 2001:</w:t>
      </w:r>
    </w:p>
    <w:p>
      <w:pPr>
        <w:pStyle w:val="Normal"/>
        <w:numPr>
          <w:ilvl w:val="0"/>
          <w:numId w:val="61"/>
        </w:numPr>
        <w:rPr>
          <w:sz w:val="20"/>
        </w:rPr>
      </w:pPr>
      <w:r>
        <w:rPr>
          <w:sz w:val="20"/>
        </w:rPr>
        <w:t xml:space="preserve">Execute TDSP agreement </w:t>
      </w:r>
    </w:p>
    <w:p>
      <w:pPr>
        <w:pStyle w:val="Normal"/>
        <w:ind w:start="720" w:end="0"/>
        <w:rPr>
          <w:rFonts w:eastAsia="Book Antiqua"/>
          <w:sz w:val="20"/>
        </w:rPr>
      </w:pPr>
      <w:r>
        <w:rPr>
          <w:rFonts w:eastAsia="Book Antiqua"/>
          <w:sz w:val="20"/>
        </w:rPr>
        <w:t xml:space="preserve"> </w:t>
      </w:r>
    </w:p>
    <w:p>
      <w:pPr>
        <w:pStyle w:val="Normal"/>
        <w:rPr>
          <w:i/>
          <w:i/>
          <w:sz w:val="20"/>
        </w:rPr>
      </w:pPr>
      <w:r>
        <w:rPr>
          <w:i/>
          <w:sz w:val="20"/>
        </w:rPr>
        <w:t>March 2001:</w:t>
      </w:r>
    </w:p>
    <w:p>
      <w:pPr>
        <w:pStyle w:val="Normal"/>
        <w:numPr>
          <w:ilvl w:val="0"/>
          <w:numId w:val="61"/>
        </w:numPr>
        <w:rPr>
          <w:sz w:val="20"/>
        </w:rPr>
      </w:pPr>
      <w:r>
        <w:rPr>
          <w:sz w:val="20"/>
        </w:rPr>
        <w:t>EDI/XML functional certification</w:t>
      </w:r>
    </w:p>
    <w:p>
      <w:pPr>
        <w:pStyle w:val="Normal"/>
        <w:rPr>
          <w:sz w:val="20"/>
        </w:rPr>
      </w:pPr>
      <w:r>
        <w:rPr>
          <w:sz w:val="20"/>
        </w:rPr>
      </w:r>
    </w:p>
    <w:p>
      <w:pPr>
        <w:pStyle w:val="Normal"/>
        <w:rPr>
          <w:sz w:val="20"/>
        </w:rPr>
      </w:pPr>
      <w:r>
        <w:rPr>
          <w:i/>
          <w:sz w:val="20"/>
        </w:rPr>
        <w:t>June 2001:</w:t>
      </w:r>
    </w:p>
    <w:p>
      <w:pPr>
        <w:pStyle w:val="Normal"/>
        <w:numPr>
          <w:ilvl w:val="0"/>
          <w:numId w:val="61"/>
        </w:numPr>
        <w:rPr>
          <w:sz w:val="20"/>
        </w:rPr>
      </w:pPr>
      <w:r>
        <w:rPr>
          <w:sz w:val="20"/>
        </w:rPr>
        <w:t>Market Participant training on ERCOT business systems.</w:t>
      </w:r>
    </w:p>
    <w:p>
      <w:pPr>
        <w:sectPr>
          <w:headerReference w:type="default" r:id="rId40"/>
          <w:headerReference w:type="first" r:id="rId41"/>
          <w:footerReference w:type="default" r:id="rId42"/>
          <w:footerReference w:type="first" r:id="rId43"/>
          <w:footnotePr>
            <w:numFmt w:val="decimal"/>
          </w:footnotePr>
          <w:type w:val="nextPage"/>
          <w:pgSz w:w="12240" w:h="15840"/>
          <w:pgMar w:left="288" w:right="4320" w:gutter="1440" w:header="706" w:top="1440" w:footer="706" w:bottom="1440"/>
          <w:pgNumType w:fmt="decimal"/>
          <w:formProt w:val="false"/>
          <w:textDirection w:val="lrTb"/>
          <w:docGrid w:type="default" w:linePitch="360" w:charSpace="0"/>
        </w:sectPr>
      </w:pPr>
    </w:p>
    <w:p>
      <w:pPr>
        <w:pStyle w:val="Heading1"/>
        <w:numPr>
          <w:ilvl w:val="0"/>
          <w:numId w:val="0"/>
        </w:numPr>
        <w:rPr>
          <w:sz w:val="20"/>
        </w:rPr>
      </w:pPr>
      <w:r>
        <w:rPr>
          <w:sz w:val="20"/>
        </w:rPr>
      </w:r>
      <w:r>
        <w:br w:type="page"/>
      </w:r>
    </w:p>
    <w:p>
      <w:pPr>
        <w:pStyle w:val="Heading1"/>
        <w:rPr/>
      </w:pPr>
      <w:bookmarkStart w:id="40" w:name="__RefHeading___Toc505989433"/>
      <w:bookmarkEnd w:id="40"/>
      <w:r>
        <w:rPr/>
        <w:t>Glossary</w:t>
      </w:r>
    </w:p>
    <w:p>
      <w:pPr>
        <w:pStyle w:val="Heading1"/>
        <w:rPr/>
      </w:pPr>
      <w:r>
        <w:rPr/>
        <w:t>A</w:t>
      </w:r>
    </w:p>
    <w:p>
      <w:pPr>
        <w:pStyle w:val="TermTitle"/>
        <w:rPr>
          <w:rFonts w:ascii="Book Antiqua" w:hAnsi="Book Antiqua" w:cs="Book Antiqua"/>
          <w:sz w:val="20"/>
        </w:rPr>
      </w:pPr>
      <w:r>
        <w:rPr>
          <w:rFonts w:cs="Book Antiqua" w:ascii="Book Antiqua" w:hAnsi="Book Antiqua"/>
          <w:sz w:val="20"/>
        </w:rPr>
        <w:t>Adjustment Period</w:t>
      </w:r>
    </w:p>
    <w:p>
      <w:pPr>
        <w:pStyle w:val="TermDefinition"/>
        <w:rPr>
          <w:rFonts w:ascii="Book Antiqua" w:hAnsi="Book Antiqua" w:cs="Book Antiqua"/>
          <w:sz w:val="20"/>
        </w:rPr>
      </w:pPr>
      <w:r>
        <w:rPr>
          <w:rFonts w:cs="Book Antiqua" w:ascii="Book Antiqua" w:hAnsi="Book Antiqua"/>
          <w:sz w:val="20"/>
        </w:rPr>
        <w:t xml:space="preserve">The Adjustment Period for any given Operating Hour is the time period following the close of the Day-Ahead market and extending up to each Operating Period. </w:t>
      </w:r>
    </w:p>
    <w:p>
      <w:pPr>
        <w:pStyle w:val="TermTitle"/>
        <w:rPr>
          <w:rFonts w:ascii="Book Antiqua" w:hAnsi="Book Antiqua" w:cs="Book Antiqua"/>
          <w:sz w:val="20"/>
        </w:rPr>
      </w:pPr>
      <w:r>
        <w:rPr>
          <w:rFonts w:cs="Book Antiqua" w:ascii="Book Antiqua" w:hAnsi="Book Antiqua"/>
          <w:sz w:val="20"/>
        </w:rPr>
        <w:t>Affiliate</w:t>
      </w:r>
    </w:p>
    <w:p>
      <w:pPr>
        <w:pStyle w:val="TermDefinition"/>
        <w:numPr>
          <w:ilvl w:val="0"/>
          <w:numId w:val="51"/>
        </w:numPr>
        <w:rPr>
          <w:rFonts w:ascii="Book Antiqua" w:hAnsi="Book Antiqua" w:cs="Book Antiqua"/>
          <w:sz w:val="20"/>
        </w:rPr>
      </w:pPr>
      <w:r>
        <w:rPr>
          <w:rFonts w:cs="Book Antiqua" w:ascii="Book Antiqua" w:hAnsi="Book Antiqua"/>
          <w:sz w:val="20"/>
        </w:rPr>
        <w:t>An Entity who directly or indirectly owns or holds at least five percent of the voting securities of another Entity; or</w:t>
      </w:r>
    </w:p>
    <w:p>
      <w:pPr>
        <w:pStyle w:val="TermDefinition"/>
        <w:numPr>
          <w:ilvl w:val="0"/>
          <w:numId w:val="51"/>
        </w:numPr>
        <w:rPr>
          <w:rFonts w:ascii="Book Antiqua" w:hAnsi="Book Antiqua" w:cs="Book Antiqua"/>
          <w:sz w:val="20"/>
        </w:rPr>
      </w:pPr>
      <w:r>
        <w:rPr>
          <w:rFonts w:cs="Book Antiqua" w:ascii="Book Antiqua" w:hAnsi="Book Antiqua"/>
          <w:sz w:val="20"/>
        </w:rPr>
        <w:t>An Entity in a chain of successive ownership of at least five percent of the voting securities of another Entity; or</w:t>
      </w:r>
    </w:p>
    <w:p>
      <w:pPr>
        <w:pStyle w:val="TermDefinition"/>
        <w:numPr>
          <w:ilvl w:val="0"/>
          <w:numId w:val="51"/>
        </w:numPr>
        <w:rPr>
          <w:rFonts w:ascii="Book Antiqua" w:hAnsi="Book Antiqua" w:cs="Book Antiqua"/>
          <w:sz w:val="20"/>
        </w:rPr>
      </w:pPr>
      <w:r>
        <w:rPr>
          <w:rFonts w:cs="Book Antiqua" w:ascii="Book Antiqua" w:hAnsi="Book Antiqua"/>
          <w:sz w:val="20"/>
        </w:rPr>
        <w:t>An Entity that has at least five percent of its voting securities owned or controlled, directly or indirectly, by another Entity; or</w:t>
      </w:r>
    </w:p>
    <w:p>
      <w:pPr>
        <w:pStyle w:val="TermDefinition"/>
        <w:numPr>
          <w:ilvl w:val="0"/>
          <w:numId w:val="51"/>
        </w:numPr>
        <w:rPr>
          <w:rFonts w:ascii="Book Antiqua" w:hAnsi="Book Antiqua" w:cs="Book Antiqua"/>
          <w:sz w:val="20"/>
        </w:rPr>
      </w:pPr>
      <w:r>
        <w:rPr>
          <w:rFonts w:cs="Book Antiqua" w:ascii="Book Antiqua" w:hAnsi="Book Antiqua"/>
          <w:sz w:val="20"/>
        </w:rPr>
        <w:t>An Entity that has at least five percent of its voting securities owned or controlled, directly or indirectly, by an Entity who directly or indirectly owns or controls at least five percent of the voting securities of another Entity or an Entity in a chain of successive ownership of at least five percent of the voting securities of another Entity; or</w:t>
      </w:r>
    </w:p>
    <w:p>
      <w:pPr>
        <w:pStyle w:val="TermDefinition"/>
        <w:numPr>
          <w:ilvl w:val="0"/>
          <w:numId w:val="51"/>
        </w:numPr>
        <w:rPr>
          <w:rFonts w:ascii="Book Antiqua" w:hAnsi="Book Antiqua" w:cs="Book Antiqua"/>
          <w:sz w:val="20"/>
        </w:rPr>
      </w:pPr>
      <w:r>
        <w:rPr>
          <w:rFonts w:cs="Book Antiqua" w:ascii="Book Antiqua" w:hAnsi="Book Antiqua"/>
          <w:sz w:val="20"/>
        </w:rPr>
        <w:t>A person who is an officer or director of another entity or of a corporation in a chain of successive ownership of at least five percent of the voting securities of an Entity; or</w:t>
      </w:r>
    </w:p>
    <w:p>
      <w:pPr>
        <w:pStyle w:val="TermDefinition"/>
        <w:numPr>
          <w:ilvl w:val="0"/>
          <w:numId w:val="51"/>
        </w:numPr>
        <w:rPr>
          <w:rFonts w:ascii="Book Antiqua" w:hAnsi="Book Antiqua" w:cs="Book Antiqua"/>
          <w:sz w:val="20"/>
        </w:rPr>
      </w:pPr>
      <w:r>
        <w:rPr>
          <w:rFonts w:cs="Book Antiqua" w:ascii="Book Antiqua" w:hAnsi="Book Antiqua"/>
          <w:sz w:val="20"/>
        </w:rPr>
        <w:t>An Entity that actually exercises substantial influence or control over the policies and actions of another Entity; or</w:t>
      </w:r>
    </w:p>
    <w:p>
      <w:pPr>
        <w:pStyle w:val="TermDefinition"/>
        <w:numPr>
          <w:ilvl w:val="0"/>
          <w:numId w:val="51"/>
        </w:numPr>
        <w:rPr>
          <w:rFonts w:ascii="Book Antiqua" w:hAnsi="Book Antiqua" w:cs="Book Antiqua"/>
          <w:sz w:val="20"/>
        </w:rPr>
      </w:pPr>
      <w:r>
        <w:rPr>
          <w:rFonts w:cs="Book Antiqua" w:ascii="Book Antiqua" w:hAnsi="Book Antiqua"/>
          <w:sz w:val="20"/>
        </w:rPr>
        <w:t>Any other Entity determined by the PUCT to be an Affiliate.</w:t>
      </w:r>
    </w:p>
    <w:p>
      <w:pPr>
        <w:pStyle w:val="11terms"/>
        <w:rPr>
          <w:rFonts w:ascii="Book Antiqua" w:hAnsi="Book Antiqua" w:cs="Book Antiqua"/>
          <w:sz w:val="20"/>
        </w:rPr>
      </w:pPr>
      <w:r>
        <w:rPr>
          <w:rFonts w:cs="Book Antiqua" w:ascii="Book Antiqua" w:hAnsi="Book Antiqua"/>
          <w:sz w:val="20"/>
        </w:rPr>
        <w:t>Ancillary Services</w:t>
      </w:r>
    </w:p>
    <w:p>
      <w:pPr>
        <w:pStyle w:val="TermDefinition"/>
        <w:rPr>
          <w:rFonts w:ascii="Book Antiqua" w:hAnsi="Book Antiqua" w:cs="Book Antiqua"/>
          <w:sz w:val="20"/>
        </w:rPr>
      </w:pPr>
      <w:r>
        <w:rPr>
          <w:rFonts w:cs="Book Antiqua" w:ascii="Book Antiqua" w:hAnsi="Book Antiqua"/>
          <w:sz w:val="20"/>
        </w:rPr>
        <w:t>Those services necessary to support the transmission of energy from Resources to Loads while maintaining reliable operation of transmission provider’s transmission systems in accordance with Good Utility Practice.</w:t>
      </w:r>
    </w:p>
    <w:p>
      <w:pPr>
        <w:pStyle w:val="Heading1"/>
        <w:spacing w:before="0" w:after="0"/>
        <w:rPr>
          <w:kern w:val="0"/>
        </w:rPr>
      </w:pPr>
      <w:r>
        <w:rPr>
          <w:kern w:val="0"/>
        </w:rPr>
        <w:t>B</w:t>
      </w:r>
    </w:p>
    <w:p>
      <w:pPr>
        <w:pStyle w:val="TermDefinition"/>
        <w:rPr>
          <w:rFonts w:ascii="Book Antiqua" w:hAnsi="Book Antiqua" w:cs="Book Antiqua"/>
          <w:b/>
          <w:sz w:val="20"/>
        </w:rPr>
      </w:pPr>
      <w:r>
        <w:rPr>
          <w:rFonts w:cs="Book Antiqua" w:ascii="Book Antiqua" w:hAnsi="Book Antiqua"/>
          <w:b/>
          <w:sz w:val="20"/>
        </w:rPr>
        <w:t>Balanced Schedule</w:t>
      </w:r>
    </w:p>
    <w:p>
      <w:pPr>
        <w:pStyle w:val="TermDefinition"/>
        <w:rPr>
          <w:rFonts w:ascii="Book Antiqua" w:hAnsi="Book Antiqua" w:cs="Book Antiqua"/>
          <w:sz w:val="20"/>
        </w:rPr>
      </w:pPr>
      <w:r>
        <w:rPr>
          <w:rFonts w:cs="Book Antiqua" w:ascii="Book Antiqua" w:hAnsi="Book Antiqua"/>
          <w:sz w:val="20"/>
        </w:rPr>
        <w:t>An Energy and Ancillary Service schedule submitted to ERCOT by a Qualified Scheduling Entity that consists of projected interval Obligations and projected interval Supply, and that includes Qualified Scheduling Entity Obligations for Transmission and Distribution Losses.  A Balanced Schedule must have aggregate Supply equal to aggregate Obligations, by Settlement Interval.</w:t>
      </w:r>
    </w:p>
    <w:p>
      <w:pPr>
        <w:pStyle w:val="TermTitle"/>
        <w:rPr>
          <w:rFonts w:ascii="Book Antiqua" w:hAnsi="Book Antiqua" w:cs="Book Antiqua"/>
          <w:sz w:val="20"/>
        </w:rPr>
      </w:pPr>
      <w:r>
        <w:rPr>
          <w:rFonts w:cs="Book Antiqua" w:ascii="Book Antiqua" w:hAnsi="Book Antiqua"/>
          <w:sz w:val="20"/>
        </w:rPr>
        <w:t>Balancing Energy</w:t>
      </w:r>
    </w:p>
    <w:p>
      <w:pPr>
        <w:pStyle w:val="TermDefinition"/>
        <w:rPr>
          <w:rFonts w:ascii="Book Antiqua" w:hAnsi="Book Antiqua" w:cs="Book Antiqua"/>
          <w:sz w:val="20"/>
        </w:rPr>
      </w:pPr>
      <w:r>
        <w:rPr>
          <w:rFonts w:cs="Book Antiqua" w:ascii="Book Antiqua" w:hAnsi="Book Antiqua"/>
          <w:sz w:val="20"/>
        </w:rPr>
        <w:t>Balancing Energy represents the change in zonal energy output or demand determined by ERCOT to be needed to ensure secure operation of ERCOT Transmission Grid, and supplied by the ERCOT through deployment of bid Resources to meet Load variations not covered by Regulation Service.</w:t>
      </w:r>
    </w:p>
    <w:p>
      <w:pPr>
        <w:pStyle w:val="TermTitle"/>
        <w:rPr>
          <w:rFonts w:ascii="Book Antiqua" w:hAnsi="Book Antiqua" w:cs="Book Antiqua"/>
          <w:sz w:val="20"/>
        </w:rPr>
      </w:pPr>
      <w:r>
        <w:rPr>
          <w:rFonts w:cs="Book Antiqua" w:ascii="Book Antiqua" w:hAnsi="Book Antiqua"/>
          <w:sz w:val="20"/>
        </w:rPr>
        <w:t>Bid Stack</w:t>
      </w:r>
    </w:p>
    <w:p>
      <w:pPr>
        <w:pStyle w:val="TermDefinition"/>
        <w:rPr>
          <w:rFonts w:ascii="Book Antiqua" w:hAnsi="Book Antiqua" w:cs="Book Antiqua"/>
          <w:sz w:val="20"/>
        </w:rPr>
      </w:pPr>
      <w:r>
        <w:rPr>
          <w:rFonts w:cs="Book Antiqua" w:ascii="Book Antiqua" w:hAnsi="Book Antiqua"/>
          <w:sz w:val="20"/>
        </w:rPr>
        <w:t>Bids received for Ancillary Services organized from lowest price to highest price bid for the same service and time interval.</w:t>
      </w:r>
    </w:p>
    <w:p>
      <w:pPr>
        <w:pStyle w:val="TermTitle"/>
        <w:rPr>
          <w:rFonts w:ascii="Book Antiqua" w:hAnsi="Book Antiqua" w:cs="Book Antiqua"/>
          <w:sz w:val="20"/>
        </w:rPr>
      </w:pPr>
      <w:r>
        <w:rPr>
          <w:rFonts w:cs="Book Antiqua" w:ascii="Book Antiqua" w:hAnsi="Book Antiqua"/>
          <w:sz w:val="20"/>
        </w:rPr>
        <w:t>Black Start Service</w:t>
      </w:r>
    </w:p>
    <w:p>
      <w:pPr>
        <w:pStyle w:val="TermDefinition"/>
        <w:rPr>
          <w:rFonts w:ascii="Book Antiqua" w:hAnsi="Book Antiqua" w:cs="Book Antiqua"/>
          <w:sz w:val="20"/>
        </w:rPr>
      </w:pPr>
      <w:r>
        <w:rPr>
          <w:rFonts w:cs="Book Antiqua" w:ascii="Book Antiqua" w:hAnsi="Book Antiqua"/>
          <w:sz w:val="20"/>
        </w:rPr>
        <w:t xml:space="preserve">A contracted Ancillary Service acquired by ERCOT for the benefit of all Loads, provided by Resource capable of starting without support of the ERCOT Transmission Grid. </w:t>
      </w:r>
    </w:p>
    <w:p>
      <w:pPr>
        <w:pStyle w:val="TermTitle"/>
        <w:rPr>
          <w:rFonts w:ascii="Book Antiqua" w:hAnsi="Book Antiqua" w:cs="Book Antiqua"/>
          <w:sz w:val="20"/>
        </w:rPr>
      </w:pPr>
      <w:r>
        <w:rPr>
          <w:rFonts w:cs="Book Antiqua" w:ascii="Book Antiqua" w:hAnsi="Book Antiqua"/>
          <w:sz w:val="20"/>
        </w:rPr>
        <w:t>Black Start Resource</w:t>
      </w:r>
    </w:p>
    <w:p>
      <w:pPr>
        <w:pStyle w:val="TermDefinition"/>
        <w:rPr>
          <w:rFonts w:ascii="Book Antiqua" w:hAnsi="Book Antiqua" w:cs="Book Antiqua"/>
          <w:sz w:val="20"/>
        </w:rPr>
      </w:pPr>
      <w:r>
        <w:rPr>
          <w:rFonts w:cs="Book Antiqua" w:ascii="Book Antiqua" w:hAnsi="Book Antiqua"/>
          <w:sz w:val="20"/>
        </w:rPr>
        <w:t>A single Resource capable of providing Black Start Service.</w:t>
      </w:r>
    </w:p>
    <w:p>
      <w:pPr>
        <w:pStyle w:val="Heading1"/>
        <w:rPr>
          <w:sz w:val="20"/>
        </w:rPr>
      </w:pPr>
      <w:r>
        <w:rPr/>
        <w:t>C</w:t>
      </w:r>
    </w:p>
    <w:p>
      <w:pPr>
        <w:pStyle w:val="TermTitle"/>
        <w:rPr>
          <w:rFonts w:ascii="Book Antiqua" w:hAnsi="Book Antiqua" w:cs="Book Antiqua"/>
          <w:sz w:val="20"/>
        </w:rPr>
      </w:pPr>
      <w:r>
        <w:rPr>
          <w:rFonts w:cs="Book Antiqua" w:ascii="Book Antiqua" w:hAnsi="Book Antiqua"/>
          <w:sz w:val="20"/>
        </w:rPr>
        <w:t>Commercial Model</w:t>
      </w:r>
    </w:p>
    <w:p>
      <w:pPr>
        <w:pStyle w:val="TermDefinition"/>
        <w:rPr>
          <w:rFonts w:ascii="Book Antiqua" w:hAnsi="Book Antiqua" w:cs="Book Antiqua"/>
          <w:sz w:val="20"/>
        </w:rPr>
      </w:pPr>
      <w:r>
        <w:rPr>
          <w:rFonts w:cs="Book Antiqua" w:ascii="Book Antiqua" w:hAnsi="Book Antiqua"/>
          <w:sz w:val="20"/>
        </w:rPr>
        <w:t xml:space="preserve">Transmission model developed by ERCOT that arranges groups of Generation Resource and Load busses into Congestion Zones that have similar impacts on Commercially Significant Constraints. </w:t>
      </w:r>
    </w:p>
    <w:p>
      <w:pPr>
        <w:pStyle w:val="TermTitle"/>
        <w:rPr>
          <w:rFonts w:ascii="Book Antiqua" w:hAnsi="Book Antiqua" w:cs="Book Antiqua"/>
          <w:sz w:val="20"/>
        </w:rPr>
      </w:pPr>
      <w:r>
        <w:rPr>
          <w:rFonts w:cs="Book Antiqua" w:ascii="Book Antiqua" w:hAnsi="Book Antiqua"/>
          <w:sz w:val="20"/>
        </w:rPr>
        <w:t>Commercially Significant Constraint (CSC)</w:t>
      </w:r>
    </w:p>
    <w:p>
      <w:pPr>
        <w:pStyle w:val="TermDefinition"/>
        <w:rPr>
          <w:rFonts w:ascii="Book Antiqua" w:hAnsi="Book Antiqua" w:cs="Book Antiqua"/>
          <w:sz w:val="20"/>
        </w:rPr>
      </w:pPr>
      <w:r>
        <w:rPr>
          <w:rFonts w:cs="Book Antiqua" w:ascii="Book Antiqua" w:hAnsi="Book Antiqua"/>
          <w:sz w:val="20"/>
        </w:rPr>
        <w:t>A constraint in the ERCOT Transmission Grid that is found, through the process described in ERCOT Protocols Section 7, to result in Congestion which limits the free flow of energy within the ERCOT market to a commercially significant degree.</w:t>
      </w:r>
    </w:p>
    <w:p>
      <w:pPr>
        <w:pStyle w:val="TermTitle"/>
        <w:rPr>
          <w:rFonts w:ascii="Book Antiqua" w:hAnsi="Book Antiqua" w:cs="Book Antiqua"/>
          <w:sz w:val="20"/>
        </w:rPr>
      </w:pPr>
      <w:r>
        <w:rPr>
          <w:rFonts w:cs="Book Antiqua" w:ascii="Book Antiqua" w:hAnsi="Book Antiqua"/>
          <w:sz w:val="20"/>
        </w:rPr>
        <w:t>Commercially Significant Constraint (CSC) Limit</w:t>
      </w:r>
    </w:p>
    <w:p>
      <w:pPr>
        <w:pStyle w:val="TermDefinition"/>
        <w:rPr>
          <w:rFonts w:ascii="Book Antiqua" w:hAnsi="Book Antiqua" w:cs="Book Antiqua"/>
          <w:sz w:val="20"/>
        </w:rPr>
      </w:pPr>
      <w:r>
        <w:rPr>
          <w:rFonts w:cs="Book Antiqua" w:ascii="Book Antiqua" w:hAnsi="Book Antiqua"/>
          <w:sz w:val="20"/>
        </w:rPr>
        <w:t>The maximum power flow across a CSC allowed to maintain reliable operation.</w:t>
      </w:r>
    </w:p>
    <w:p>
      <w:pPr>
        <w:pStyle w:val="TermTitle"/>
        <w:rPr>
          <w:rFonts w:ascii="Book Antiqua" w:hAnsi="Book Antiqua" w:cs="Book Antiqua"/>
          <w:sz w:val="20"/>
        </w:rPr>
      </w:pPr>
      <w:r>
        <w:rPr>
          <w:rFonts w:cs="Book Antiqua" w:ascii="Book Antiqua" w:hAnsi="Book Antiqua"/>
          <w:sz w:val="20"/>
        </w:rPr>
        <w:t>Competitive Retailer (CR)</w:t>
      </w:r>
    </w:p>
    <w:p>
      <w:pPr>
        <w:pStyle w:val="TermDefinition"/>
        <w:rPr>
          <w:rFonts w:ascii="Book Antiqua" w:hAnsi="Book Antiqua" w:cs="Book Antiqua"/>
          <w:sz w:val="20"/>
        </w:rPr>
      </w:pPr>
      <w:r>
        <w:rPr>
          <w:rFonts w:cs="Book Antiqua" w:ascii="Book Antiqua" w:hAnsi="Book Antiqua"/>
          <w:sz w:val="20"/>
        </w:rPr>
        <w:t>Municipally Owned Utility or an Electric Cooperative that offers Customer Choice and sells electric energy at retail in the restructured electric power market in Texas; or a Retail Electric Provider (REP) as defined in 25.5 of the PUCT Substantive rules.</w:t>
      </w:r>
      <w:r>
        <w:br w:type="page"/>
      </w:r>
    </w:p>
    <w:p>
      <w:pPr>
        <w:pStyle w:val="Normal"/>
        <w:rPr>
          <w:rFonts w:ascii="Book Antiqua" w:hAnsi="Book Antiqua" w:cs="Book Antiqua"/>
          <w:vanish/>
          <w:sz w:val="20"/>
        </w:rPr>
      </w:pPr>
      <w:r>
        <w:rPr>
          <w:rFonts w:cs="Book Antiqua"/>
          <w:vanish/>
          <w:sz w:val="20"/>
        </w:rPr>
      </w:r>
    </w:p>
    <w:p>
      <w:pPr>
        <w:pStyle w:val="TermTitle"/>
        <w:rPr>
          <w:rFonts w:ascii="Book Antiqua" w:hAnsi="Book Antiqua" w:cs="Book Antiqua"/>
          <w:sz w:val="20"/>
        </w:rPr>
      </w:pPr>
      <w:r>
        <w:rPr>
          <w:rFonts w:cs="Book Antiqua" w:ascii="Book Antiqua" w:hAnsi="Book Antiqua"/>
          <w:sz w:val="20"/>
        </w:rPr>
        <w:t>Congestion</w:t>
      </w:r>
    </w:p>
    <w:p>
      <w:pPr>
        <w:pStyle w:val="TermDefinition"/>
        <w:rPr>
          <w:rFonts w:ascii="Book Antiqua" w:hAnsi="Book Antiqua" w:cs="Book Antiqua"/>
          <w:sz w:val="20"/>
        </w:rPr>
      </w:pPr>
      <w:r>
        <w:rPr>
          <w:rFonts w:cs="Book Antiqua" w:ascii="Book Antiqua" w:hAnsi="Book Antiqua"/>
          <w:sz w:val="20"/>
        </w:rPr>
        <w:t xml:space="preserve">The situation that exists when requests for power transfers across a Transmission Facility element or set of elements, when netted, exceed the transfer capability of such elements. </w:t>
      </w:r>
    </w:p>
    <w:p>
      <w:pPr>
        <w:pStyle w:val="TermTitle"/>
        <w:rPr>
          <w:rFonts w:ascii="Book Antiqua" w:hAnsi="Book Antiqua" w:cs="Book Antiqua"/>
          <w:sz w:val="20"/>
        </w:rPr>
      </w:pPr>
      <w:r>
        <w:rPr>
          <w:rFonts w:cs="Book Antiqua" w:ascii="Book Antiqua" w:hAnsi="Book Antiqua"/>
          <w:sz w:val="20"/>
        </w:rPr>
        <w:t>Congestion Zone</w:t>
      </w:r>
    </w:p>
    <w:p>
      <w:pPr>
        <w:pStyle w:val="TermDefinition"/>
        <w:rPr>
          <w:rFonts w:ascii="Book Antiqua" w:hAnsi="Book Antiqua" w:cs="Book Antiqua"/>
          <w:sz w:val="20"/>
        </w:rPr>
      </w:pPr>
      <w:r>
        <w:rPr>
          <w:rFonts w:cs="Book Antiqua" w:ascii="Book Antiqua" w:hAnsi="Book Antiqua"/>
          <w:sz w:val="20"/>
        </w:rPr>
        <w:t xml:space="preserve">A grouping of busses that create a similar Shift Factor on CSCs. </w:t>
      </w:r>
    </w:p>
    <w:p>
      <w:pPr>
        <w:pStyle w:val="TermTitle"/>
        <w:rPr>
          <w:rFonts w:ascii="Book Antiqua" w:hAnsi="Book Antiqua" w:cs="Book Antiqua"/>
          <w:sz w:val="20"/>
        </w:rPr>
      </w:pPr>
      <w:r>
        <w:rPr>
          <w:rFonts w:cs="Book Antiqua" w:ascii="Book Antiqua" w:hAnsi="Book Antiqua"/>
          <w:sz w:val="20"/>
        </w:rPr>
        <w:t xml:space="preserve">Control Area </w:t>
      </w:r>
    </w:p>
    <w:p>
      <w:pPr>
        <w:pStyle w:val="TermDefinition"/>
        <w:rPr>
          <w:rFonts w:ascii="Book Antiqua" w:hAnsi="Book Antiqua" w:cs="Book Antiqua"/>
          <w:sz w:val="20"/>
        </w:rPr>
      </w:pPr>
      <w:r>
        <w:rPr>
          <w:rFonts w:cs="Book Antiqua" w:ascii="Book Antiqua" w:hAnsi="Book Antiqua"/>
          <w:sz w:val="20"/>
        </w:rPr>
        <w:t>An electrical system, bound by interconnect (tie line) metering and telemetry, which continuously regulates, through automatic generation control, its generation and interchange schedules to match its system Load, regulates frequency, and meets all applicable Control Area requirements.</w:t>
      </w:r>
    </w:p>
    <w:p>
      <w:pPr>
        <w:pStyle w:val="TermTitle"/>
        <w:rPr>
          <w:rFonts w:ascii="Book Antiqua" w:hAnsi="Book Antiqua" w:cs="Book Antiqua"/>
          <w:sz w:val="20"/>
        </w:rPr>
      </w:pPr>
      <w:r>
        <w:rPr>
          <w:rFonts w:cs="Book Antiqua" w:ascii="Book Antiqua" w:hAnsi="Book Antiqua"/>
          <w:sz w:val="20"/>
        </w:rPr>
        <w:t>Control Area Operator</w:t>
      </w:r>
    </w:p>
    <w:p>
      <w:pPr>
        <w:pStyle w:val="TermDefinition"/>
        <w:rPr>
          <w:rFonts w:ascii="Book Antiqua" w:hAnsi="Book Antiqua" w:cs="Book Antiqua"/>
          <w:sz w:val="20"/>
        </w:rPr>
      </w:pPr>
      <w:r>
        <w:rPr>
          <w:rFonts w:cs="Book Antiqua" w:ascii="Book Antiqua" w:hAnsi="Book Antiqua"/>
          <w:sz w:val="20"/>
        </w:rPr>
        <w:t>An individual or set of individuals responsible for monitoring and control operation of the Control Area.</w:t>
      </w:r>
    </w:p>
    <w:p>
      <w:pPr>
        <w:pStyle w:val="TermTitle"/>
        <w:rPr>
          <w:rFonts w:ascii="Book Antiqua" w:hAnsi="Book Antiqua" w:cs="Book Antiqua"/>
          <w:sz w:val="20"/>
        </w:rPr>
      </w:pPr>
      <w:r>
        <w:rPr>
          <w:rFonts w:cs="Book Antiqua" w:ascii="Book Antiqua" w:hAnsi="Book Antiqua"/>
          <w:sz w:val="20"/>
        </w:rPr>
        <w:t>Customer</w:t>
      </w:r>
    </w:p>
    <w:p>
      <w:pPr>
        <w:pStyle w:val="TermDefinition"/>
        <w:rPr>
          <w:rFonts w:ascii="Book Antiqua" w:hAnsi="Book Antiqua" w:cs="Book Antiqua"/>
          <w:sz w:val="20"/>
        </w:rPr>
      </w:pPr>
      <w:r>
        <w:rPr>
          <w:rFonts w:cs="Book Antiqua" w:ascii="Book Antiqua" w:hAnsi="Book Antiqua"/>
          <w:sz w:val="20"/>
        </w:rPr>
        <w:t>An Entity that purchases electricity for its own consumption.</w:t>
      </w:r>
    </w:p>
    <w:p>
      <w:pPr>
        <w:pStyle w:val="TermTitle"/>
        <w:rPr>
          <w:rFonts w:ascii="Book Antiqua" w:hAnsi="Book Antiqua" w:cs="Book Antiqua"/>
          <w:sz w:val="20"/>
        </w:rPr>
      </w:pPr>
      <w:r>
        <w:rPr>
          <w:rFonts w:cs="Book Antiqua" w:ascii="Book Antiqua" w:hAnsi="Book Antiqua"/>
          <w:sz w:val="20"/>
        </w:rPr>
        <w:t>Customer Choice</w:t>
      </w:r>
    </w:p>
    <w:p>
      <w:pPr>
        <w:pStyle w:val="TermDefinition"/>
        <w:rPr>
          <w:rFonts w:ascii="Book Antiqua" w:hAnsi="Book Antiqua" w:cs="Book Antiqua"/>
          <w:sz w:val="20"/>
        </w:rPr>
      </w:pPr>
      <w:r>
        <w:rPr>
          <w:rFonts w:cs="Book Antiqua" w:ascii="Book Antiqua" w:hAnsi="Book Antiqua"/>
          <w:sz w:val="20"/>
        </w:rPr>
        <w:t>The freedom of a retail Customer to purchase electric services, either individually or on an aggregated basis with other retail Customers, from the provider or providers of the Customer’s choice and to choose among various fuel types, energy efficiency programs, and renewable power suppliers.</w:t>
      </w:r>
    </w:p>
    <w:p>
      <w:pPr>
        <w:pStyle w:val="TermTitle"/>
        <w:rPr>
          <w:rFonts w:ascii="Book Antiqua" w:hAnsi="Book Antiqua" w:cs="Book Antiqua"/>
          <w:sz w:val="20"/>
        </w:rPr>
      </w:pPr>
      <w:r>
        <w:rPr>
          <w:rFonts w:cs="Book Antiqua" w:ascii="Book Antiqua" w:hAnsi="Book Antiqua"/>
          <w:sz w:val="20"/>
        </w:rPr>
        <w:t>Customer Choice Pilot</w:t>
      </w:r>
    </w:p>
    <w:p>
      <w:pPr>
        <w:pStyle w:val="TermDefinition"/>
        <w:rPr>
          <w:rFonts w:ascii="Book Antiqua" w:hAnsi="Book Antiqua" w:cs="Book Antiqua"/>
          <w:sz w:val="20"/>
        </w:rPr>
      </w:pPr>
      <w:r>
        <w:rPr>
          <w:rFonts w:cs="Book Antiqua" w:ascii="Book Antiqua" w:hAnsi="Book Antiqua"/>
          <w:sz w:val="20"/>
        </w:rPr>
        <w:t>A project used to allow the PUCT to evaluate the implementation of Customer Choice as provided in PURA 39.104.</w:t>
      </w:r>
    </w:p>
    <w:p>
      <w:pPr>
        <w:pStyle w:val="TermTitle"/>
        <w:rPr>
          <w:rFonts w:ascii="Book Antiqua" w:hAnsi="Book Antiqua" w:cs="Book Antiqua"/>
          <w:sz w:val="20"/>
        </w:rPr>
      </w:pPr>
      <w:r>
        <w:rPr>
          <w:rFonts w:cs="Book Antiqua" w:ascii="Book Antiqua" w:hAnsi="Book Antiqua"/>
          <w:sz w:val="20"/>
        </w:rPr>
        <w:t>Customer Premise</w:t>
      </w:r>
    </w:p>
    <w:p>
      <w:pPr>
        <w:pStyle w:val="TermDefinition"/>
        <w:rPr/>
      </w:pPr>
      <w:r>
        <w:rPr>
          <w:rFonts w:cs="Book Antiqua" w:ascii="Book Antiqua" w:hAnsi="Book Antiqua"/>
          <w:b/>
          <w:i/>
          <w:sz w:val="20"/>
        </w:rPr>
        <w:t>See</w:t>
      </w:r>
      <w:r>
        <w:rPr>
          <w:rFonts w:cs="Book Antiqua" w:ascii="Book Antiqua" w:hAnsi="Book Antiqua"/>
          <w:sz w:val="20"/>
        </w:rPr>
        <w:t xml:space="preserve"> </w:t>
      </w:r>
      <w:r>
        <w:rPr>
          <w:rFonts w:cs="Book Antiqua" w:ascii="Book Antiqua" w:hAnsi="Book Antiqua"/>
          <w:b/>
          <w:sz w:val="20"/>
        </w:rPr>
        <w:t>Premise</w:t>
      </w:r>
      <w:r>
        <w:rPr>
          <w:rFonts w:cs="Book Antiqua" w:ascii="Book Antiqua" w:hAnsi="Book Antiqua"/>
          <w:sz w:val="20"/>
        </w:rPr>
        <w:t>.</w:t>
      </w:r>
    </w:p>
    <w:p>
      <w:pPr>
        <w:pStyle w:val="TermTitle"/>
        <w:rPr>
          <w:rFonts w:ascii="Book Antiqua" w:hAnsi="Book Antiqua" w:cs="Book Antiqua"/>
          <w:sz w:val="20"/>
        </w:rPr>
      </w:pPr>
      <w:r>
        <w:rPr>
          <w:rFonts w:cs="Book Antiqua" w:ascii="Book Antiqua" w:hAnsi="Book Antiqua"/>
          <w:sz w:val="20"/>
        </w:rPr>
        <w:t>Customer Registration Database</w:t>
      </w:r>
    </w:p>
    <w:p>
      <w:pPr>
        <w:pStyle w:val="12termdef"/>
        <w:rPr>
          <w:rFonts w:ascii="Book Antiqua" w:hAnsi="Book Antiqua" w:cs="Book Antiqua"/>
          <w:sz w:val="20"/>
        </w:rPr>
      </w:pPr>
      <w:r>
        <w:rPr>
          <w:rFonts w:cs="Book Antiqua" w:ascii="Book Antiqua" w:hAnsi="Book Antiqua"/>
          <w:sz w:val="20"/>
        </w:rPr>
        <w:t>The database maintained by the Registration Agent containing information identifying each Premise, including current and previous Competitive Retailers serving the Premise.</w:t>
      </w:r>
    </w:p>
    <w:p>
      <w:pPr>
        <w:pStyle w:val="Heading1"/>
        <w:rPr>
          <w:sz w:val="20"/>
        </w:rPr>
      </w:pPr>
      <w:r>
        <w:rPr/>
        <w:t>D</w:t>
      </w:r>
    </w:p>
    <w:p>
      <w:pPr>
        <w:pStyle w:val="TermTitle"/>
        <w:rPr>
          <w:rFonts w:ascii="Book Antiqua" w:hAnsi="Book Antiqua" w:cs="Book Antiqua"/>
          <w:sz w:val="20"/>
        </w:rPr>
      </w:pPr>
      <w:r>
        <w:rPr>
          <w:rFonts w:cs="Book Antiqua" w:ascii="Book Antiqua" w:hAnsi="Book Antiqua"/>
          <w:sz w:val="20"/>
        </w:rPr>
        <w:t xml:space="preserve">Data Aggregation </w:t>
      </w:r>
    </w:p>
    <w:p>
      <w:pPr>
        <w:pStyle w:val="TermDefinition"/>
        <w:rPr>
          <w:rFonts w:ascii="Book Antiqua" w:hAnsi="Book Antiqua" w:cs="Book Antiqua"/>
          <w:sz w:val="20"/>
        </w:rPr>
      </w:pPr>
      <w:r>
        <w:rPr>
          <w:rFonts w:cs="Book Antiqua" w:ascii="Book Antiqua" w:hAnsi="Book Antiqua"/>
          <w:sz w:val="20"/>
        </w:rPr>
        <w:t>The process of netting, grouping and summing Load consumption data, applying appropriate profiles, Transmission Loss Factors, and Distribution Loss Factors and calculating and allocating UFE to determine each QSE and/or Load Serving Entities responsibility by Settlement Interval by Congestion Zone and by other prescribed aggregation determinants.</w:t>
      </w:r>
    </w:p>
    <w:p>
      <w:pPr>
        <w:pStyle w:val="TermTitle"/>
        <w:rPr>
          <w:rFonts w:ascii="Book Antiqua" w:hAnsi="Book Antiqua" w:cs="Book Antiqua"/>
          <w:sz w:val="20"/>
        </w:rPr>
      </w:pPr>
      <w:r>
        <w:rPr>
          <w:rFonts w:cs="Book Antiqua" w:ascii="Book Antiqua" w:hAnsi="Book Antiqua"/>
          <w:sz w:val="20"/>
        </w:rPr>
        <w:t>Data Aggregation System</w:t>
      </w:r>
    </w:p>
    <w:p>
      <w:pPr>
        <w:pStyle w:val="TermDefinition"/>
        <w:rPr>
          <w:rFonts w:ascii="Book Antiqua" w:hAnsi="Book Antiqua" w:cs="Book Antiqua"/>
          <w:sz w:val="20"/>
        </w:rPr>
      </w:pPr>
      <w:r>
        <w:rPr>
          <w:rFonts w:cs="Book Antiqua" w:ascii="Book Antiqua" w:hAnsi="Book Antiqua"/>
          <w:sz w:val="20"/>
        </w:rPr>
        <w:t>The database and communication system that will collect meter data from TDSPs and directly polled meters in ERCOT. The system will perform aggregation functions to the Load data in order to satisfy certain objectives such as providing TDSPs with Load share data to use in billing Competitive Retailers, assigning QSE Load responsibility, and assisting Competitive Retailers and QSEs in their settlement responsibilities. The data will also be compiled along Congestion and weather zones.</w:t>
      </w:r>
    </w:p>
    <w:p>
      <w:pPr>
        <w:pStyle w:val="TermTitle"/>
        <w:rPr>
          <w:rFonts w:ascii="Book Antiqua" w:hAnsi="Book Antiqua" w:cs="Book Antiqua"/>
          <w:sz w:val="20"/>
        </w:rPr>
      </w:pPr>
      <w:r>
        <w:rPr>
          <w:rFonts w:cs="Book Antiqua" w:ascii="Book Antiqua" w:hAnsi="Book Antiqua"/>
          <w:sz w:val="20"/>
        </w:rPr>
        <w:t>Data Archive</w:t>
      </w:r>
    </w:p>
    <w:p>
      <w:pPr>
        <w:pStyle w:val="TermDefinition"/>
        <w:rPr>
          <w:rFonts w:ascii="Book Antiqua" w:hAnsi="Book Antiqua" w:cs="Book Antiqua"/>
          <w:sz w:val="20"/>
        </w:rPr>
      </w:pPr>
      <w:r>
        <w:rPr>
          <w:rFonts w:cs="Book Antiqua" w:ascii="Book Antiqua" w:hAnsi="Book Antiqua"/>
          <w:sz w:val="20"/>
        </w:rPr>
        <w:t xml:space="preserve">An integrated normalized data structure of all the target source systems' transactions.  The population of the data archive will be an extraction of data from the transaction systems without transforming the data. The Data Archive will be used to populate the Data Warehouse.  </w:t>
      </w:r>
    </w:p>
    <w:p>
      <w:pPr>
        <w:pStyle w:val="TermTitle"/>
        <w:rPr>
          <w:rFonts w:ascii="Book Antiqua" w:hAnsi="Book Antiqua" w:cs="Book Antiqua"/>
          <w:sz w:val="20"/>
        </w:rPr>
      </w:pPr>
      <w:r>
        <w:rPr>
          <w:rFonts w:cs="Book Antiqua" w:ascii="Book Antiqua" w:hAnsi="Book Antiqua"/>
          <w:sz w:val="20"/>
        </w:rPr>
        <w:t>Data Warehouse</w:t>
      </w:r>
    </w:p>
    <w:p>
      <w:pPr>
        <w:pStyle w:val="TermDefinition"/>
        <w:rPr>
          <w:rFonts w:ascii="Book Antiqua" w:hAnsi="Book Antiqua" w:cs="Book Antiqua"/>
          <w:sz w:val="20"/>
        </w:rPr>
      </w:pPr>
      <w:r>
        <w:rPr>
          <w:rFonts w:cs="Book Antiqua" w:ascii="Book Antiqua" w:hAnsi="Book Antiqua"/>
          <w:sz w:val="20"/>
        </w:rPr>
        <w:t xml:space="preserve">De-normalized data stored in a schema, physically optimized to handle high volumes of data and concurrent user access, and is generally lightly indexed.  </w:t>
      </w:r>
    </w:p>
    <w:p>
      <w:pPr>
        <w:pStyle w:val="TermTitle"/>
        <w:rPr>
          <w:rFonts w:ascii="Book Antiqua" w:hAnsi="Book Antiqua" w:cs="Book Antiqua"/>
          <w:sz w:val="20"/>
        </w:rPr>
      </w:pPr>
      <w:r>
        <w:rPr>
          <w:rFonts w:cs="Book Antiqua" w:ascii="Book Antiqua" w:hAnsi="Book Antiqua"/>
          <w:sz w:val="20"/>
        </w:rPr>
        <w:t>Day Ahead</w:t>
      </w:r>
    </w:p>
    <w:p>
      <w:pPr>
        <w:pStyle w:val="TermDefinition"/>
        <w:rPr>
          <w:rFonts w:ascii="Book Antiqua" w:hAnsi="Book Antiqua" w:cs="Book Antiqua"/>
          <w:sz w:val="20"/>
        </w:rPr>
      </w:pPr>
      <w:r>
        <w:rPr>
          <w:rFonts w:cs="Book Antiqua" w:ascii="Book Antiqua" w:hAnsi="Book Antiqua"/>
          <w:sz w:val="20"/>
        </w:rPr>
        <w:t>The twenty-four hour period prior to the beginning of the Operating Day.</w:t>
      </w:r>
    </w:p>
    <w:p>
      <w:pPr>
        <w:pStyle w:val="TermTitle"/>
        <w:rPr>
          <w:rFonts w:ascii="Book Antiqua" w:hAnsi="Book Antiqua" w:cs="Book Antiqua"/>
          <w:sz w:val="20"/>
        </w:rPr>
      </w:pPr>
      <w:r>
        <w:rPr>
          <w:rFonts w:cs="Book Antiqua" w:ascii="Book Antiqua" w:hAnsi="Book Antiqua"/>
          <w:sz w:val="20"/>
        </w:rPr>
        <w:t>Delivery Plan</w:t>
      </w:r>
    </w:p>
    <w:p>
      <w:pPr>
        <w:pStyle w:val="TermDefinition"/>
        <w:rPr>
          <w:rFonts w:ascii="Book Antiqua" w:hAnsi="Book Antiqua" w:cs="Book Antiqua"/>
          <w:sz w:val="20"/>
        </w:rPr>
      </w:pPr>
      <w:r>
        <w:rPr>
          <w:rFonts w:cs="Book Antiqua" w:ascii="Book Antiqua" w:hAnsi="Book Antiqua"/>
          <w:sz w:val="20"/>
        </w:rPr>
        <w:t>A plan by ERCOT containing the hours and levels of operation that an RMR Unit, including Synchronous Condenser Unit, is instructed to operate.</w:t>
      </w:r>
    </w:p>
    <w:p>
      <w:pPr>
        <w:pStyle w:val="TermTitle"/>
        <w:rPr>
          <w:rFonts w:ascii="Book Antiqua" w:hAnsi="Book Antiqua" w:cs="Book Antiqua"/>
          <w:sz w:val="20"/>
        </w:rPr>
      </w:pPr>
      <w:r>
        <w:rPr>
          <w:rFonts w:cs="Book Antiqua" w:ascii="Book Antiqua" w:hAnsi="Book Antiqua"/>
          <w:sz w:val="20"/>
        </w:rPr>
        <w:t>Demand</w:t>
      </w:r>
    </w:p>
    <w:p>
      <w:pPr>
        <w:pStyle w:val="TermDefinition"/>
        <w:rPr>
          <w:rFonts w:ascii="Book Antiqua" w:hAnsi="Book Antiqua" w:cs="Book Antiqua"/>
          <w:sz w:val="20"/>
        </w:rPr>
      </w:pPr>
      <w:r>
        <w:rPr>
          <w:rFonts w:cs="Book Antiqua" w:ascii="Book Antiqua" w:hAnsi="Book Antiqua"/>
          <w:sz w:val="20"/>
        </w:rPr>
        <w:t>Instantaneous or integrated power consumption.</w:t>
      </w:r>
    </w:p>
    <w:p>
      <w:pPr>
        <w:pStyle w:val="TermTitle"/>
        <w:rPr>
          <w:rFonts w:ascii="Book Antiqua" w:hAnsi="Book Antiqua" w:cs="Book Antiqua"/>
          <w:sz w:val="20"/>
          <w:lang w:val="fr-CA"/>
        </w:rPr>
      </w:pPr>
      <w:r>
        <w:rPr>
          <w:rFonts w:cs="Book Antiqua" w:ascii="Book Antiqua" w:hAnsi="Book Antiqua"/>
          <w:sz w:val="20"/>
          <w:lang w:val="fr-CA"/>
        </w:rPr>
        <w:t>Direct Current Tie, DC Tie</w:t>
      </w:r>
    </w:p>
    <w:p>
      <w:pPr>
        <w:pStyle w:val="TermDefinition"/>
        <w:rPr>
          <w:rFonts w:ascii="Book Antiqua" w:hAnsi="Book Antiqua" w:cs="Book Antiqua"/>
          <w:sz w:val="20"/>
        </w:rPr>
      </w:pPr>
      <w:r>
        <w:rPr>
          <w:rFonts w:cs="Book Antiqua" w:ascii="Book Antiqua" w:hAnsi="Book Antiqua"/>
          <w:sz w:val="20"/>
        </w:rPr>
        <w:t>Any non-synchronous transmission interconnections between ERCOT and non-ERCOT electric power systems.</w:t>
      </w:r>
    </w:p>
    <w:p>
      <w:pPr>
        <w:pStyle w:val="TermTitle"/>
        <w:rPr>
          <w:rFonts w:ascii="Book Antiqua" w:hAnsi="Book Antiqua" w:cs="Book Antiqua"/>
          <w:sz w:val="20"/>
        </w:rPr>
      </w:pPr>
      <w:r>
        <w:rPr>
          <w:rFonts w:cs="Book Antiqua" w:ascii="Book Antiqua" w:hAnsi="Book Antiqua"/>
          <w:sz w:val="20"/>
        </w:rPr>
        <w:t>Direct Load Control</w:t>
      </w:r>
    </w:p>
    <w:p>
      <w:pPr>
        <w:pStyle w:val="TermDefinition"/>
        <w:rPr>
          <w:rFonts w:ascii="Book Antiqua" w:hAnsi="Book Antiqua" w:cs="Book Antiqua"/>
          <w:sz w:val="20"/>
        </w:rPr>
      </w:pPr>
      <w:r>
        <w:rPr>
          <w:rFonts w:cs="Book Antiqua" w:ascii="Book Antiqua" w:hAnsi="Book Antiqua"/>
          <w:sz w:val="20"/>
        </w:rPr>
        <w:t xml:space="preserve">Controlling select end-use equipment (e.g. A/C, water heaters) for purposes of reducing energy consumption during select periods.  </w:t>
      </w:r>
    </w:p>
    <w:p>
      <w:pPr>
        <w:pStyle w:val="TermTitle"/>
        <w:rPr>
          <w:rFonts w:ascii="Book Antiqua" w:hAnsi="Book Antiqua" w:cs="Book Antiqua"/>
          <w:sz w:val="20"/>
        </w:rPr>
      </w:pPr>
      <w:r>
        <w:rPr>
          <w:rFonts w:cs="Book Antiqua" w:ascii="Book Antiqua" w:hAnsi="Book Antiqua"/>
          <w:sz w:val="20"/>
        </w:rPr>
        <w:t>Dispatch</w:t>
      </w:r>
    </w:p>
    <w:p>
      <w:pPr>
        <w:pStyle w:val="TermDefinition"/>
        <w:rPr>
          <w:rFonts w:ascii="Book Antiqua" w:hAnsi="Book Antiqua" w:cs="Book Antiqua"/>
          <w:sz w:val="20"/>
        </w:rPr>
      </w:pPr>
      <w:r>
        <w:rPr>
          <w:rFonts w:cs="Book Antiqua" w:ascii="Book Antiqua" w:hAnsi="Book Antiqua"/>
          <w:sz w:val="20"/>
        </w:rPr>
        <w:t>The act of issuing Dispatch Instructions.</w:t>
      </w:r>
    </w:p>
    <w:p>
      <w:pPr>
        <w:pStyle w:val="TermTitle"/>
        <w:rPr>
          <w:rFonts w:ascii="Book Antiqua" w:hAnsi="Book Antiqua" w:cs="Book Antiqua"/>
          <w:sz w:val="20"/>
        </w:rPr>
      </w:pPr>
      <w:r>
        <w:rPr>
          <w:rFonts w:cs="Book Antiqua" w:ascii="Book Antiqua" w:hAnsi="Book Antiqua"/>
          <w:sz w:val="20"/>
        </w:rPr>
        <w:t>Dispatch Instruction(s)</w:t>
      </w:r>
    </w:p>
    <w:p>
      <w:pPr>
        <w:pStyle w:val="TermDefinition"/>
        <w:rPr>
          <w:rFonts w:ascii="Book Antiqua" w:hAnsi="Book Antiqua" w:cs="Book Antiqua"/>
          <w:sz w:val="20"/>
        </w:rPr>
      </w:pPr>
      <w:r>
        <w:rPr>
          <w:rFonts w:cs="Book Antiqua" w:ascii="Book Antiqua" w:hAnsi="Book Antiqua"/>
          <w:sz w:val="20"/>
        </w:rPr>
        <w:t>Specific command(s) issued by ERCOT to QSEs or TDSPs during the course of operating the ERCOT System.</w:t>
      </w:r>
      <w:r>
        <w:br w:type="page"/>
      </w:r>
    </w:p>
    <w:p>
      <w:pPr>
        <w:pStyle w:val="TermTitle"/>
        <w:rPr>
          <w:rFonts w:ascii="Book Antiqua" w:hAnsi="Book Antiqua" w:cs="Book Antiqua"/>
          <w:sz w:val="20"/>
        </w:rPr>
      </w:pPr>
      <w:r>
        <w:rPr>
          <w:rFonts w:cs="Book Antiqua" w:ascii="Book Antiqua" w:hAnsi="Book Antiqua"/>
          <w:sz w:val="20"/>
        </w:rPr>
        <w:t>Distribution Losses</w:t>
      </w:r>
    </w:p>
    <w:p>
      <w:pPr>
        <w:pStyle w:val="TermDefinition"/>
        <w:rPr>
          <w:rFonts w:ascii="Book Antiqua" w:hAnsi="Book Antiqua" w:cs="Book Antiqua"/>
          <w:sz w:val="20"/>
        </w:rPr>
      </w:pPr>
      <w:r>
        <w:rPr>
          <w:rFonts w:cs="Book Antiqua" w:ascii="Book Antiqua" w:hAnsi="Book Antiqua"/>
          <w:sz w:val="20"/>
        </w:rPr>
        <w:t xml:space="preserve">The difference between the energy delivered to the Distribution System and the energy consumed by Loads connected to the Distribution System. </w:t>
      </w:r>
    </w:p>
    <w:p>
      <w:pPr>
        <w:pStyle w:val="TermTitle"/>
        <w:rPr>
          <w:rFonts w:ascii="Book Antiqua" w:hAnsi="Book Antiqua" w:cs="Book Antiqua"/>
          <w:sz w:val="20"/>
        </w:rPr>
      </w:pPr>
      <w:r>
        <w:rPr>
          <w:rFonts w:cs="Book Antiqua" w:ascii="Book Antiqua" w:hAnsi="Book Antiqua"/>
          <w:sz w:val="20"/>
        </w:rPr>
        <w:t>Distribution Loss Factor</w:t>
      </w:r>
    </w:p>
    <w:p>
      <w:pPr>
        <w:pStyle w:val="TermDefinition"/>
        <w:rPr>
          <w:rFonts w:ascii="Book Antiqua" w:hAnsi="Book Antiqua" w:cs="Book Antiqua"/>
          <w:sz w:val="20"/>
        </w:rPr>
      </w:pPr>
      <w:r>
        <w:rPr>
          <w:rFonts w:cs="Book Antiqua" w:ascii="Book Antiqua" w:hAnsi="Book Antiqua"/>
          <w:sz w:val="20"/>
        </w:rPr>
        <w:t xml:space="preserve">The ratio of the Distribution Service Provider’s estimated Distribution Losses to the total amount of energy deemed consumed (IDR plus profiled consumption) on the Distribution Service Provider’s system. </w:t>
      </w:r>
    </w:p>
    <w:p>
      <w:pPr>
        <w:pStyle w:val="TermTitle"/>
        <w:rPr>
          <w:rFonts w:ascii="Book Antiqua" w:hAnsi="Book Antiqua" w:cs="Book Antiqua"/>
          <w:sz w:val="20"/>
        </w:rPr>
      </w:pPr>
      <w:r>
        <w:rPr>
          <w:rFonts w:cs="Book Antiqua" w:ascii="Book Antiqua" w:hAnsi="Book Antiqua"/>
          <w:sz w:val="20"/>
        </w:rPr>
        <w:t>Distribution Service Provider</w:t>
      </w:r>
    </w:p>
    <w:p>
      <w:pPr>
        <w:pStyle w:val="TermDefinition"/>
        <w:rPr>
          <w:rFonts w:ascii="Book Antiqua" w:hAnsi="Book Antiqua" w:cs="Book Antiqua"/>
          <w:sz w:val="20"/>
        </w:rPr>
      </w:pPr>
      <w:r>
        <w:rPr>
          <w:rFonts w:cs="Book Antiqua" w:ascii="Book Antiqua" w:hAnsi="Book Antiqua"/>
          <w:sz w:val="20"/>
        </w:rPr>
        <w:t>An Entity that owns and maintains a Distribution System for the delivery of energy from the ERCOT Transmission Grid to the Customer.</w:t>
      </w:r>
    </w:p>
    <w:p>
      <w:pPr>
        <w:pStyle w:val="TermTitle"/>
        <w:rPr>
          <w:rFonts w:ascii="Book Antiqua" w:hAnsi="Book Antiqua" w:cs="Book Antiqua"/>
          <w:sz w:val="20"/>
        </w:rPr>
      </w:pPr>
      <w:r>
        <w:rPr>
          <w:rFonts w:cs="Book Antiqua" w:ascii="Book Antiqua" w:hAnsi="Book Antiqua"/>
          <w:sz w:val="20"/>
        </w:rPr>
        <w:t>Distribution System</w:t>
      </w:r>
    </w:p>
    <w:p>
      <w:pPr>
        <w:pStyle w:val="TermDefinition"/>
        <w:rPr>
          <w:rFonts w:ascii="Book Antiqua" w:hAnsi="Book Antiqua" w:cs="Book Antiqua"/>
          <w:sz w:val="20"/>
        </w:rPr>
      </w:pPr>
      <w:r>
        <w:rPr>
          <w:rFonts w:cs="Book Antiqua" w:ascii="Book Antiqua" w:hAnsi="Book Antiqua"/>
          <w:sz w:val="20"/>
        </w:rPr>
        <w:t>That portion of an electric delivery system operating at under 60 kilovolts (kV) that provides electric service to Customers or Wholesale Customers.</w:t>
      </w:r>
    </w:p>
    <w:p>
      <w:pPr>
        <w:pStyle w:val="Heading1"/>
        <w:rPr>
          <w:sz w:val="20"/>
        </w:rPr>
      </w:pPr>
      <w:r>
        <w:rPr/>
        <w:t>E</w:t>
      </w:r>
    </w:p>
    <w:p>
      <w:pPr>
        <w:pStyle w:val="TermTitle"/>
        <w:rPr>
          <w:rFonts w:ascii="Book Antiqua" w:hAnsi="Book Antiqua" w:cs="Book Antiqua"/>
          <w:sz w:val="20"/>
        </w:rPr>
      </w:pPr>
      <w:r>
        <w:rPr>
          <w:rFonts w:cs="Book Antiqua" w:ascii="Book Antiqua" w:hAnsi="Book Antiqua"/>
          <w:sz w:val="20"/>
        </w:rPr>
        <w:t>Electric Cooperative</w:t>
      </w:r>
    </w:p>
    <w:p>
      <w:pPr>
        <w:pStyle w:val="TermDefinition"/>
        <w:numPr>
          <w:ilvl w:val="0"/>
          <w:numId w:val="60"/>
        </w:numPr>
        <w:rPr>
          <w:rFonts w:ascii="Book Antiqua" w:hAnsi="Book Antiqua" w:cs="Book Antiqua"/>
          <w:sz w:val="20"/>
        </w:rPr>
      </w:pPr>
      <w:r>
        <w:rPr>
          <w:rFonts w:cs="Book Antiqua" w:ascii="Book Antiqua" w:hAnsi="Book Antiqua"/>
          <w:sz w:val="20"/>
        </w:rPr>
        <w:t>A corporation organized under Chapter 161, Texas Utilities Code, or a predecessor statute to Chapter 161 and operating under that chapter;</w:t>
      </w:r>
    </w:p>
    <w:p>
      <w:pPr>
        <w:pStyle w:val="TermDefinition"/>
        <w:numPr>
          <w:ilvl w:val="0"/>
          <w:numId w:val="60"/>
        </w:numPr>
        <w:rPr>
          <w:rFonts w:ascii="Book Antiqua" w:hAnsi="Book Antiqua" w:cs="Book Antiqua"/>
          <w:sz w:val="20"/>
        </w:rPr>
      </w:pPr>
      <w:r>
        <w:rPr>
          <w:rFonts w:cs="Book Antiqua" w:ascii="Book Antiqua" w:hAnsi="Book Antiqua"/>
          <w:sz w:val="20"/>
        </w:rPr>
        <w:t xml:space="preserve">A corporation organized as an electric cooperative in a state other than Texas that has obtained a certificate of authority to conduct affairs in the State of Texas; or </w:t>
      </w:r>
    </w:p>
    <w:p>
      <w:pPr>
        <w:pStyle w:val="TermDefinition"/>
        <w:numPr>
          <w:ilvl w:val="0"/>
          <w:numId w:val="60"/>
        </w:numPr>
        <w:rPr>
          <w:rFonts w:ascii="Book Antiqua" w:hAnsi="Book Antiqua" w:cs="Book Antiqua"/>
          <w:sz w:val="20"/>
        </w:rPr>
      </w:pPr>
      <w:r>
        <w:rPr>
          <w:rFonts w:cs="Book Antiqua" w:ascii="Book Antiqua" w:hAnsi="Book Antiqua"/>
          <w:sz w:val="20"/>
        </w:rPr>
        <w:t>A successor to an electronic cooperative created before June 1, 1999, in accordance with a conversion plan approved by a vote of the members of the electric cooperative, regardless of whether the successor later purchases, acquires, merges with, or consolidates with other electric cooperatives.</w:t>
      </w:r>
    </w:p>
    <w:p>
      <w:pPr>
        <w:pStyle w:val="TermTitle"/>
        <w:rPr>
          <w:rFonts w:ascii="Book Antiqua" w:hAnsi="Book Antiqua" w:cs="Book Antiqua"/>
          <w:sz w:val="20"/>
        </w:rPr>
      </w:pPr>
      <w:r>
        <w:rPr>
          <w:rFonts w:cs="Book Antiqua" w:ascii="Book Antiqua" w:hAnsi="Book Antiqua"/>
          <w:sz w:val="20"/>
        </w:rPr>
        <w:t>Electric Reliability Council of Texas, Inc. (ERCOT)</w:t>
      </w:r>
    </w:p>
    <w:p>
      <w:pPr>
        <w:pStyle w:val="TermDefinition"/>
        <w:rPr>
          <w:rFonts w:ascii="Book Antiqua" w:hAnsi="Book Antiqua" w:cs="Book Antiqua"/>
          <w:sz w:val="20"/>
        </w:rPr>
      </w:pPr>
      <w:r>
        <w:rPr>
          <w:rFonts w:cs="Book Antiqua" w:ascii="Book Antiqua" w:hAnsi="Book Antiqua"/>
          <w:sz w:val="20"/>
        </w:rPr>
        <w:t xml:space="preserve">A Texas nonprofit corporation that has been certified by the PUCT as the Independent Organization, as defined in §39.151 of PURA, for the ERCOT Region. </w:t>
      </w:r>
    </w:p>
    <w:p>
      <w:pPr>
        <w:pStyle w:val="TermTitle"/>
        <w:rPr>
          <w:rFonts w:ascii="Book Antiqua" w:hAnsi="Book Antiqua" w:cs="Book Antiqua"/>
          <w:sz w:val="20"/>
        </w:rPr>
      </w:pPr>
      <w:r>
        <w:rPr>
          <w:rFonts w:cs="Book Antiqua" w:ascii="Book Antiqua" w:hAnsi="Book Antiqua"/>
          <w:sz w:val="20"/>
        </w:rPr>
        <w:t>Electric Service Identifier (ESI ID)</w:t>
      </w:r>
    </w:p>
    <w:p>
      <w:pPr>
        <w:pStyle w:val="12termdef"/>
        <w:rPr>
          <w:rFonts w:ascii="Book Antiqua" w:hAnsi="Book Antiqua" w:cs="Book Antiqua"/>
          <w:sz w:val="20"/>
        </w:rPr>
      </w:pPr>
      <w:r>
        <w:rPr>
          <w:rFonts w:cs="Book Antiqua" w:ascii="Book Antiqua" w:hAnsi="Book Antiqua"/>
          <w:sz w:val="20"/>
        </w:rPr>
        <w:t>The basic identifier assigned to each Service Delivery Point used in the registration and settlement systems managed by ERCOT or another Independent Organization.</w:t>
      </w:r>
    </w:p>
    <w:p>
      <w:pPr>
        <w:pStyle w:val="12termdef"/>
        <w:rPr>
          <w:rFonts w:ascii="Book Antiqua" w:hAnsi="Book Antiqua" w:cs="Book Antiqua"/>
          <w:sz w:val="20"/>
        </w:rPr>
      </w:pPr>
      <w:r>
        <w:rPr>
          <w:rFonts w:cs="Book Antiqua" w:ascii="Book Antiqua" w:hAnsi="Book Antiqua"/>
          <w:sz w:val="20"/>
        </w:rPr>
      </w:r>
    </w:p>
    <w:p>
      <w:pPr>
        <w:pStyle w:val="12termdef"/>
        <w:rPr>
          <w:rFonts w:ascii="Book Antiqua" w:hAnsi="Book Antiqua" w:cs="Book Antiqua"/>
          <w:b/>
          <w:sz w:val="20"/>
        </w:rPr>
      </w:pPr>
      <w:r>
        <w:rPr>
          <w:rFonts w:cs="Book Antiqua" w:ascii="Book Antiqua" w:hAnsi="Book Antiqua"/>
          <w:b/>
          <w:sz w:val="20"/>
        </w:rPr>
        <w:t>Electronic Data Interchange (EDI)</w:t>
      </w:r>
    </w:p>
    <w:p>
      <w:pPr>
        <w:pStyle w:val="12termdef"/>
        <w:rPr>
          <w:rFonts w:ascii="Book Antiqua" w:hAnsi="Book Antiqua" w:cs="Book Antiqua"/>
          <w:sz w:val="20"/>
        </w:rPr>
      </w:pPr>
      <w:r>
        <w:rPr>
          <w:rFonts w:cs="Book Antiqua" w:ascii="Book Antiqua" w:hAnsi="Book Antiqua"/>
          <w:sz w:val="20"/>
        </w:rPr>
        <w:t>Gives access to the Transaction Clearinghouse, which is a batch interface that provides a reliable exchange of transactions between market participants and ERCOT.   Transactions will be processed on a specified schedule.</w:t>
      </w:r>
    </w:p>
    <w:p>
      <w:pPr>
        <w:pStyle w:val="TermTitle"/>
        <w:rPr>
          <w:rFonts w:ascii="Book Antiqua" w:hAnsi="Book Antiqua" w:cs="Book Antiqua"/>
          <w:sz w:val="20"/>
        </w:rPr>
      </w:pPr>
      <w:r>
        <w:rPr>
          <w:rFonts w:cs="Book Antiqua" w:ascii="Book Antiqua" w:hAnsi="Book Antiqua"/>
          <w:sz w:val="20"/>
        </w:rPr>
        <w:t>ERCOT Metered Entity</w:t>
      </w:r>
    </w:p>
    <w:p>
      <w:pPr>
        <w:pStyle w:val="TermDefinition"/>
        <w:rPr>
          <w:rFonts w:ascii="Book Antiqua" w:hAnsi="Book Antiqua" w:cs="Book Antiqua"/>
          <w:sz w:val="20"/>
        </w:rPr>
      </w:pPr>
      <w:r>
        <w:rPr>
          <w:rFonts w:cs="Book Antiqua" w:ascii="Book Antiqua" w:hAnsi="Book Antiqua"/>
          <w:sz w:val="20"/>
        </w:rPr>
        <w:t>Any one of the following entities that meets the requirements of ERCOT Protocols Section 10.2.3, ERCOT Polled Settlement Meters:</w:t>
      </w:r>
    </w:p>
    <w:p>
      <w:pPr>
        <w:pStyle w:val="TermList"/>
        <w:numPr>
          <w:ilvl w:val="0"/>
          <w:numId w:val="57"/>
        </w:numPr>
        <w:tabs>
          <w:tab w:val="clear" w:pos="720"/>
          <w:tab w:val="left" w:pos="1080" w:leader="none"/>
        </w:tabs>
        <w:ind w:hanging="360" w:start="1080" w:end="0"/>
        <w:rPr>
          <w:rFonts w:ascii="Book Antiqua" w:hAnsi="Book Antiqua" w:cs="Book Antiqua"/>
          <w:sz w:val="20"/>
        </w:rPr>
      </w:pPr>
      <w:r>
        <w:rPr>
          <w:rFonts w:cs="Book Antiqua" w:ascii="Book Antiqua" w:hAnsi="Book Antiqua"/>
          <w:sz w:val="20"/>
        </w:rPr>
        <w:t>Any Generation connected directly to the transmission system;</w:t>
      </w:r>
    </w:p>
    <w:p>
      <w:pPr>
        <w:pStyle w:val="TermList"/>
        <w:numPr>
          <w:ilvl w:val="0"/>
          <w:numId w:val="57"/>
        </w:numPr>
        <w:tabs>
          <w:tab w:val="clear" w:pos="720"/>
          <w:tab w:val="left" w:pos="1080" w:leader="none"/>
        </w:tabs>
        <w:ind w:hanging="360" w:start="1080" w:end="0"/>
        <w:rPr>
          <w:rFonts w:ascii="Book Antiqua" w:hAnsi="Book Antiqua" w:cs="Book Antiqua"/>
          <w:sz w:val="20"/>
        </w:rPr>
      </w:pPr>
      <w:r>
        <w:rPr>
          <w:rFonts w:cs="Book Antiqua" w:ascii="Book Antiqua" w:hAnsi="Book Antiqua"/>
          <w:sz w:val="20"/>
        </w:rPr>
        <w:t>Any Generation equal to or over 10MW;</w:t>
      </w:r>
    </w:p>
    <w:p>
      <w:pPr>
        <w:pStyle w:val="TermList"/>
        <w:numPr>
          <w:ilvl w:val="0"/>
          <w:numId w:val="57"/>
        </w:numPr>
        <w:tabs>
          <w:tab w:val="clear" w:pos="720"/>
          <w:tab w:val="left" w:pos="1080" w:leader="none"/>
        </w:tabs>
        <w:ind w:hanging="360" w:start="1080" w:end="0"/>
        <w:rPr>
          <w:rFonts w:ascii="Book Antiqua" w:hAnsi="Book Antiqua" w:cs="Book Antiqua"/>
          <w:sz w:val="20"/>
        </w:rPr>
      </w:pPr>
      <w:r>
        <w:rPr>
          <w:rFonts w:cs="Book Antiqua" w:ascii="Book Antiqua" w:hAnsi="Book Antiqua"/>
          <w:sz w:val="20"/>
        </w:rPr>
        <w:t xml:space="preserve">Any Generation participating in any ancillary service market; </w:t>
      </w:r>
    </w:p>
    <w:p>
      <w:pPr>
        <w:pStyle w:val="TermList"/>
        <w:numPr>
          <w:ilvl w:val="0"/>
          <w:numId w:val="57"/>
        </w:numPr>
        <w:tabs>
          <w:tab w:val="clear" w:pos="720"/>
          <w:tab w:val="left" w:pos="1080" w:leader="none"/>
        </w:tabs>
        <w:ind w:hanging="360" w:start="1080" w:end="0"/>
        <w:rPr>
          <w:rFonts w:ascii="Book Antiqua" w:hAnsi="Book Antiqua" w:cs="Book Antiqua"/>
          <w:sz w:val="20"/>
        </w:rPr>
      </w:pPr>
      <w:r>
        <w:rPr>
          <w:rFonts w:cs="Book Antiqua" w:ascii="Book Antiqua" w:hAnsi="Book Antiqua"/>
          <w:sz w:val="20"/>
        </w:rPr>
        <w:t xml:space="preserve">Non-opt-in Cooperatives and Municipality points of delivery over 10MW; or </w:t>
      </w:r>
    </w:p>
    <w:p>
      <w:pPr>
        <w:pStyle w:val="TermList"/>
        <w:numPr>
          <w:ilvl w:val="0"/>
          <w:numId w:val="57"/>
        </w:numPr>
        <w:tabs>
          <w:tab w:val="clear" w:pos="720"/>
          <w:tab w:val="left" w:pos="1080" w:leader="none"/>
        </w:tabs>
        <w:ind w:hanging="360" w:start="1080" w:end="0"/>
        <w:rPr>
          <w:rFonts w:ascii="Book Antiqua" w:hAnsi="Book Antiqua" w:cs="Book Antiqua"/>
          <w:sz w:val="20"/>
        </w:rPr>
      </w:pPr>
      <w:r>
        <w:rPr>
          <w:rFonts w:cs="Book Antiqua" w:ascii="Book Antiqua" w:hAnsi="Book Antiqua"/>
          <w:sz w:val="20"/>
        </w:rPr>
        <w:t xml:space="preserve">Direct-Current ties (or interchanges with other control areas outside of ERCOT).  </w:t>
      </w:r>
    </w:p>
    <w:p>
      <w:pPr>
        <w:pStyle w:val="TermDefinition"/>
        <w:rPr>
          <w:rFonts w:ascii="Book Antiqua" w:hAnsi="Book Antiqua" w:cs="Book Antiqua"/>
          <w:sz w:val="20"/>
        </w:rPr>
      </w:pPr>
      <w:r>
        <w:rPr>
          <w:rFonts w:cs="Book Antiqua" w:ascii="Book Antiqua" w:hAnsi="Book Antiqua"/>
          <w:sz w:val="20"/>
        </w:rPr>
        <w:t>Additionally ERCOT will directly poll any generator or non-opt-in utility metering point at the request of the entity if the entity meets all requirements and certifications associated with EPS metering.</w:t>
      </w:r>
    </w:p>
    <w:p>
      <w:pPr>
        <w:pStyle w:val="TermTitle"/>
        <w:rPr>
          <w:rFonts w:ascii="Book Antiqua" w:hAnsi="Book Antiqua" w:cs="Book Antiqua"/>
          <w:sz w:val="20"/>
        </w:rPr>
      </w:pPr>
      <w:r>
        <w:rPr>
          <w:rFonts w:cs="Book Antiqua" w:ascii="Book Antiqua" w:hAnsi="Book Antiqua"/>
          <w:sz w:val="20"/>
        </w:rPr>
        <w:t>ERCOT Polled Settlement (EPS) Meter</w:t>
      </w:r>
    </w:p>
    <w:p>
      <w:pPr>
        <w:pStyle w:val="TermDefinition"/>
        <w:rPr>
          <w:rFonts w:ascii="Book Antiqua" w:hAnsi="Book Antiqua" w:cs="Book Antiqua"/>
          <w:sz w:val="20"/>
        </w:rPr>
      </w:pPr>
      <w:r>
        <w:rPr>
          <w:rFonts w:cs="Book Antiqua" w:ascii="Book Antiqua" w:hAnsi="Book Antiqua"/>
          <w:sz w:val="20"/>
        </w:rPr>
        <w:t>Any meter polled by ERCOT as defined in ERCOT Protocols Section 10 for use in the financial settlement of the Market.</w:t>
      </w:r>
    </w:p>
    <w:p>
      <w:pPr>
        <w:pStyle w:val="TermTitle"/>
        <w:rPr>
          <w:rFonts w:ascii="Book Antiqua" w:hAnsi="Book Antiqua" w:cs="Book Antiqua"/>
          <w:sz w:val="20"/>
        </w:rPr>
      </w:pPr>
      <w:r>
        <w:rPr>
          <w:rFonts w:cs="Book Antiqua" w:ascii="Book Antiqua" w:hAnsi="Book Antiqua"/>
          <w:sz w:val="20"/>
        </w:rPr>
        <w:t>ERCOT Region</w:t>
      </w:r>
    </w:p>
    <w:p>
      <w:pPr>
        <w:pStyle w:val="12termdef"/>
        <w:rPr>
          <w:rFonts w:ascii="Book Antiqua" w:hAnsi="Book Antiqua" w:cs="Book Antiqua"/>
          <w:sz w:val="20"/>
        </w:rPr>
      </w:pPr>
      <w:r>
        <w:rPr>
          <w:rFonts w:cs="Book Antiqua" w:ascii="Book Antiqua" w:hAnsi="Book Antiqua"/>
          <w:sz w:val="20"/>
        </w:rPr>
        <w:t>The geographic area under the jurisdiction of the PUCT that is served by TDSPs that are not synchronously interconnected with electric utilities outside the state of Texas.</w:t>
      </w:r>
    </w:p>
    <w:p>
      <w:pPr>
        <w:pStyle w:val="TermTitle"/>
        <w:rPr>
          <w:rFonts w:ascii="Book Antiqua" w:hAnsi="Book Antiqua" w:cs="Book Antiqua"/>
          <w:sz w:val="20"/>
        </w:rPr>
      </w:pPr>
      <w:r>
        <w:rPr>
          <w:rFonts w:cs="Book Antiqua" w:ascii="Book Antiqua" w:hAnsi="Book Antiqua"/>
          <w:sz w:val="20"/>
        </w:rPr>
        <w:t>Energy</w:t>
      </w:r>
    </w:p>
    <w:p>
      <w:pPr>
        <w:pStyle w:val="12termdef"/>
        <w:rPr>
          <w:rFonts w:ascii="Book Antiqua" w:hAnsi="Book Antiqua" w:cs="Book Antiqua"/>
          <w:sz w:val="20"/>
        </w:rPr>
      </w:pPr>
      <w:r>
        <w:rPr>
          <w:rFonts w:cs="Book Antiqua" w:ascii="Book Antiqua" w:hAnsi="Book Antiqua"/>
          <w:sz w:val="20"/>
        </w:rPr>
        <w:t>The amount of power produced, delivered, or consumed during a pre-defined unit of time.</w:t>
      </w:r>
    </w:p>
    <w:p>
      <w:pPr>
        <w:pStyle w:val="TermTitle"/>
        <w:rPr>
          <w:rFonts w:ascii="Book Antiqua" w:hAnsi="Book Antiqua" w:cs="Book Antiqua"/>
          <w:sz w:val="20"/>
        </w:rPr>
      </w:pPr>
      <w:r>
        <w:rPr>
          <w:rFonts w:cs="Book Antiqua" w:ascii="Book Antiqua" w:hAnsi="Book Antiqua"/>
          <w:sz w:val="20"/>
        </w:rPr>
        <w:t>Energy Management System (EMS)</w:t>
      </w:r>
    </w:p>
    <w:p>
      <w:pPr>
        <w:pStyle w:val="12termdef"/>
        <w:rPr>
          <w:rFonts w:ascii="Book Antiqua" w:hAnsi="Book Antiqua" w:cs="Book Antiqua"/>
          <w:sz w:val="20"/>
        </w:rPr>
      </w:pPr>
      <w:r>
        <w:rPr>
          <w:rFonts w:cs="Book Antiqua" w:ascii="Book Antiqua" w:hAnsi="Book Antiqua"/>
          <w:sz w:val="20"/>
        </w:rPr>
        <w:t>A system capable of sending, receiving, and saving system operations data in real-time.</w:t>
      </w:r>
    </w:p>
    <w:p>
      <w:pPr>
        <w:pStyle w:val="TermTitle"/>
        <w:rPr>
          <w:rFonts w:ascii="Book Antiqua" w:hAnsi="Book Antiqua" w:cs="Book Antiqua"/>
          <w:sz w:val="20"/>
        </w:rPr>
      </w:pPr>
      <w:r>
        <w:rPr>
          <w:rFonts w:cs="Book Antiqua" w:ascii="Book Antiqua" w:hAnsi="Book Antiqua"/>
          <w:sz w:val="20"/>
        </w:rPr>
        <w:t>ERCOT Transmission Grid</w:t>
      </w:r>
    </w:p>
    <w:p>
      <w:pPr>
        <w:pStyle w:val="12termdef"/>
        <w:rPr>
          <w:rFonts w:ascii="Book Antiqua" w:hAnsi="Book Antiqua" w:cs="Book Antiqua"/>
          <w:sz w:val="20"/>
        </w:rPr>
      </w:pPr>
      <w:r>
        <w:rPr>
          <w:rFonts w:cs="Book Antiqua" w:ascii="Book Antiqua" w:hAnsi="Book Antiqua"/>
          <w:sz w:val="20"/>
        </w:rPr>
        <w:t>All of those Transmission Facilities which are within the ERCOT Region.</w:t>
      </w:r>
    </w:p>
    <w:p>
      <w:pPr>
        <w:pStyle w:val="Heading1"/>
        <w:rPr>
          <w:sz w:val="20"/>
        </w:rPr>
      </w:pPr>
      <w:r>
        <w:rPr/>
        <w:t>F</w:t>
      </w:r>
    </w:p>
    <w:p>
      <w:pPr>
        <w:pStyle w:val="TermTitle"/>
        <w:rPr>
          <w:rFonts w:ascii="Book Antiqua" w:hAnsi="Book Antiqua" w:cs="Book Antiqua"/>
          <w:sz w:val="20"/>
        </w:rPr>
      </w:pPr>
      <w:r>
        <w:rPr>
          <w:rFonts w:cs="Book Antiqua" w:ascii="Book Antiqua" w:hAnsi="Book Antiqua"/>
          <w:sz w:val="20"/>
        </w:rPr>
        <w:t>Final Day-Ahead Schedule</w:t>
      </w:r>
    </w:p>
    <w:p>
      <w:pPr>
        <w:pStyle w:val="TermDefinition"/>
        <w:rPr>
          <w:rFonts w:ascii="Book Antiqua" w:hAnsi="Book Antiqua" w:cs="Book Antiqua"/>
          <w:sz w:val="20"/>
        </w:rPr>
      </w:pPr>
      <w:r>
        <w:rPr>
          <w:rFonts w:cs="Book Antiqua" w:ascii="Book Antiqua" w:hAnsi="Book Antiqua"/>
          <w:sz w:val="20"/>
        </w:rPr>
        <w:t>Those schedules ERCOT deems valid following the close of the Day Ahead period.</w:t>
      </w:r>
    </w:p>
    <w:p>
      <w:pPr>
        <w:pStyle w:val="Heading1"/>
        <w:rPr>
          <w:sz w:val="20"/>
        </w:rPr>
      </w:pPr>
      <w:r>
        <w:rPr/>
        <w:t>G</w:t>
      </w:r>
    </w:p>
    <w:p>
      <w:pPr>
        <w:pStyle w:val="TermTitle"/>
        <w:rPr>
          <w:rFonts w:ascii="Book Antiqua" w:hAnsi="Book Antiqua" w:cs="Book Antiqua"/>
          <w:sz w:val="20"/>
        </w:rPr>
      </w:pPr>
      <w:r>
        <w:rPr>
          <w:rFonts w:cs="Book Antiqua" w:ascii="Book Antiqua" w:hAnsi="Book Antiqua"/>
          <w:sz w:val="20"/>
        </w:rPr>
        <w:t>Generation Entity</w:t>
      </w:r>
    </w:p>
    <w:p>
      <w:pPr>
        <w:pStyle w:val="TermDefinition"/>
        <w:rPr>
          <w:rFonts w:ascii="Book Antiqua" w:hAnsi="Book Antiqua" w:cs="Book Antiqua"/>
          <w:sz w:val="20"/>
        </w:rPr>
      </w:pPr>
      <w:r>
        <w:rPr>
          <w:rFonts w:cs="Book Antiqua" w:ascii="Book Antiqua" w:hAnsi="Book Antiqua"/>
          <w:sz w:val="20"/>
        </w:rPr>
        <w:t>Owner or controller of a Generation Resource used for generating electricity and electrically connected to the ERCOT System.</w:t>
      </w:r>
    </w:p>
    <w:p>
      <w:pPr>
        <w:pStyle w:val="TermTitle"/>
        <w:rPr>
          <w:rFonts w:ascii="Book Antiqua" w:hAnsi="Book Antiqua" w:cs="Book Antiqua"/>
          <w:sz w:val="20"/>
        </w:rPr>
      </w:pPr>
      <w:r>
        <w:rPr>
          <w:rFonts w:cs="Book Antiqua" w:ascii="Book Antiqua" w:hAnsi="Book Antiqua"/>
          <w:sz w:val="20"/>
        </w:rPr>
        <w:t>Generation Resources</w:t>
      </w:r>
    </w:p>
    <w:p>
      <w:pPr>
        <w:pStyle w:val="TermDefinition"/>
        <w:rPr>
          <w:rFonts w:ascii="Book Antiqua" w:hAnsi="Book Antiqua" w:cs="Book Antiqua"/>
          <w:sz w:val="20"/>
        </w:rPr>
      </w:pPr>
      <w:r>
        <w:rPr>
          <w:rFonts w:cs="Book Antiqua" w:ascii="Book Antiqua" w:hAnsi="Book Antiqua"/>
          <w:sz w:val="20"/>
        </w:rPr>
        <w:t>Facilities that produce energy and that are owned or operated by a Generation Entity.</w:t>
      </w:r>
    </w:p>
    <w:p>
      <w:pPr>
        <w:pStyle w:val="TermTitle"/>
        <w:rPr>
          <w:rFonts w:ascii="Book Antiqua" w:hAnsi="Book Antiqua" w:cs="Book Antiqua"/>
          <w:sz w:val="20"/>
        </w:rPr>
      </w:pPr>
      <w:r>
        <w:rPr>
          <w:rFonts w:cs="Book Antiqua" w:ascii="Book Antiqua" w:hAnsi="Book Antiqua"/>
          <w:sz w:val="20"/>
        </w:rPr>
        <w:t>Good Utility Practice</w:t>
      </w:r>
    </w:p>
    <w:p>
      <w:pPr>
        <w:pStyle w:val="12termdef"/>
        <w:rPr>
          <w:rFonts w:ascii="Book Antiqua" w:hAnsi="Book Antiqua" w:cs="Book Antiqua"/>
          <w:sz w:val="20"/>
        </w:rPr>
      </w:pPr>
      <w:r>
        <w:rPr>
          <w:rFonts w:cs="Book Antiqua" w:ascii="Book Antiqua" w:hAnsi="Book Antiqua"/>
          <w:sz w:val="20"/>
        </w:rPr>
        <w:t>Any of the practices, methods, and acts engaged in or approved by a significant portion of the electric industry during the relevant time period, or any of the practices, methods, and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is intended to include acceptable practices, methods, and acts generally accepted in the region.</w:t>
      </w:r>
      <w:r>
        <w:fldChar w:fldCharType="begin"/>
      </w:r>
      <w:r>
        <w:rPr/>
        <w:instrText xml:space="preserve"> XE "PGC" </w:instrText>
      </w:r>
      <w:r>
        <w:rPr/>
        <w:fldChar w:fldCharType="separate"/>
      </w:r>
      <w:r>
        <w:rPr/>
      </w:r>
      <w:r>
        <w:rPr/>
        <w:fldChar w:fldCharType="end"/>
      </w:r>
    </w:p>
    <w:p>
      <w:pPr>
        <w:pStyle w:val="Heading1"/>
        <w:rPr>
          <w:sz w:val="20"/>
        </w:rPr>
      </w:pPr>
      <w:r>
        <w:rPr/>
        <w:t>I</w:t>
      </w:r>
    </w:p>
    <w:p>
      <w:pPr>
        <w:pStyle w:val="TermTitle"/>
        <w:rPr>
          <w:rFonts w:ascii="Book Antiqua" w:hAnsi="Book Antiqua" w:cs="Book Antiqua"/>
          <w:sz w:val="20"/>
        </w:rPr>
      </w:pPr>
      <w:r>
        <w:rPr>
          <w:rFonts w:cs="Book Antiqua" w:ascii="Book Antiqua" w:hAnsi="Book Antiqua"/>
          <w:sz w:val="20"/>
        </w:rPr>
        <w:t>IDR Requirement</w:t>
      </w:r>
    </w:p>
    <w:p>
      <w:pPr>
        <w:pStyle w:val="TermDefinition"/>
        <w:rPr>
          <w:rFonts w:ascii="Book Antiqua" w:hAnsi="Book Antiqua" w:cs="Book Antiqua"/>
          <w:sz w:val="20"/>
        </w:rPr>
      </w:pPr>
      <w:r>
        <w:rPr>
          <w:rFonts w:cs="Book Antiqua" w:ascii="Book Antiqua" w:hAnsi="Book Antiqua"/>
          <w:sz w:val="20"/>
        </w:rPr>
        <w:t>The kW level at which the installation of interval data recorders are required for settlement purposes as set forth in ERCOT Protocols Section 18.6.1, Interval Data Recorder Installation and Use in Settlement.</w:t>
      </w:r>
    </w:p>
    <w:p>
      <w:pPr>
        <w:pStyle w:val="TermTitle"/>
        <w:rPr>
          <w:rFonts w:ascii="Book Antiqua" w:hAnsi="Book Antiqua" w:cs="Book Antiqua"/>
          <w:b w:val="false"/>
          <w:sz w:val="20"/>
        </w:rPr>
      </w:pPr>
      <w:r>
        <w:rPr>
          <w:rFonts w:cs="Book Antiqua" w:ascii="Book Antiqua" w:hAnsi="Book Antiqua"/>
          <w:sz w:val="20"/>
        </w:rPr>
        <w:t>Inadvertent</w:t>
      </w:r>
      <w:r>
        <w:rPr>
          <w:rFonts w:cs="Book Antiqua" w:ascii="Book Antiqua" w:hAnsi="Book Antiqua"/>
          <w:b w:val="false"/>
          <w:sz w:val="20"/>
        </w:rPr>
        <w:t xml:space="preserve"> </w:t>
      </w:r>
      <w:r>
        <w:rPr>
          <w:rFonts w:cs="Book Antiqua" w:ascii="Book Antiqua" w:hAnsi="Book Antiqua"/>
          <w:sz w:val="20"/>
        </w:rPr>
        <w:t>Energy Account</w:t>
      </w:r>
    </w:p>
    <w:p>
      <w:pPr>
        <w:pStyle w:val="TermDefinition"/>
        <w:rPr>
          <w:rFonts w:ascii="Book Antiqua" w:hAnsi="Book Antiqua" w:cs="Book Antiqua"/>
          <w:sz w:val="20"/>
        </w:rPr>
      </w:pPr>
      <w:r>
        <w:rPr>
          <w:rFonts w:cs="Book Antiqua" w:ascii="Book Antiqua" w:hAnsi="Book Antiqua"/>
          <w:sz w:val="20"/>
        </w:rPr>
        <w:t xml:space="preserve">An account maintained by ERCOT to track any differences between deemed meter readings at the DC Ties, based on schedules, and the actual metered values at the DC Tie meters. </w:t>
      </w:r>
    </w:p>
    <w:p>
      <w:pPr>
        <w:pStyle w:val="TermTitle"/>
        <w:rPr>
          <w:rFonts w:ascii="Book Antiqua" w:hAnsi="Book Antiqua" w:cs="Book Antiqua"/>
          <w:sz w:val="20"/>
        </w:rPr>
      </w:pPr>
      <w:r>
        <w:rPr>
          <w:rFonts w:cs="Book Antiqua" w:ascii="Book Antiqua" w:hAnsi="Book Antiqua"/>
          <w:sz w:val="20"/>
        </w:rPr>
        <w:t>Initial Settlement</w:t>
      </w:r>
    </w:p>
    <w:p>
      <w:pPr>
        <w:pStyle w:val="TermDefinition"/>
        <w:rPr/>
      </w:pPr>
      <w:r>
        <w:rPr>
          <w:rFonts w:cs="Book Antiqua" w:ascii="Book Antiqua" w:hAnsi="Book Antiqua"/>
          <w:b/>
          <w:i/>
          <w:sz w:val="20"/>
        </w:rPr>
        <w:t>See</w:t>
      </w:r>
      <w:r>
        <w:rPr>
          <w:rFonts w:cs="Book Antiqua" w:ascii="Book Antiqua" w:hAnsi="Book Antiqua"/>
          <w:b/>
          <w:sz w:val="20"/>
        </w:rPr>
        <w:t xml:space="preserve"> Settlement Statement.</w:t>
      </w:r>
    </w:p>
    <w:p>
      <w:pPr>
        <w:pStyle w:val="TermTitle"/>
        <w:rPr>
          <w:rFonts w:ascii="Book Antiqua" w:hAnsi="Book Antiqua" w:cs="Book Antiqua"/>
          <w:sz w:val="20"/>
        </w:rPr>
      </w:pPr>
      <w:r>
        <w:rPr>
          <w:rFonts w:cs="Book Antiqua" w:ascii="Book Antiqua" w:hAnsi="Book Antiqua"/>
          <w:sz w:val="20"/>
        </w:rPr>
        <w:t>Interconnection Agreement</w:t>
      </w:r>
    </w:p>
    <w:p>
      <w:pPr>
        <w:pStyle w:val="TermDefinition"/>
        <w:rPr>
          <w:rFonts w:ascii="Book Antiqua" w:hAnsi="Book Antiqua" w:cs="Book Antiqua"/>
          <w:sz w:val="20"/>
        </w:rPr>
      </w:pPr>
      <w:r>
        <w:rPr>
          <w:rFonts w:cs="Book Antiqua" w:ascii="Book Antiqua" w:hAnsi="Book Antiqua"/>
          <w:sz w:val="20"/>
        </w:rPr>
        <w:t>An agreement that sets forth requirements for physical connection between an Eligible Transmission Service Customer and Transmission and/or Distribution Service Providers.</w:t>
      </w:r>
    </w:p>
    <w:p>
      <w:pPr>
        <w:pStyle w:val="TermTitle"/>
        <w:rPr>
          <w:rFonts w:ascii="Book Antiqua" w:hAnsi="Book Antiqua" w:cs="Book Antiqua"/>
          <w:sz w:val="20"/>
        </w:rPr>
      </w:pPr>
      <w:r>
        <w:rPr>
          <w:rFonts w:cs="Book Antiqua" w:ascii="Book Antiqua" w:hAnsi="Book Antiqua"/>
          <w:sz w:val="20"/>
        </w:rPr>
        <w:t>Interval Data Recorder (IDR)</w:t>
      </w:r>
    </w:p>
    <w:p>
      <w:pPr>
        <w:pStyle w:val="TermDefinition"/>
        <w:rPr>
          <w:rFonts w:ascii="Book Antiqua" w:hAnsi="Book Antiqua" w:cs="Book Antiqua"/>
          <w:sz w:val="20"/>
        </w:rPr>
      </w:pPr>
      <w:r>
        <w:rPr>
          <w:rFonts w:cs="Book Antiqua" w:ascii="Book Antiqua" w:hAnsi="Book Antiqua"/>
          <w:sz w:val="20"/>
        </w:rPr>
        <w:t>Metering Device that is capable of recording Load usage in each Settlement Interval in accordance with ERCOT Protocols Section 9, Settlement and Section 10, Metering.</w:t>
      </w:r>
    </w:p>
    <w:p>
      <w:pPr>
        <w:pStyle w:val="TermTitle"/>
        <w:rPr>
          <w:rFonts w:ascii="Book Antiqua" w:hAnsi="Book Antiqua" w:cs="Book Antiqua"/>
          <w:sz w:val="20"/>
        </w:rPr>
      </w:pPr>
      <w:r>
        <w:rPr>
          <w:rFonts w:cs="Book Antiqua" w:ascii="Book Antiqua" w:hAnsi="Book Antiqua"/>
          <w:sz w:val="20"/>
        </w:rPr>
        <w:t>Invoice</w:t>
      </w:r>
    </w:p>
    <w:p>
      <w:pPr>
        <w:pStyle w:val="Subterm"/>
        <w:rPr>
          <w:rFonts w:ascii="Book Antiqua" w:hAnsi="Book Antiqua" w:cs="Book Antiqua"/>
          <w:sz w:val="20"/>
        </w:rPr>
      </w:pPr>
      <w:r>
        <w:rPr>
          <w:rFonts w:cs="Book Antiqua" w:ascii="Book Antiqua" w:hAnsi="Book Antiqua"/>
          <w:sz w:val="20"/>
        </w:rPr>
        <w:t>Settlement Invoice</w:t>
      </w:r>
    </w:p>
    <w:p>
      <w:pPr>
        <w:pStyle w:val="SubtermDefinition"/>
        <w:rPr>
          <w:rFonts w:ascii="Book Antiqua" w:hAnsi="Book Antiqua" w:cs="Book Antiqua"/>
          <w:sz w:val="20"/>
        </w:rPr>
      </w:pPr>
      <w:r>
        <w:rPr>
          <w:rFonts w:cs="Book Antiqua" w:ascii="Book Antiqua" w:hAnsi="Book Antiqua"/>
          <w:sz w:val="20"/>
        </w:rPr>
        <w:t xml:space="preserve">A notice for payment or credit due rendered by ERCOT based on data contained in Initial, Final, True-Up or any Resettlement Statements. </w:t>
      </w:r>
    </w:p>
    <w:p>
      <w:pPr>
        <w:pStyle w:val="Subterm"/>
        <w:rPr>
          <w:rFonts w:ascii="Book Antiqua" w:hAnsi="Book Antiqua" w:cs="Book Antiqua"/>
          <w:sz w:val="20"/>
        </w:rPr>
      </w:pPr>
      <w:r>
        <w:rPr>
          <w:rFonts w:cs="Book Antiqua" w:ascii="Book Antiqua" w:hAnsi="Book Antiqua"/>
          <w:sz w:val="20"/>
        </w:rPr>
        <w:t>TCR Invoice</w:t>
      </w:r>
    </w:p>
    <w:p>
      <w:pPr>
        <w:pStyle w:val="SubtermDefinition"/>
        <w:rPr>
          <w:rFonts w:ascii="Book Antiqua" w:hAnsi="Book Antiqua" w:cs="Book Antiqua"/>
          <w:sz w:val="20"/>
        </w:rPr>
      </w:pPr>
      <w:r>
        <w:rPr>
          <w:rFonts w:cs="Book Antiqua" w:ascii="Book Antiqua" w:hAnsi="Book Antiqua"/>
          <w:sz w:val="20"/>
        </w:rPr>
        <w:t>An invoice issued to a successful bidder based on a final round of a TCR auction.</w:t>
      </w:r>
    </w:p>
    <w:p>
      <w:pPr>
        <w:pStyle w:val="TermTitle"/>
        <w:rPr>
          <w:rFonts w:ascii="Book Antiqua" w:hAnsi="Book Antiqua" w:cs="Book Antiqua"/>
          <w:sz w:val="20"/>
        </w:rPr>
      </w:pPr>
      <w:r>
        <w:rPr>
          <w:rFonts w:cs="Book Antiqua" w:ascii="Book Antiqua" w:hAnsi="Book Antiqua"/>
          <w:sz w:val="20"/>
        </w:rPr>
        <w:t>Invoice Recipient</w:t>
      </w:r>
    </w:p>
    <w:p>
      <w:pPr>
        <w:pStyle w:val="12termdef"/>
        <w:rPr>
          <w:rFonts w:ascii="Book Antiqua" w:hAnsi="Book Antiqua" w:cs="Book Antiqua"/>
          <w:sz w:val="20"/>
        </w:rPr>
      </w:pPr>
      <w:r>
        <w:rPr>
          <w:rFonts w:cs="Book Antiqua" w:ascii="Book Antiqua" w:hAnsi="Book Antiqua"/>
          <w:sz w:val="20"/>
        </w:rPr>
        <w:t xml:space="preserve">Market Participants that receive an Invoice from ERCOT. </w:t>
      </w:r>
    </w:p>
    <w:p>
      <w:pPr>
        <w:pStyle w:val="Heading1"/>
        <w:rPr>
          <w:sz w:val="20"/>
        </w:rPr>
      </w:pPr>
      <w:r>
        <w:rPr/>
        <w:t>L</w:t>
      </w:r>
    </w:p>
    <w:p>
      <w:pPr>
        <w:pStyle w:val="TermTitle"/>
        <w:rPr>
          <w:rFonts w:ascii="Book Antiqua" w:hAnsi="Book Antiqua" w:cs="Book Antiqua"/>
          <w:sz w:val="20"/>
        </w:rPr>
      </w:pPr>
      <w:r>
        <w:rPr>
          <w:rFonts w:cs="Book Antiqua" w:ascii="Book Antiqua" w:hAnsi="Book Antiqua"/>
          <w:sz w:val="20"/>
        </w:rPr>
        <w:t>Load</w:t>
      </w:r>
    </w:p>
    <w:p>
      <w:pPr>
        <w:pStyle w:val="TermDefinition"/>
        <w:rPr>
          <w:rFonts w:ascii="Book Antiqua" w:hAnsi="Book Antiqua" w:cs="Book Antiqua"/>
          <w:sz w:val="20"/>
        </w:rPr>
      </w:pPr>
      <w:r>
        <w:rPr>
          <w:rFonts w:cs="Book Antiqua" w:ascii="Book Antiqua" w:hAnsi="Book Antiqua"/>
          <w:sz w:val="20"/>
        </w:rPr>
        <w:t>The amount of electric power delivered at any specified point or points on a system.</w:t>
      </w:r>
    </w:p>
    <w:p>
      <w:pPr>
        <w:pStyle w:val="TermTitle"/>
        <w:rPr>
          <w:rFonts w:ascii="Book Antiqua" w:hAnsi="Book Antiqua" w:cs="Book Antiqua"/>
          <w:sz w:val="20"/>
        </w:rPr>
      </w:pPr>
      <w:r>
        <w:rPr>
          <w:rFonts w:cs="Book Antiqua" w:ascii="Book Antiqua" w:hAnsi="Book Antiqua"/>
          <w:sz w:val="20"/>
        </w:rPr>
        <w:t>Load Profile</w:t>
      </w:r>
    </w:p>
    <w:p>
      <w:pPr>
        <w:pStyle w:val="TermDefinition"/>
        <w:rPr>
          <w:rFonts w:ascii="Book Antiqua" w:hAnsi="Book Antiqua" w:cs="Book Antiqua"/>
          <w:sz w:val="20"/>
        </w:rPr>
      </w:pPr>
      <w:r>
        <w:rPr>
          <w:rFonts w:cs="Book Antiqua" w:ascii="Book Antiqua" w:hAnsi="Book Antiqua"/>
          <w:sz w:val="20"/>
        </w:rPr>
        <w:t>A representation of the energy usage of a group of Customers, showing the demand variation on an hourly or sub-hourly basis.</w:t>
      </w:r>
    </w:p>
    <w:p>
      <w:pPr>
        <w:pStyle w:val="TermTitle"/>
        <w:rPr>
          <w:rFonts w:ascii="Book Antiqua" w:hAnsi="Book Antiqua" w:cs="Book Antiqua"/>
          <w:sz w:val="20"/>
        </w:rPr>
      </w:pPr>
      <w:r>
        <w:rPr>
          <w:rFonts w:cs="Book Antiqua" w:ascii="Book Antiqua" w:hAnsi="Book Antiqua"/>
          <w:sz w:val="20"/>
        </w:rPr>
        <w:t xml:space="preserve">Load Profile Type </w:t>
      </w:r>
    </w:p>
    <w:p>
      <w:pPr>
        <w:pStyle w:val="TermDefinition"/>
        <w:rPr>
          <w:rFonts w:ascii="Book Antiqua" w:hAnsi="Book Antiqua" w:cs="Book Antiqua"/>
          <w:sz w:val="20"/>
        </w:rPr>
      </w:pPr>
      <w:r>
        <w:rPr>
          <w:rFonts w:cs="Book Antiqua" w:ascii="Book Antiqua" w:hAnsi="Book Antiqua"/>
          <w:sz w:val="20"/>
        </w:rPr>
        <w:t>A classification of a group of Customers having similar energy usage patterns and that are assigned the same Load Profile.</w:t>
      </w:r>
    </w:p>
    <w:p>
      <w:pPr>
        <w:pStyle w:val="TermTitle"/>
        <w:rPr>
          <w:rFonts w:ascii="Book Antiqua" w:hAnsi="Book Antiqua" w:cs="Book Antiqua"/>
          <w:sz w:val="20"/>
        </w:rPr>
      </w:pPr>
      <w:r>
        <w:rPr>
          <w:rFonts w:cs="Book Antiqua" w:ascii="Book Antiqua" w:hAnsi="Book Antiqua"/>
          <w:sz w:val="20"/>
        </w:rPr>
        <w:t>Load Profiling</w:t>
      </w:r>
    </w:p>
    <w:p>
      <w:pPr>
        <w:pStyle w:val="TermDefinition"/>
        <w:rPr>
          <w:rFonts w:ascii="Book Antiqua" w:hAnsi="Book Antiqua" w:cs="Book Antiqua"/>
          <w:sz w:val="20"/>
        </w:rPr>
      </w:pPr>
      <w:r>
        <w:rPr>
          <w:rFonts w:cs="Book Antiqua" w:ascii="Book Antiqua" w:hAnsi="Book Antiqua"/>
          <w:sz w:val="20"/>
        </w:rPr>
        <w:t xml:space="preserve">The set of processes used for the development and creation of Load Profiles. </w:t>
      </w:r>
    </w:p>
    <w:p>
      <w:pPr>
        <w:pStyle w:val="TermTitle"/>
        <w:rPr>
          <w:rFonts w:ascii="Book Antiqua" w:hAnsi="Book Antiqua" w:cs="Book Antiqua"/>
          <w:sz w:val="20"/>
        </w:rPr>
      </w:pPr>
      <w:r>
        <w:rPr>
          <w:rFonts w:cs="Book Antiqua" w:ascii="Book Antiqua" w:hAnsi="Book Antiqua"/>
          <w:sz w:val="20"/>
        </w:rPr>
        <w:t>Load Profiling Methodology</w:t>
      </w:r>
    </w:p>
    <w:p>
      <w:pPr>
        <w:pStyle w:val="TermDefinition"/>
        <w:rPr>
          <w:rFonts w:ascii="Book Antiqua" w:hAnsi="Book Antiqua" w:cs="Book Antiqua"/>
          <w:sz w:val="20"/>
        </w:rPr>
      </w:pPr>
      <w:r>
        <w:rPr>
          <w:rFonts w:cs="Book Antiqua" w:ascii="Book Antiqua" w:hAnsi="Book Antiqua"/>
          <w:sz w:val="20"/>
        </w:rPr>
        <w:t>The fundamental basis on which Load Profiles are created. The implementation of a Load Profiling Methodology may require statistical sampling, engineering methods, econometric modeling, or other approaches.</w:t>
      </w:r>
    </w:p>
    <w:p>
      <w:pPr>
        <w:pStyle w:val="TermTitle"/>
        <w:rPr>
          <w:rFonts w:ascii="Book Antiqua" w:hAnsi="Book Antiqua" w:cs="Book Antiqua"/>
          <w:sz w:val="20"/>
        </w:rPr>
      </w:pPr>
      <w:r>
        <w:rPr>
          <w:rFonts w:cs="Book Antiqua" w:ascii="Book Antiqua" w:hAnsi="Book Antiqua"/>
          <w:sz w:val="20"/>
        </w:rPr>
        <w:t>Load Ratio Share</w:t>
      </w:r>
    </w:p>
    <w:p>
      <w:pPr>
        <w:pStyle w:val="TermDefinition"/>
        <w:rPr>
          <w:rFonts w:ascii="Book Antiqua" w:hAnsi="Book Antiqua" w:cs="Book Antiqua"/>
          <w:sz w:val="20"/>
        </w:rPr>
      </w:pPr>
      <w:r>
        <w:rPr>
          <w:rFonts w:cs="Book Antiqua" w:ascii="Book Antiqua" w:hAnsi="Book Antiqua"/>
          <w:sz w:val="20"/>
        </w:rPr>
        <w:t>A QSE’s ratio of Adjusted Metered Load to total ERCOT Adjusted Metered Load related to the appropriate interval.</w:t>
      </w:r>
    </w:p>
    <w:p>
      <w:pPr>
        <w:pStyle w:val="TermTitle"/>
        <w:rPr>
          <w:rFonts w:ascii="Book Antiqua" w:hAnsi="Book Antiqua" w:cs="Book Antiqua"/>
          <w:sz w:val="20"/>
        </w:rPr>
      </w:pPr>
      <w:r>
        <w:rPr>
          <w:rFonts w:cs="Book Antiqua" w:ascii="Book Antiqua" w:hAnsi="Book Antiqua"/>
          <w:sz w:val="20"/>
        </w:rPr>
        <w:t>Load Serving Entity (LSE)</w:t>
      </w:r>
    </w:p>
    <w:p>
      <w:pPr>
        <w:pStyle w:val="TermDefinition"/>
        <w:rPr>
          <w:rFonts w:ascii="Book Antiqua" w:hAnsi="Book Antiqua" w:cs="Book Antiqua"/>
          <w:sz w:val="20"/>
        </w:rPr>
      </w:pPr>
      <w:r>
        <w:rPr>
          <w:rFonts w:cs="Book Antiqua" w:ascii="Book Antiqua" w:hAnsi="Book Antiqua"/>
          <w:sz w:val="20"/>
        </w:rPr>
        <w:t>An Entity that provides electric service to Customers and Wholesale Customers.  Load Serving Entities include Retail Electric Providers, Competitive Retailers, and Non-Opt In Entities that serve Load.</w:t>
      </w:r>
    </w:p>
    <w:p>
      <w:pPr>
        <w:pStyle w:val="TermTitle"/>
        <w:rPr>
          <w:rFonts w:ascii="Book Antiqua" w:hAnsi="Book Antiqua" w:cs="Book Antiqua"/>
          <w:sz w:val="20"/>
        </w:rPr>
      </w:pPr>
      <w:r>
        <w:rPr>
          <w:rFonts w:cs="Book Antiqua" w:ascii="Book Antiqua" w:hAnsi="Book Antiqua"/>
          <w:sz w:val="20"/>
        </w:rPr>
        <w:t>Local Congestion</w:t>
      </w:r>
    </w:p>
    <w:p>
      <w:pPr>
        <w:pStyle w:val="TermDefinition"/>
        <w:rPr>
          <w:rFonts w:ascii="Book Antiqua" w:hAnsi="Book Antiqua" w:cs="Book Antiqua"/>
          <w:sz w:val="20"/>
        </w:rPr>
      </w:pPr>
      <w:r>
        <w:rPr>
          <w:rFonts w:cs="Book Antiqua" w:ascii="Book Antiqua" w:hAnsi="Book Antiqua"/>
          <w:sz w:val="20"/>
        </w:rPr>
        <w:t>Any Congestion that cannot be resolved by deployment of Balancing Energy Service by Congestion Zone.</w:t>
      </w:r>
    </w:p>
    <w:p>
      <w:pPr>
        <w:pStyle w:val="TermTitle"/>
        <w:rPr>
          <w:rFonts w:ascii="Book Antiqua" w:hAnsi="Book Antiqua" w:cs="Book Antiqua"/>
          <w:sz w:val="20"/>
        </w:rPr>
      </w:pPr>
      <w:r>
        <w:rPr>
          <w:rFonts w:cs="Book Antiqua" w:ascii="Book Antiqua" w:hAnsi="Book Antiqua"/>
          <w:sz w:val="20"/>
        </w:rPr>
        <w:t>Location Code</w:t>
      </w:r>
    </w:p>
    <w:p>
      <w:pPr>
        <w:pStyle w:val="12termdef"/>
        <w:rPr>
          <w:rFonts w:ascii="Book Antiqua" w:hAnsi="Book Antiqua" w:cs="Book Antiqua"/>
          <w:sz w:val="20"/>
        </w:rPr>
      </w:pPr>
      <w:r>
        <w:rPr>
          <w:rFonts w:cs="Book Antiqua" w:ascii="Book Antiqua" w:hAnsi="Book Antiqua"/>
          <w:sz w:val="20"/>
        </w:rPr>
        <w:t>The code representing the physical location of a Premise.</w:t>
      </w:r>
    </w:p>
    <w:p>
      <w:pPr>
        <w:pStyle w:val="Heading1"/>
        <w:rPr/>
      </w:pPr>
      <w:r>
        <w:rPr/>
        <w:t xml:space="preserve">M </w:t>
      </w:r>
    </w:p>
    <w:p>
      <w:pPr>
        <w:pStyle w:val="TermTitle"/>
        <w:rPr>
          <w:rFonts w:ascii="Book Antiqua" w:hAnsi="Book Antiqua" w:cs="Book Antiqua"/>
          <w:sz w:val="20"/>
        </w:rPr>
      </w:pPr>
      <w:r>
        <w:rPr>
          <w:rFonts w:cs="Book Antiqua" w:ascii="Book Antiqua" w:hAnsi="Book Antiqua"/>
          <w:sz w:val="20"/>
        </w:rPr>
        <w:t>Market Clearing Price for Capacity (MCPC)</w:t>
      </w:r>
    </w:p>
    <w:p>
      <w:pPr>
        <w:pStyle w:val="TermDefinition"/>
        <w:rPr>
          <w:rFonts w:ascii="Book Antiqua" w:hAnsi="Book Antiqua" w:cs="Book Antiqua"/>
          <w:sz w:val="20"/>
        </w:rPr>
      </w:pPr>
      <w:r>
        <w:rPr>
          <w:rFonts w:cs="Book Antiqua" w:ascii="Book Antiqua" w:hAnsi="Book Antiqua"/>
          <w:sz w:val="20"/>
        </w:rPr>
        <w:t xml:space="preserve">The highest price associated with a Congestion Zone for a Settlement Interval for Ancillary Service capacity awarded in each Ancillary Services capacity procurement run by ERCOT. There will be a separate Market Clearing Price for Capacity for each Ancillary Services capacity market. </w:t>
      </w:r>
    </w:p>
    <w:p>
      <w:pPr>
        <w:pStyle w:val="TermTitle"/>
        <w:rPr>
          <w:rFonts w:ascii="Book Antiqua" w:hAnsi="Book Antiqua" w:cs="Book Antiqua"/>
          <w:sz w:val="20"/>
        </w:rPr>
      </w:pPr>
      <w:r>
        <w:rPr>
          <w:rFonts w:cs="Book Antiqua" w:ascii="Book Antiqua" w:hAnsi="Book Antiqua"/>
          <w:sz w:val="20"/>
        </w:rPr>
        <w:t>Market Clearing Price for Energy (MCPE)</w:t>
      </w:r>
    </w:p>
    <w:p>
      <w:pPr>
        <w:pStyle w:val="TermDefinition"/>
        <w:rPr>
          <w:rFonts w:ascii="Book Antiqua" w:hAnsi="Book Antiqua" w:cs="Book Antiqua"/>
          <w:sz w:val="20"/>
        </w:rPr>
      </w:pPr>
      <w:r>
        <w:rPr>
          <w:rFonts w:cs="Book Antiqua" w:ascii="Book Antiqua" w:hAnsi="Book Antiqua"/>
          <w:sz w:val="20"/>
        </w:rPr>
        <w:t xml:space="preserve">The highest price associated with a Congestion Zone for a Settlement Interval for Balancing Energy deployed during the Settlement Interval. </w:t>
      </w:r>
    </w:p>
    <w:p>
      <w:pPr>
        <w:pStyle w:val="TermTitle"/>
        <w:rPr>
          <w:rFonts w:ascii="Book Antiqua" w:hAnsi="Book Antiqua" w:cs="Book Antiqua"/>
          <w:sz w:val="20"/>
        </w:rPr>
      </w:pPr>
      <w:r>
        <w:rPr>
          <w:rFonts w:cs="Book Antiqua" w:ascii="Book Antiqua" w:hAnsi="Book Antiqua"/>
          <w:sz w:val="20"/>
        </w:rPr>
        <w:t>Market Implementation Plan</w:t>
      </w:r>
    </w:p>
    <w:p>
      <w:pPr>
        <w:pStyle w:val="TermDefinition"/>
        <w:rPr>
          <w:rFonts w:ascii="Book Antiqua" w:hAnsi="Book Antiqua" w:cs="Book Antiqua"/>
          <w:sz w:val="20"/>
        </w:rPr>
      </w:pPr>
      <w:r>
        <w:rPr>
          <w:rFonts w:cs="Book Antiqua" w:ascii="Book Antiqua" w:hAnsi="Book Antiqua"/>
          <w:sz w:val="20"/>
        </w:rPr>
        <w:t>Plan developed by ERCOT that addresses training, testing, qualification, and registration of Market Participants for participation in the Customer Choice Pilot, as well as the conversion to single Control Area operations.</w:t>
      </w:r>
    </w:p>
    <w:p>
      <w:pPr>
        <w:pStyle w:val="TermTitle"/>
        <w:rPr>
          <w:rFonts w:ascii="Book Antiqua" w:hAnsi="Book Antiqua" w:cs="Book Antiqua"/>
          <w:sz w:val="20"/>
        </w:rPr>
      </w:pPr>
      <w:r>
        <w:rPr>
          <w:rFonts w:cs="Book Antiqua" w:ascii="Book Antiqua" w:hAnsi="Book Antiqua"/>
          <w:sz w:val="20"/>
        </w:rPr>
        <w:t>Market Participant</w:t>
      </w:r>
    </w:p>
    <w:p>
      <w:pPr>
        <w:pStyle w:val="TermDefinition"/>
        <w:rPr>
          <w:rFonts w:ascii="Book Antiqua" w:hAnsi="Book Antiqua" w:cs="Book Antiqua"/>
          <w:sz w:val="20"/>
        </w:rPr>
      </w:pPr>
      <w:r>
        <w:rPr>
          <w:rFonts w:cs="Book Antiqua" w:ascii="Book Antiqua" w:hAnsi="Book Antiqua"/>
          <w:sz w:val="20"/>
        </w:rPr>
        <w:t>An Entity that engages in any activity that is in whole or in part the subject of these Protocols, regardless of whether such Entity has executed an Agreement with ERCOT.</w:t>
      </w:r>
    </w:p>
    <w:p>
      <w:pPr>
        <w:pStyle w:val="TermTitle"/>
        <w:rPr>
          <w:rFonts w:ascii="Book Antiqua" w:hAnsi="Book Antiqua" w:cs="Book Antiqua"/>
          <w:sz w:val="20"/>
        </w:rPr>
      </w:pPr>
      <w:r>
        <w:rPr>
          <w:rFonts w:cs="Book Antiqua" w:ascii="Book Antiqua" w:hAnsi="Book Antiqua"/>
          <w:sz w:val="20"/>
        </w:rPr>
        <w:t>Market Solution</w:t>
      </w:r>
    </w:p>
    <w:p>
      <w:pPr>
        <w:pStyle w:val="12termdef"/>
        <w:rPr>
          <w:rFonts w:ascii="Book Antiqua" w:hAnsi="Book Antiqua" w:cs="Book Antiqua"/>
          <w:sz w:val="20"/>
        </w:rPr>
      </w:pPr>
      <w:r>
        <w:rPr>
          <w:rFonts w:cs="Book Antiqua" w:ascii="Book Antiqua" w:hAnsi="Book Antiqua"/>
          <w:sz w:val="20"/>
        </w:rPr>
        <w:t>A Market Solution exists when at least three unaffiliated Resources have available capacity making them capable of submitting bids to ERCOT to solve a circumstance of local Congestion and no one bidder is essential to solving the Congestion.</w:t>
      </w:r>
    </w:p>
    <w:p>
      <w:pPr>
        <w:pStyle w:val="TermTitle"/>
        <w:rPr>
          <w:rFonts w:ascii="Book Antiqua" w:hAnsi="Book Antiqua" w:cs="Book Antiqua"/>
          <w:spacing w:val="-2"/>
          <w:sz w:val="20"/>
        </w:rPr>
      </w:pPr>
      <w:r>
        <w:rPr>
          <w:rFonts w:cs="Book Antiqua" w:ascii="Book Antiqua" w:hAnsi="Book Antiqua"/>
          <w:spacing w:val="-2"/>
          <w:sz w:val="20"/>
        </w:rPr>
        <w:t>Merit Order</w:t>
      </w:r>
    </w:p>
    <w:p>
      <w:pPr>
        <w:pStyle w:val="12termdef"/>
        <w:rPr>
          <w:rFonts w:ascii="Book Antiqua" w:hAnsi="Book Antiqua" w:cs="Book Antiqua"/>
          <w:sz w:val="20"/>
        </w:rPr>
      </w:pPr>
      <w:r>
        <w:rPr>
          <w:rFonts w:cs="Book Antiqua" w:ascii="Book Antiqua" w:hAnsi="Book Antiqua"/>
          <w:sz w:val="20"/>
        </w:rPr>
        <w:t>The ranking of Resources as a direct function of the monetary bid from those resources.</w:t>
      </w:r>
    </w:p>
    <w:p>
      <w:pPr>
        <w:pStyle w:val="TermTitle"/>
        <w:rPr>
          <w:rFonts w:ascii="Book Antiqua" w:hAnsi="Book Antiqua" w:cs="Book Antiqua"/>
          <w:sz w:val="20"/>
        </w:rPr>
      </w:pPr>
      <w:r>
        <w:rPr>
          <w:rFonts w:cs="Book Antiqua" w:ascii="Book Antiqua" w:hAnsi="Book Antiqua"/>
          <w:sz w:val="20"/>
        </w:rPr>
        <w:t>Meter Data Acquisition System</w:t>
      </w:r>
    </w:p>
    <w:p>
      <w:pPr>
        <w:pStyle w:val="TermDefinition"/>
        <w:rPr>
          <w:rFonts w:ascii="Book Antiqua" w:hAnsi="Book Antiqua" w:cs="Book Antiqua"/>
          <w:sz w:val="20"/>
        </w:rPr>
      </w:pPr>
      <w:r>
        <w:rPr>
          <w:rFonts w:cs="Book Antiqua" w:ascii="Book Antiqua" w:hAnsi="Book Antiqua"/>
          <w:sz w:val="20"/>
        </w:rPr>
        <w:t xml:space="preserve">The system to obtain revenue quality meter data from ERCOT Polled Settlement meters and Settlement Quality Meter Data from the TDSP for settlement and to populate the Meter Data Aggregation System and ERCOT Data Archive. </w:t>
      </w:r>
      <w:r>
        <w:br w:type="page"/>
      </w:r>
    </w:p>
    <w:p>
      <w:pPr>
        <w:pStyle w:val="TermTitle"/>
        <w:rPr>
          <w:rFonts w:ascii="Book Antiqua" w:hAnsi="Book Antiqua" w:cs="Book Antiqua"/>
          <w:sz w:val="20"/>
        </w:rPr>
      </w:pPr>
      <w:r>
        <w:rPr>
          <w:rFonts w:cs="Book Antiqua" w:ascii="Book Antiqua" w:hAnsi="Book Antiqua"/>
          <w:sz w:val="20"/>
        </w:rPr>
        <w:t>Municipally Owned Utility (MOU)</w:t>
      </w:r>
    </w:p>
    <w:p>
      <w:pPr>
        <w:pStyle w:val="12termdef"/>
        <w:rPr>
          <w:rFonts w:ascii="Book Antiqua" w:hAnsi="Book Antiqua" w:cs="Book Antiqua"/>
          <w:sz w:val="20"/>
        </w:rPr>
      </w:pPr>
      <w:r>
        <w:rPr>
          <w:rFonts w:cs="Book Antiqua" w:ascii="Book Antiqua" w:hAnsi="Book Antiqua"/>
          <w:sz w:val="20"/>
        </w:rPr>
        <w:t>A utility owned, operated, and controlled by a municipality or by a nonprofit corporation, the directors of which are appointed by one or more municipalities.</w:t>
      </w:r>
    </w:p>
    <w:p>
      <w:pPr>
        <w:pStyle w:val="Heading1"/>
        <w:rPr>
          <w:sz w:val="20"/>
        </w:rPr>
      </w:pPr>
      <w:r>
        <w:rPr/>
        <w:t>N</w:t>
      </w:r>
    </w:p>
    <w:p>
      <w:pPr>
        <w:pStyle w:val="TermTitle"/>
        <w:rPr>
          <w:rFonts w:ascii="Book Antiqua" w:hAnsi="Book Antiqua" w:cs="Book Antiqua"/>
          <w:sz w:val="20"/>
        </w:rPr>
      </w:pPr>
      <w:r>
        <w:rPr>
          <w:rFonts w:cs="Book Antiqua" w:ascii="Book Antiqua" w:hAnsi="Book Antiqua"/>
          <w:sz w:val="20"/>
        </w:rPr>
        <w:t>Non-Metered Load</w:t>
      </w:r>
    </w:p>
    <w:p>
      <w:pPr>
        <w:pStyle w:val="TermDefinition"/>
        <w:rPr>
          <w:rFonts w:ascii="Book Antiqua" w:hAnsi="Book Antiqua" w:cs="Book Antiqua"/>
          <w:sz w:val="20"/>
        </w:rPr>
      </w:pPr>
      <w:r>
        <w:rPr>
          <w:rFonts w:cs="Book Antiqua" w:ascii="Book Antiqua" w:hAnsi="Book Antiqua"/>
          <w:sz w:val="20"/>
        </w:rPr>
        <w:t>Load that is not required to be metered by applicable distribution or transmission tariff.</w:t>
      </w:r>
    </w:p>
    <w:p>
      <w:pPr>
        <w:pStyle w:val="TermTitle"/>
        <w:rPr>
          <w:rFonts w:ascii="Book Antiqua" w:hAnsi="Book Antiqua" w:cs="Book Antiqua"/>
          <w:sz w:val="20"/>
          <w:lang w:val="fr-CA"/>
        </w:rPr>
      </w:pPr>
      <w:r>
        <w:rPr>
          <w:rFonts w:cs="Book Antiqua" w:ascii="Book Antiqua" w:hAnsi="Book Antiqua"/>
          <w:sz w:val="20"/>
          <w:lang w:val="fr-CA"/>
        </w:rPr>
        <w:t>Non-Opt In Entity (NOIE)</w:t>
      </w:r>
    </w:p>
    <w:p>
      <w:pPr>
        <w:pStyle w:val="TermDefinition"/>
        <w:rPr>
          <w:rFonts w:ascii="Book Antiqua" w:hAnsi="Book Antiqua" w:cs="Book Antiqua"/>
          <w:sz w:val="20"/>
        </w:rPr>
      </w:pPr>
      <w:r>
        <w:rPr>
          <w:rFonts w:cs="Book Antiqua" w:ascii="Book Antiqua" w:hAnsi="Book Antiqua"/>
          <w:sz w:val="20"/>
        </w:rPr>
        <w:t>An Electric Cooperative or Municipally Owned Utility that does not offer Customer Choice.</w:t>
      </w:r>
    </w:p>
    <w:p>
      <w:pPr>
        <w:pStyle w:val="TermTitle"/>
        <w:rPr>
          <w:rFonts w:ascii="Book Antiqua" w:hAnsi="Book Antiqua" w:cs="Book Antiqua"/>
          <w:sz w:val="20"/>
        </w:rPr>
      </w:pPr>
      <w:r>
        <w:rPr>
          <w:rFonts w:cs="Book Antiqua" w:ascii="Book Antiqua" w:hAnsi="Book Antiqua"/>
          <w:sz w:val="20"/>
        </w:rPr>
        <w:t>Non-Spinning Reserve Service (NSRS)</w:t>
      </w:r>
    </w:p>
    <w:p>
      <w:pPr>
        <w:pStyle w:val="TermDefinition"/>
        <w:rPr>
          <w:rFonts w:ascii="Book Antiqua" w:hAnsi="Book Antiqua" w:cs="Book Antiqua"/>
          <w:sz w:val="20"/>
        </w:rPr>
      </w:pPr>
      <w:r>
        <w:rPr>
          <w:rFonts w:cs="Book Antiqua" w:ascii="Book Antiqua" w:hAnsi="Book Antiqua"/>
          <w:sz w:val="20"/>
        </w:rPr>
        <w:t>A service that is provided through utilization of the portion of off-line generation capacity capable of being synchronized and ramped to a specified output level within thirty (30) minutes (or Load that is capable of being interrupted within thirty (30) minutes) and that is capable of running (or being interrupted) at a specified output level for at least one (1) hour. Non-Spinning Reserve Service (NSRS) may also be provided from unloaded on-line capacity that meets the above response requirements and that is not participating in any other activity, including ERCOT markets, self-generation and other energy transactions.</w:t>
      </w:r>
    </w:p>
    <w:p>
      <w:pPr>
        <w:pStyle w:val="TermTitle"/>
        <w:rPr>
          <w:rFonts w:ascii="Book Antiqua" w:hAnsi="Book Antiqua" w:cs="Book Antiqua"/>
          <w:sz w:val="20"/>
        </w:rPr>
      </w:pPr>
      <w:r>
        <w:rPr>
          <w:rFonts w:cs="Book Antiqua" w:ascii="Book Antiqua" w:hAnsi="Book Antiqua"/>
          <w:sz w:val="20"/>
        </w:rPr>
        <w:t>North American Electric Reliability Council (NERC)</w:t>
      </w:r>
    </w:p>
    <w:p>
      <w:pPr>
        <w:pStyle w:val="12termdef"/>
        <w:rPr>
          <w:rFonts w:ascii="Book Antiqua" w:hAnsi="Book Antiqua" w:cs="Book Antiqua"/>
          <w:sz w:val="20"/>
        </w:rPr>
      </w:pPr>
      <w:r>
        <w:rPr>
          <w:rFonts w:cs="Book Antiqua" w:ascii="Book Antiqua" w:hAnsi="Book Antiqua"/>
          <w:sz w:val="20"/>
        </w:rPr>
        <w:t>The national organization that is responsible for establishing standards and policies for reliable electric system operations and planning, or its successor.</w:t>
      </w:r>
    </w:p>
    <w:p>
      <w:pPr>
        <w:pStyle w:val="Heading1"/>
        <w:rPr>
          <w:sz w:val="20"/>
        </w:rPr>
      </w:pPr>
      <w:r>
        <w:rPr/>
        <w:t>O</w:t>
      </w:r>
    </w:p>
    <w:p>
      <w:pPr>
        <w:pStyle w:val="TermTitle"/>
        <w:rPr>
          <w:rFonts w:ascii="Book Antiqua" w:hAnsi="Book Antiqua" w:cs="Book Antiqua"/>
          <w:sz w:val="20"/>
        </w:rPr>
      </w:pPr>
      <w:r>
        <w:rPr>
          <w:rFonts w:cs="Book Antiqua" w:ascii="Book Antiqua" w:hAnsi="Book Antiqua"/>
          <w:sz w:val="20"/>
        </w:rPr>
        <w:t>Obligation</w:t>
      </w:r>
    </w:p>
    <w:p>
      <w:pPr>
        <w:pStyle w:val="TermDefinition"/>
        <w:rPr>
          <w:rFonts w:ascii="Book Antiqua" w:hAnsi="Book Antiqua" w:cs="Book Antiqua"/>
          <w:sz w:val="20"/>
        </w:rPr>
      </w:pPr>
      <w:r>
        <w:rPr>
          <w:rFonts w:cs="Book Antiqua" w:ascii="Book Antiqua" w:hAnsi="Book Antiqua"/>
          <w:sz w:val="20"/>
        </w:rPr>
        <w:t>Total Obligations scheduled by a QSE that are comprised of energy Obligations and Ancillary Services Obligations where:</w:t>
      </w:r>
    </w:p>
    <w:p>
      <w:pPr>
        <w:pStyle w:val="Subterm"/>
        <w:rPr>
          <w:rFonts w:ascii="Book Antiqua" w:hAnsi="Book Antiqua" w:cs="Book Antiqua"/>
          <w:sz w:val="20"/>
        </w:rPr>
      </w:pPr>
      <w:r>
        <w:rPr>
          <w:rFonts w:cs="Book Antiqua" w:ascii="Book Antiqua" w:hAnsi="Book Antiqua"/>
          <w:sz w:val="20"/>
        </w:rPr>
        <w:t>Energy Obligations  =</w:t>
      </w:r>
    </w:p>
    <w:p>
      <w:pPr>
        <w:pStyle w:val="SubtermDefinition"/>
        <w:rPr>
          <w:rFonts w:ascii="Book Antiqua" w:hAnsi="Book Antiqua" w:cs="Book Antiqua"/>
          <w:sz w:val="20"/>
        </w:rPr>
      </w:pPr>
      <w:r>
        <w:rPr>
          <w:rFonts w:cs="Book Antiqua" w:ascii="Book Antiqua" w:hAnsi="Book Antiqua"/>
          <w:sz w:val="20"/>
        </w:rPr>
        <w:t>Load + losses  + energy sales + energy exports; and</w:t>
      </w:r>
    </w:p>
    <w:p>
      <w:pPr>
        <w:pStyle w:val="Subterm"/>
        <w:rPr>
          <w:rFonts w:ascii="Book Antiqua" w:hAnsi="Book Antiqua" w:cs="Book Antiqua"/>
          <w:sz w:val="20"/>
        </w:rPr>
      </w:pPr>
      <w:r>
        <w:rPr>
          <w:rFonts w:cs="Book Antiqua" w:ascii="Book Antiqua" w:hAnsi="Book Antiqua"/>
          <w:sz w:val="20"/>
        </w:rPr>
        <w:t>Ancillary Services Obligations  =</w:t>
      </w:r>
    </w:p>
    <w:p>
      <w:pPr>
        <w:pStyle w:val="SubtermDefinition"/>
        <w:rPr>
          <w:rFonts w:ascii="Book Antiqua" w:hAnsi="Book Antiqua" w:cs="Book Antiqua"/>
          <w:sz w:val="20"/>
        </w:rPr>
      </w:pPr>
      <w:r>
        <w:rPr>
          <w:rFonts w:cs="Book Antiqua" w:ascii="Book Antiqua" w:hAnsi="Book Antiqua"/>
          <w:sz w:val="20"/>
        </w:rPr>
        <w:t>ERCOT allocated Ancillary Services Obligations (which may be self-arranged) + Ancillary Services sales  (to ERCOT or to other QSEs).</w:t>
      </w:r>
    </w:p>
    <w:p>
      <w:pPr>
        <w:pStyle w:val="TermTitle"/>
        <w:rPr>
          <w:rFonts w:ascii="Book Antiqua" w:hAnsi="Book Antiqua" w:cs="Book Antiqua"/>
          <w:sz w:val="20"/>
        </w:rPr>
      </w:pPr>
      <w:r>
        <w:rPr>
          <w:rFonts w:cs="Book Antiqua" w:ascii="Book Antiqua" w:hAnsi="Book Antiqua"/>
          <w:sz w:val="20"/>
        </w:rPr>
        <w:t>On-line</w:t>
      </w:r>
    </w:p>
    <w:p>
      <w:pPr>
        <w:pStyle w:val="12termdef"/>
        <w:rPr>
          <w:rFonts w:ascii="Book Antiqua" w:hAnsi="Book Antiqua" w:cs="Book Antiqua"/>
          <w:sz w:val="20"/>
        </w:rPr>
      </w:pPr>
      <w:r>
        <w:rPr>
          <w:rFonts w:cs="Book Antiqua" w:ascii="Book Antiqua" w:hAnsi="Book Antiqua"/>
          <w:sz w:val="20"/>
        </w:rPr>
        <w:t>Resources that are synchronously interconnected to the ERCOT System.</w:t>
      </w:r>
      <w:r>
        <w:br w:type="page"/>
      </w:r>
    </w:p>
    <w:p>
      <w:pPr>
        <w:pStyle w:val="TermTitle"/>
        <w:rPr>
          <w:rFonts w:ascii="Book Antiqua" w:hAnsi="Book Antiqua" w:cs="Book Antiqua"/>
          <w:sz w:val="20"/>
        </w:rPr>
      </w:pPr>
      <w:r>
        <w:rPr>
          <w:rFonts w:cs="Book Antiqua" w:ascii="Book Antiqua" w:hAnsi="Book Antiqua"/>
          <w:sz w:val="20"/>
        </w:rPr>
        <w:t>Operating Day</w:t>
      </w:r>
    </w:p>
    <w:p>
      <w:pPr>
        <w:pStyle w:val="TermDefinition"/>
        <w:rPr>
          <w:rFonts w:ascii="Book Antiqua" w:hAnsi="Book Antiqua" w:cs="Book Antiqua"/>
          <w:sz w:val="20"/>
        </w:rPr>
      </w:pPr>
      <w:r>
        <w:rPr>
          <w:rFonts w:cs="Book Antiqua" w:ascii="Book Antiqua" w:hAnsi="Book Antiqua"/>
          <w:sz w:val="20"/>
        </w:rPr>
        <w:t>The actual day, including hours ending 0100 to 2400, during which energy is flowing.</w:t>
      </w:r>
    </w:p>
    <w:p>
      <w:pPr>
        <w:pStyle w:val="TermTitle"/>
        <w:rPr>
          <w:rFonts w:ascii="Book Antiqua" w:hAnsi="Book Antiqua" w:cs="Book Antiqua"/>
          <w:sz w:val="20"/>
        </w:rPr>
      </w:pPr>
      <w:r>
        <w:rPr>
          <w:rFonts w:cs="Book Antiqua" w:ascii="Book Antiqua" w:hAnsi="Book Antiqua"/>
          <w:sz w:val="20"/>
        </w:rPr>
        <w:t>Operating Guides</w:t>
      </w:r>
    </w:p>
    <w:p>
      <w:pPr>
        <w:pStyle w:val="TermTitle"/>
        <w:rPr>
          <w:rFonts w:ascii="Book Antiqua" w:hAnsi="Book Antiqua" w:cs="Book Antiqua"/>
          <w:b w:val="false"/>
          <w:sz w:val="20"/>
        </w:rPr>
      </w:pPr>
      <w:r>
        <w:rPr>
          <w:rFonts w:cs="Book Antiqua" w:ascii="Book Antiqua" w:hAnsi="Book Antiqua"/>
          <w:b w:val="false"/>
          <w:sz w:val="20"/>
        </w:rPr>
        <w:t>Guidelines approved by the ERCOT Board describing the reliability standards for ERCOT.</w:t>
      </w:r>
    </w:p>
    <w:p>
      <w:pPr>
        <w:pStyle w:val="TermTitle"/>
        <w:rPr>
          <w:rFonts w:ascii="Book Antiqua" w:hAnsi="Book Antiqua" w:cs="Book Antiqua"/>
          <w:sz w:val="20"/>
        </w:rPr>
      </w:pPr>
      <w:r>
        <w:rPr>
          <w:rFonts w:cs="Book Antiqua" w:ascii="Book Antiqua" w:hAnsi="Book Antiqua"/>
          <w:sz w:val="20"/>
        </w:rPr>
        <w:t>Operating Hour</w:t>
      </w:r>
    </w:p>
    <w:p>
      <w:pPr>
        <w:pStyle w:val="TermDefinition"/>
        <w:rPr>
          <w:rFonts w:ascii="Book Antiqua" w:hAnsi="Book Antiqua" w:cs="Book Antiqua"/>
          <w:sz w:val="20"/>
        </w:rPr>
      </w:pPr>
      <w:r>
        <w:rPr>
          <w:rFonts w:cs="Book Antiqua" w:ascii="Book Antiqua" w:hAnsi="Book Antiqua"/>
          <w:sz w:val="20"/>
        </w:rPr>
        <w:t>The current clock hour.</w:t>
      </w:r>
    </w:p>
    <w:p>
      <w:pPr>
        <w:pStyle w:val="TermTitle"/>
        <w:rPr>
          <w:rFonts w:ascii="Book Antiqua" w:hAnsi="Book Antiqua" w:cs="Book Antiqua"/>
          <w:sz w:val="20"/>
        </w:rPr>
      </w:pPr>
      <w:r>
        <w:rPr>
          <w:rFonts w:cs="Book Antiqua" w:ascii="Book Antiqua" w:hAnsi="Book Antiqua"/>
          <w:sz w:val="20"/>
        </w:rPr>
        <w:t>Operating Period</w:t>
      </w:r>
    </w:p>
    <w:p>
      <w:pPr>
        <w:pStyle w:val="TermDefinition"/>
        <w:rPr>
          <w:rFonts w:ascii="Book Antiqua" w:hAnsi="Book Antiqua" w:cs="Book Antiqua"/>
          <w:sz w:val="20"/>
        </w:rPr>
      </w:pPr>
      <w:r>
        <w:rPr>
          <w:rFonts w:cs="Book Antiqua" w:ascii="Book Antiqua" w:hAnsi="Book Antiqua"/>
          <w:sz w:val="20"/>
        </w:rPr>
        <w:t>A two-hour period comprised of the Operating Hour and the hour preceding the Operating Hour.</w:t>
      </w:r>
    </w:p>
    <w:p>
      <w:pPr>
        <w:pStyle w:val="TermTitle"/>
        <w:rPr>
          <w:rFonts w:ascii="Book Antiqua" w:hAnsi="Book Antiqua" w:cs="Book Antiqua"/>
          <w:sz w:val="20"/>
        </w:rPr>
      </w:pPr>
      <w:r>
        <w:rPr>
          <w:rFonts w:cs="Book Antiqua" w:ascii="Book Antiqua" w:hAnsi="Book Antiqua"/>
          <w:sz w:val="20"/>
        </w:rPr>
        <w:t>Operating Plan</w:t>
      </w:r>
    </w:p>
    <w:p>
      <w:pPr>
        <w:pStyle w:val="TermDefinition"/>
        <w:rPr>
          <w:rFonts w:ascii="Book Antiqua" w:hAnsi="Book Antiqua" w:cs="Book Antiqua"/>
          <w:sz w:val="20"/>
        </w:rPr>
      </w:pPr>
      <w:r>
        <w:rPr>
          <w:rFonts w:cs="Book Antiqua" w:ascii="Book Antiqua" w:hAnsi="Book Antiqua"/>
          <w:sz w:val="20"/>
        </w:rPr>
        <w:t>A plan developed by ERCOT to operate the ERCOT System in Real Time.</w:t>
      </w:r>
    </w:p>
    <w:p>
      <w:pPr>
        <w:pStyle w:val="TermTitle"/>
        <w:rPr>
          <w:rFonts w:ascii="Book Antiqua" w:hAnsi="Book Antiqua" w:cs="Book Antiqua"/>
          <w:sz w:val="20"/>
        </w:rPr>
      </w:pPr>
      <w:r>
        <w:rPr>
          <w:rFonts w:cs="Book Antiqua" w:ascii="Book Antiqua" w:hAnsi="Book Antiqua"/>
          <w:sz w:val="20"/>
        </w:rPr>
        <w:t>Operational Constraint</w:t>
      </w:r>
    </w:p>
    <w:p>
      <w:pPr>
        <w:pStyle w:val="TermDefinition"/>
        <w:rPr>
          <w:rFonts w:ascii="Book Antiqua" w:hAnsi="Book Antiqua" w:cs="Book Antiqua"/>
          <w:sz w:val="20"/>
        </w:rPr>
      </w:pPr>
      <w:r>
        <w:rPr>
          <w:rFonts w:cs="Book Antiqua" w:ascii="Book Antiqua" w:hAnsi="Book Antiqua"/>
          <w:sz w:val="20"/>
        </w:rPr>
        <w:t>Anticipated or actual security violation or overload of a transmission element, based on actual network topology.</w:t>
      </w:r>
    </w:p>
    <w:p>
      <w:pPr>
        <w:pStyle w:val="TermTitle"/>
        <w:rPr>
          <w:rFonts w:ascii="Book Antiqua" w:hAnsi="Book Antiqua" w:cs="Book Antiqua"/>
          <w:sz w:val="20"/>
        </w:rPr>
      </w:pPr>
      <w:r>
        <w:rPr>
          <w:rFonts w:cs="Book Antiqua" w:ascii="Book Antiqua" w:hAnsi="Book Antiqua"/>
          <w:sz w:val="20"/>
        </w:rPr>
        <w:t>Operational Model</w:t>
      </w:r>
    </w:p>
    <w:p>
      <w:pPr>
        <w:pStyle w:val="TermDefinition"/>
        <w:rPr>
          <w:rFonts w:ascii="Book Antiqua" w:hAnsi="Book Antiqua" w:cs="Book Antiqua"/>
          <w:sz w:val="20"/>
        </w:rPr>
      </w:pPr>
      <w:r>
        <w:rPr>
          <w:rFonts w:cs="Book Antiqua" w:ascii="Book Antiqua" w:hAnsi="Book Antiqua"/>
          <w:sz w:val="20"/>
        </w:rPr>
        <w:t>The transmission model based on actual network topology of the ERCOT System.</w:t>
      </w:r>
    </w:p>
    <w:p>
      <w:pPr>
        <w:pStyle w:val="TermTitle"/>
        <w:rPr>
          <w:rFonts w:ascii="Book Antiqua" w:hAnsi="Book Antiqua" w:cs="Book Antiqua"/>
          <w:sz w:val="20"/>
        </w:rPr>
      </w:pPr>
      <w:r>
        <w:rPr>
          <w:rFonts w:cs="Book Antiqua" w:ascii="Book Antiqua" w:hAnsi="Book Antiqua"/>
          <w:sz w:val="20"/>
        </w:rPr>
        <w:t>Out of Merit Order (OOM)</w:t>
      </w:r>
    </w:p>
    <w:p>
      <w:pPr>
        <w:pStyle w:val="TermDefinition"/>
        <w:rPr>
          <w:rFonts w:ascii="Book Antiqua" w:hAnsi="Book Antiqua" w:cs="Book Antiqua"/>
          <w:sz w:val="20"/>
        </w:rPr>
      </w:pPr>
      <w:r>
        <w:rPr>
          <w:rFonts w:cs="Book Antiqua" w:ascii="Book Antiqua" w:hAnsi="Book Antiqua"/>
          <w:sz w:val="20"/>
        </w:rPr>
        <w:t xml:space="preserve">The selection of Resources for Ancillary Services that would otherwise not be selected to operate because of their place (or absence) in the bidding process for that service.   </w:t>
      </w:r>
    </w:p>
    <w:p>
      <w:pPr>
        <w:pStyle w:val="TermTitle"/>
        <w:rPr>
          <w:rFonts w:ascii="Book Antiqua" w:hAnsi="Book Antiqua" w:cs="Book Antiqua"/>
          <w:sz w:val="20"/>
        </w:rPr>
      </w:pPr>
      <w:r>
        <w:rPr>
          <w:rFonts w:cs="Book Antiqua" w:ascii="Book Antiqua" w:hAnsi="Book Antiqua"/>
          <w:sz w:val="20"/>
        </w:rPr>
        <w:t>Out of Merit Capacity (OOMC)</w:t>
      </w:r>
    </w:p>
    <w:p>
      <w:pPr>
        <w:pStyle w:val="TermDefinition"/>
        <w:rPr>
          <w:rFonts w:ascii="Book Antiqua" w:hAnsi="Book Antiqua" w:cs="Book Antiqua"/>
          <w:sz w:val="20"/>
        </w:rPr>
      </w:pPr>
      <w:r>
        <w:rPr>
          <w:rFonts w:cs="Book Antiqua" w:ascii="Book Antiqua" w:hAnsi="Book Antiqua"/>
          <w:sz w:val="20"/>
        </w:rPr>
        <w:t>Capacity provided by a Resource selected by ERCOT outside the bidding process to resolve a reliability or security event when no Market Solution exists.</w:t>
      </w:r>
    </w:p>
    <w:p>
      <w:pPr>
        <w:pStyle w:val="TermTitle"/>
        <w:rPr>
          <w:rFonts w:ascii="Book Antiqua" w:hAnsi="Book Antiqua" w:cs="Book Antiqua"/>
          <w:sz w:val="20"/>
        </w:rPr>
      </w:pPr>
      <w:r>
        <w:rPr>
          <w:rFonts w:cs="Book Antiqua" w:ascii="Book Antiqua" w:hAnsi="Book Antiqua"/>
          <w:sz w:val="20"/>
        </w:rPr>
        <w:t>Out of Merit Energy (OOME)</w:t>
      </w:r>
    </w:p>
    <w:p>
      <w:pPr>
        <w:pStyle w:val="TermDefinition"/>
        <w:rPr>
          <w:rFonts w:ascii="Book Antiqua" w:hAnsi="Book Antiqua" w:cs="Book Antiqua"/>
          <w:sz w:val="20"/>
        </w:rPr>
      </w:pPr>
      <w:r>
        <w:rPr>
          <w:rFonts w:cs="Book Antiqua" w:ascii="Book Antiqua" w:hAnsi="Book Antiqua"/>
          <w:sz w:val="20"/>
        </w:rPr>
        <w:t>Energy provided by a Resource selected by ERCOT outside the bidding process to resolve a reliability or security event when no Market Solution exists.</w:t>
      </w:r>
    </w:p>
    <w:p>
      <w:pPr>
        <w:pStyle w:val="TermTitle"/>
        <w:rPr>
          <w:rFonts w:ascii="Book Antiqua" w:hAnsi="Book Antiqua" w:cs="Book Antiqua"/>
          <w:sz w:val="20"/>
        </w:rPr>
      </w:pPr>
      <w:r>
        <w:rPr>
          <w:rFonts w:cs="Book Antiqua" w:ascii="Book Antiqua" w:hAnsi="Book Antiqua"/>
          <w:sz w:val="20"/>
        </w:rPr>
        <w:t>Outage</w:t>
      </w:r>
    </w:p>
    <w:p>
      <w:pPr>
        <w:pStyle w:val="TermDefinition"/>
        <w:rPr>
          <w:rFonts w:ascii="Book Antiqua" w:hAnsi="Book Antiqua" w:cs="Book Antiqua"/>
          <w:sz w:val="20"/>
        </w:rPr>
      </w:pPr>
      <w:r>
        <w:rPr>
          <w:rFonts w:cs="Book Antiqua" w:ascii="Book Antiqua" w:hAnsi="Book Antiqua"/>
          <w:sz w:val="20"/>
        </w:rPr>
        <w:t>Removal of a Facility from service to perform maintenance, construction or repair on the Facility for a specified duration.</w:t>
      </w:r>
    </w:p>
    <w:p>
      <w:pPr>
        <w:pStyle w:val="Subterm"/>
        <w:rPr>
          <w:rFonts w:ascii="Book Antiqua" w:hAnsi="Book Antiqua" w:cs="Book Antiqua"/>
          <w:sz w:val="20"/>
        </w:rPr>
      </w:pPr>
      <w:r>
        <w:rPr>
          <w:rFonts w:cs="Book Antiqua" w:ascii="Book Antiqua" w:hAnsi="Book Antiqua"/>
          <w:sz w:val="20"/>
        </w:rPr>
        <w:t>Forced Outage</w:t>
      </w:r>
    </w:p>
    <w:p>
      <w:pPr>
        <w:pStyle w:val="SubtermDefinition"/>
        <w:rPr>
          <w:rFonts w:ascii="Book Antiqua" w:hAnsi="Book Antiqua" w:cs="Book Antiqua"/>
          <w:sz w:val="20"/>
        </w:rPr>
      </w:pPr>
      <w:r>
        <w:rPr>
          <w:rFonts w:cs="Book Antiqua" w:ascii="Book Antiqua" w:hAnsi="Book Antiqua"/>
          <w:sz w:val="20"/>
        </w:rPr>
        <w:t>A component failure or other condition that requires that the equipment be removed from service immediately or up to and including the next weekend.</w:t>
      </w:r>
    </w:p>
    <w:p>
      <w:pPr>
        <w:pStyle w:val="Subterm"/>
        <w:rPr>
          <w:rFonts w:ascii="Book Antiqua" w:hAnsi="Book Antiqua" w:cs="Book Antiqua"/>
          <w:sz w:val="20"/>
        </w:rPr>
      </w:pPr>
      <w:r>
        <w:rPr>
          <w:rFonts w:cs="Book Antiqua" w:ascii="Book Antiqua" w:hAnsi="Book Antiqua"/>
          <w:sz w:val="20"/>
        </w:rPr>
        <w:t>Maintenance Outage</w:t>
      </w:r>
    </w:p>
    <w:p>
      <w:pPr>
        <w:pStyle w:val="SubtermDefinition"/>
        <w:rPr>
          <w:rFonts w:ascii="Book Antiqua" w:hAnsi="Book Antiqua" w:cs="Book Antiqua"/>
          <w:sz w:val="20"/>
        </w:rPr>
      </w:pPr>
      <w:r>
        <w:rPr>
          <w:rFonts w:cs="Book Antiqua" w:ascii="Book Antiqua" w:hAnsi="Book Antiqua"/>
          <w:sz w:val="20"/>
        </w:rPr>
        <w:t>Removing Transmission Facility or Resource Facility equipment from service to perform work on specific Facility components that could be postponed past the very next weekend. Such work is required to prevent a potential Forced Outage and that could not be postponed until the next Planned Outage.</w:t>
      </w:r>
    </w:p>
    <w:p>
      <w:pPr>
        <w:pStyle w:val="Subterm"/>
        <w:rPr>
          <w:rFonts w:ascii="Book Antiqua" w:hAnsi="Book Antiqua" w:cs="Book Antiqua"/>
          <w:sz w:val="20"/>
        </w:rPr>
      </w:pPr>
      <w:r>
        <w:rPr>
          <w:rFonts w:cs="Book Antiqua" w:ascii="Book Antiqua" w:hAnsi="Book Antiqua"/>
          <w:sz w:val="20"/>
        </w:rPr>
        <w:t>Planned Outage</w:t>
      </w:r>
    </w:p>
    <w:p>
      <w:pPr>
        <w:pStyle w:val="SubtermDefinition"/>
        <w:rPr>
          <w:rFonts w:ascii="Book Antiqua" w:hAnsi="Book Antiqua" w:cs="Book Antiqua"/>
          <w:sz w:val="20"/>
        </w:rPr>
      </w:pPr>
      <w:r>
        <w:rPr>
          <w:rFonts w:cs="Book Antiqua" w:ascii="Book Antiqua" w:hAnsi="Book Antiqua"/>
          <w:sz w:val="20"/>
        </w:rPr>
        <w:t>Any major or minor Transmission Facility or Resource Facility equipment maintenance that is planned and scheduled in advance as submitted to ERCOT.</w:t>
      </w:r>
    </w:p>
    <w:p>
      <w:pPr>
        <w:pStyle w:val="12termdef"/>
        <w:ind w:start="0" w:end="0"/>
        <w:rPr>
          <w:rFonts w:ascii="Book Antiqua" w:hAnsi="Book Antiqua" w:cs="Book Antiqua"/>
          <w:sz w:val="20"/>
        </w:rPr>
      </w:pPr>
      <w:r>
        <w:rPr>
          <w:rFonts w:cs="Book Antiqua" w:ascii="Book Antiqua" w:hAnsi="Book Antiqua"/>
          <w:sz w:val="20"/>
        </w:rPr>
      </w:r>
    </w:p>
    <w:p>
      <w:pPr>
        <w:pStyle w:val="Heading1"/>
        <w:rPr/>
      </w:pPr>
      <w:r>
        <w:rPr/>
        <w:t>P</w:t>
      </w:r>
    </w:p>
    <w:p>
      <w:pPr>
        <w:pStyle w:val="TermTitle"/>
        <w:rPr>
          <w:rFonts w:ascii="Book Antiqua" w:hAnsi="Book Antiqua" w:cs="Book Antiqua"/>
          <w:sz w:val="20"/>
        </w:rPr>
      </w:pPr>
      <w:r>
        <w:rPr>
          <w:rFonts w:cs="Book Antiqua" w:ascii="Book Antiqua" w:hAnsi="Book Antiqua"/>
          <w:sz w:val="20"/>
        </w:rPr>
        <w:t>Postage Stamp Allocation</w:t>
      </w:r>
    </w:p>
    <w:p>
      <w:pPr>
        <w:pStyle w:val="TermDefinition"/>
        <w:rPr>
          <w:rFonts w:ascii="Book Antiqua" w:hAnsi="Book Antiqua" w:cs="Book Antiqua"/>
          <w:sz w:val="20"/>
        </w:rPr>
      </w:pPr>
      <w:r>
        <w:rPr>
          <w:rFonts w:cs="Book Antiqua" w:ascii="Book Antiqua" w:hAnsi="Book Antiqua"/>
          <w:sz w:val="20"/>
        </w:rPr>
        <w:t>The pro rata allocation of charges (or payments) which spreads to designated Entities based on a pro rata share (of actual or estimated consumption).</w:t>
      </w:r>
    </w:p>
    <w:p>
      <w:pPr>
        <w:pStyle w:val="TermTitle"/>
        <w:rPr>
          <w:rFonts w:ascii="Book Antiqua" w:hAnsi="Book Antiqua" w:cs="Book Antiqua"/>
          <w:sz w:val="20"/>
        </w:rPr>
      </w:pPr>
      <w:r>
        <w:rPr>
          <w:rFonts w:cs="Book Antiqua" w:ascii="Book Antiqua" w:hAnsi="Book Antiqua"/>
          <w:sz w:val="20"/>
        </w:rPr>
        <w:t>Power Generation Company</w:t>
      </w:r>
    </w:p>
    <w:p>
      <w:pPr>
        <w:pStyle w:val="TermDefinition"/>
        <w:rPr>
          <w:rFonts w:ascii="Book Antiqua" w:hAnsi="Book Antiqua" w:cs="Book Antiqua"/>
          <w:sz w:val="20"/>
        </w:rPr>
      </w:pPr>
      <w:r>
        <w:rPr>
          <w:rFonts w:cs="Book Antiqua" w:ascii="Book Antiqua" w:hAnsi="Book Antiqua"/>
          <w:sz w:val="20"/>
        </w:rPr>
        <w:t>An Entity registered by the PUCT that:  (1) generates electricity that is intended to be sold at wholesale;  (2) does not own a transmission or distribution Facility in this state other than an essential interconnecting Facility, a Facility not dedicated to public use, or a Facility otherwise excluded from the PURA definition of “electric utility”;  and (3) does not have a certified service area, although its affiliated electric utility or transmission and distribution utility may have a certified service area.</w:t>
      </w:r>
    </w:p>
    <w:p>
      <w:pPr>
        <w:pStyle w:val="TermTitle"/>
        <w:rPr>
          <w:rFonts w:ascii="Book Antiqua" w:hAnsi="Book Antiqua" w:cs="Book Antiqua"/>
          <w:sz w:val="20"/>
        </w:rPr>
      </w:pPr>
      <w:r>
        <w:rPr>
          <w:rFonts w:cs="Book Antiqua" w:ascii="Book Antiqua" w:hAnsi="Book Antiqua"/>
          <w:sz w:val="20"/>
        </w:rPr>
        <w:t xml:space="preserve">Power Marketer </w:t>
      </w:r>
    </w:p>
    <w:p>
      <w:pPr>
        <w:pStyle w:val="TermDefinition"/>
        <w:rPr>
          <w:rFonts w:ascii="Book Antiqua" w:hAnsi="Book Antiqua" w:cs="Book Antiqua"/>
          <w:sz w:val="20"/>
        </w:rPr>
      </w:pPr>
      <w:r>
        <w:rPr>
          <w:rFonts w:cs="Book Antiqua" w:ascii="Book Antiqua" w:hAnsi="Book Antiqua"/>
          <w:sz w:val="20"/>
        </w:rPr>
        <w:t xml:space="preserve">An Entity that: </w:t>
      </w:r>
    </w:p>
    <w:p>
      <w:pPr>
        <w:pStyle w:val="TermList"/>
        <w:numPr>
          <w:ilvl w:val="0"/>
          <w:numId w:val="12"/>
        </w:numPr>
        <w:tabs>
          <w:tab w:val="clear" w:pos="720"/>
          <w:tab w:val="left" w:pos="1080" w:leader="none"/>
          <w:tab w:val="left" w:pos="1440" w:leader="none"/>
        </w:tabs>
        <w:ind w:hanging="360" w:start="1080" w:end="0"/>
        <w:rPr>
          <w:rFonts w:ascii="Book Antiqua" w:hAnsi="Book Antiqua" w:cs="Book Antiqua"/>
          <w:sz w:val="20"/>
        </w:rPr>
      </w:pPr>
      <w:r>
        <w:rPr>
          <w:rFonts w:cs="Book Antiqua" w:ascii="Book Antiqua" w:hAnsi="Book Antiqua"/>
          <w:sz w:val="20"/>
        </w:rPr>
        <w:t xml:space="preserve">Becomes an owner or controller of electric energy in this state for the purpose of buying and selling the electric energy at wholesale; </w:t>
      </w:r>
    </w:p>
    <w:p>
      <w:pPr>
        <w:pStyle w:val="TermList"/>
        <w:numPr>
          <w:ilvl w:val="0"/>
          <w:numId w:val="12"/>
        </w:numPr>
        <w:tabs>
          <w:tab w:val="clear" w:pos="720"/>
          <w:tab w:val="left" w:pos="1080" w:leader="none"/>
          <w:tab w:val="left" w:pos="1440" w:leader="none"/>
        </w:tabs>
        <w:ind w:hanging="360" w:start="1080" w:end="0"/>
        <w:rPr>
          <w:rFonts w:ascii="Book Antiqua" w:hAnsi="Book Antiqua" w:cs="Book Antiqua"/>
          <w:sz w:val="20"/>
        </w:rPr>
      </w:pPr>
      <w:r>
        <w:rPr>
          <w:rFonts w:cs="Book Antiqua" w:ascii="Book Antiqua" w:hAnsi="Book Antiqua"/>
          <w:sz w:val="20"/>
        </w:rPr>
        <w:t xml:space="preserve">Does not own generation, transmission, or distribution Facilities in this state; </w:t>
      </w:r>
    </w:p>
    <w:p>
      <w:pPr>
        <w:pStyle w:val="TermList"/>
        <w:numPr>
          <w:ilvl w:val="0"/>
          <w:numId w:val="12"/>
        </w:numPr>
        <w:tabs>
          <w:tab w:val="clear" w:pos="720"/>
          <w:tab w:val="left" w:pos="1080" w:leader="none"/>
          <w:tab w:val="left" w:pos="1440" w:leader="none"/>
        </w:tabs>
        <w:ind w:hanging="360" w:start="1080" w:end="0"/>
        <w:rPr>
          <w:rFonts w:ascii="Book Antiqua" w:hAnsi="Book Antiqua" w:cs="Book Antiqua"/>
          <w:sz w:val="20"/>
        </w:rPr>
      </w:pPr>
      <w:r>
        <w:rPr>
          <w:rFonts w:cs="Book Antiqua" w:ascii="Book Antiqua" w:hAnsi="Book Antiqua"/>
          <w:sz w:val="20"/>
        </w:rPr>
        <w:t xml:space="preserve">Does not have a certified service area; and </w:t>
      </w:r>
    </w:p>
    <w:p>
      <w:pPr>
        <w:pStyle w:val="TermList"/>
        <w:numPr>
          <w:ilvl w:val="0"/>
          <w:numId w:val="12"/>
        </w:numPr>
        <w:tabs>
          <w:tab w:val="clear" w:pos="720"/>
          <w:tab w:val="left" w:pos="1080" w:leader="none"/>
          <w:tab w:val="left" w:pos="1440" w:leader="none"/>
        </w:tabs>
        <w:ind w:hanging="360" w:start="1080" w:end="0"/>
        <w:rPr>
          <w:rFonts w:ascii="Book Antiqua" w:hAnsi="Book Antiqua" w:cs="Book Antiqua"/>
          <w:sz w:val="20"/>
        </w:rPr>
      </w:pPr>
      <w:r>
        <w:rPr>
          <w:rFonts w:cs="Book Antiqua" w:ascii="Book Antiqua" w:hAnsi="Book Antiqua"/>
          <w:sz w:val="20"/>
        </w:rPr>
        <w:t>Has been granted authority by the Federal Energy Regulatory Commission to sell electric energy at market-based rates or has registered as a power marketer.</w:t>
      </w:r>
    </w:p>
    <w:p>
      <w:pPr>
        <w:pStyle w:val="TermTitle"/>
        <w:rPr>
          <w:rFonts w:ascii="Book Antiqua" w:hAnsi="Book Antiqua" w:cs="Book Antiqua"/>
          <w:sz w:val="20"/>
        </w:rPr>
      </w:pPr>
      <w:r>
        <w:rPr>
          <w:rFonts w:cs="Book Antiqua" w:ascii="Book Antiqua" w:hAnsi="Book Antiqua"/>
          <w:sz w:val="20"/>
        </w:rPr>
        <w:t>Premise</w:t>
      </w:r>
    </w:p>
    <w:p>
      <w:pPr>
        <w:pStyle w:val="TermDefinition"/>
        <w:rPr>
          <w:rFonts w:ascii="Book Antiqua" w:hAnsi="Book Antiqua" w:cs="Book Antiqua"/>
          <w:sz w:val="20"/>
        </w:rPr>
      </w:pPr>
      <w:r>
        <w:rPr>
          <w:rFonts w:cs="Book Antiqua" w:ascii="Book Antiqua" w:hAnsi="Book Antiqua"/>
          <w:sz w:val="20"/>
        </w:rPr>
        <w:t>A Service Delivery Point or combination of Service Delivery Points that are assigned a single Electric Service Identifier (ESI ID) for purposes of settlement and registration.</w:t>
      </w:r>
    </w:p>
    <w:p>
      <w:pPr>
        <w:pStyle w:val="TermTitle"/>
        <w:rPr>
          <w:rFonts w:ascii="Book Antiqua" w:hAnsi="Book Antiqua" w:cs="Book Antiqua"/>
          <w:sz w:val="20"/>
        </w:rPr>
      </w:pPr>
      <w:r>
        <w:rPr>
          <w:rFonts w:cs="Book Antiqua" w:ascii="Book Antiqua" w:hAnsi="Book Antiqua"/>
          <w:sz w:val="20"/>
        </w:rPr>
        <w:t>Price-to-Beat</w:t>
      </w:r>
    </w:p>
    <w:p>
      <w:pPr>
        <w:pStyle w:val="12termdef"/>
        <w:rPr>
          <w:rFonts w:ascii="Book Antiqua" w:hAnsi="Book Antiqua" w:cs="Book Antiqua"/>
          <w:sz w:val="20"/>
        </w:rPr>
      </w:pPr>
      <w:r>
        <w:rPr>
          <w:rFonts w:cs="Book Antiqua" w:ascii="Book Antiqua" w:hAnsi="Book Antiqua"/>
          <w:sz w:val="20"/>
        </w:rPr>
        <w:t>The bundled rate a Retail Electric Provider that is affiliated with an Entity required to unbundle its electric services, and offer Customer Choice, must charge to residential and small commercial Customers upon initiation of Customer Choice, as further described in Section 39.202 of PURA and PUCT rules.</w:t>
      </w:r>
    </w:p>
    <w:p>
      <w:pPr>
        <w:pStyle w:val="TermTitle"/>
        <w:rPr/>
      </w:pPr>
      <w:r>
        <w:rPr>
          <w:rFonts w:cs="Book Antiqua" w:ascii="Book Antiqua" w:hAnsi="Book Antiqua"/>
          <w:sz w:val="20"/>
        </w:rPr>
        <w:t>Programmatic</w:t>
      </w:r>
      <w:r>
        <w:rPr>
          <w:rFonts w:cs="Book Antiqua" w:ascii="Book Antiqua" w:hAnsi="Book Antiqua"/>
          <w:b w:val="false"/>
          <w:sz w:val="20"/>
        </w:rPr>
        <w:t xml:space="preserve"> Interface </w:t>
      </w:r>
    </w:p>
    <w:p>
      <w:pPr>
        <w:pStyle w:val="12termdef"/>
        <w:rPr>
          <w:rFonts w:ascii="Book Antiqua" w:hAnsi="Book Antiqua" w:cs="Book Antiqua"/>
          <w:sz w:val="20"/>
        </w:rPr>
      </w:pPr>
      <w:r>
        <w:rPr>
          <w:rFonts w:cs="Book Antiqua" w:ascii="Book Antiqua" w:hAnsi="Book Antiqua"/>
          <w:sz w:val="20"/>
        </w:rPr>
        <w:t>A published specification intended to support automated interaction of systems between Market Participants and ERCOT.</w:t>
      </w:r>
    </w:p>
    <w:p>
      <w:pPr>
        <w:pStyle w:val="Heading1"/>
        <w:rPr/>
      </w:pPr>
      <w:r>
        <w:rPr/>
        <w:t>Q</w:t>
      </w:r>
    </w:p>
    <w:p>
      <w:pPr>
        <w:pStyle w:val="TermTitle"/>
        <w:rPr>
          <w:rFonts w:ascii="Book Antiqua" w:hAnsi="Book Antiqua" w:cs="Book Antiqua"/>
          <w:sz w:val="20"/>
        </w:rPr>
      </w:pPr>
      <w:r>
        <w:rPr>
          <w:rFonts w:cs="Book Antiqua" w:ascii="Book Antiqua" w:hAnsi="Book Antiqua"/>
          <w:sz w:val="20"/>
        </w:rPr>
        <w:t>Qualified Scheduling Entity (QSE)</w:t>
      </w:r>
    </w:p>
    <w:p>
      <w:pPr>
        <w:pStyle w:val="12termdef"/>
        <w:rPr>
          <w:rFonts w:ascii="Book Antiqua" w:hAnsi="Book Antiqua" w:cs="Book Antiqua"/>
          <w:sz w:val="20"/>
        </w:rPr>
      </w:pPr>
      <w:r>
        <w:rPr>
          <w:rFonts w:cs="Book Antiqua" w:ascii="Book Antiqua" w:hAnsi="Book Antiqua"/>
          <w:sz w:val="20"/>
        </w:rPr>
        <w:t xml:space="preserve">A Market Participant that is qualified by ERCOT in accordance with ERCOT Protocols Section 16, Qualification of Qualified Scheduling Entities and Registration of Market Participants, to submit Balanced Schedules and Ancillary Services bids and settle payments with ERCOT. </w:t>
      </w:r>
    </w:p>
    <w:p>
      <w:pPr>
        <w:pStyle w:val="TermTitle"/>
        <w:rPr>
          <w:rFonts w:ascii="Book Antiqua" w:hAnsi="Book Antiqua" w:cs="Book Antiqua"/>
          <w:sz w:val="20"/>
        </w:rPr>
      </w:pPr>
      <w:r>
        <w:rPr>
          <w:rFonts w:cs="Book Antiqua" w:ascii="Book Antiqua" w:hAnsi="Book Antiqua"/>
          <w:sz w:val="20"/>
        </w:rPr>
        <w:t>Qualified Scheduling Entity Operator</w:t>
      </w:r>
    </w:p>
    <w:p>
      <w:pPr>
        <w:pStyle w:val="TermDefinition"/>
        <w:rPr>
          <w:rFonts w:ascii="Book Antiqua" w:hAnsi="Book Antiqua" w:cs="Book Antiqua"/>
          <w:sz w:val="20"/>
        </w:rPr>
      </w:pPr>
      <w:r>
        <w:rPr>
          <w:rFonts w:cs="Book Antiqua" w:ascii="Book Antiqua" w:hAnsi="Book Antiqua"/>
          <w:sz w:val="20"/>
        </w:rPr>
        <w:t>The person designated by the QSE to communicate with ERCOT on a 24-hour basis.</w:t>
      </w:r>
    </w:p>
    <w:p>
      <w:pPr>
        <w:pStyle w:val="Heading1"/>
        <w:rPr/>
      </w:pPr>
      <w:r>
        <w:rPr/>
        <w:t>R</w:t>
      </w:r>
    </w:p>
    <w:p>
      <w:pPr>
        <w:pStyle w:val="TermTitle"/>
        <w:rPr>
          <w:rFonts w:ascii="Book Antiqua" w:hAnsi="Book Antiqua" w:cs="Book Antiqua"/>
          <w:sz w:val="20"/>
        </w:rPr>
      </w:pPr>
      <w:r>
        <w:rPr>
          <w:rFonts w:cs="Book Antiqua" w:ascii="Book Antiqua" w:hAnsi="Book Antiqua"/>
          <w:sz w:val="20"/>
        </w:rPr>
        <w:t>Reactive Power</w:t>
      </w:r>
    </w:p>
    <w:p>
      <w:pPr>
        <w:pStyle w:val="TermDefinition"/>
        <w:rPr>
          <w:rFonts w:ascii="Book Antiqua" w:hAnsi="Book Antiqua" w:cs="Book Antiqua"/>
          <w:sz w:val="20"/>
        </w:rPr>
      </w:pPr>
      <w:r>
        <w:rPr>
          <w:rFonts w:cs="Book Antiqua" w:ascii="Book Antiqua" w:hAnsi="Book Antiqua"/>
          <w:sz w:val="20"/>
        </w:rPr>
        <w:t>The product of voltage and the out-of-phase component of alternating current.  Reactive Power, usually measured in megavolt-amperes reactive, is produced by capacitors, overexcited generators and other capacitive devices and is absorbed by reactors, underexcited generators and other inductive devices.</w:t>
      </w:r>
    </w:p>
    <w:p>
      <w:pPr>
        <w:pStyle w:val="TermTitle"/>
        <w:rPr/>
      </w:pPr>
      <w:r>
        <w:rPr>
          <w:rFonts w:cs="Book Antiqua" w:ascii="Book Antiqua" w:hAnsi="Book Antiqua"/>
          <w:sz w:val="20"/>
        </w:rPr>
        <w:t>Reactive</w:t>
      </w:r>
      <w:r>
        <w:rPr>
          <w:rFonts w:cs="Book Antiqua" w:ascii="Book Antiqua" w:hAnsi="Book Antiqua"/>
          <w:b w:val="false"/>
          <w:sz w:val="20"/>
        </w:rPr>
        <w:t xml:space="preserve"> Power Profile</w:t>
      </w:r>
    </w:p>
    <w:p>
      <w:pPr>
        <w:pStyle w:val="TermDefinition"/>
        <w:rPr>
          <w:rFonts w:ascii="Book Antiqua" w:hAnsi="Book Antiqua" w:cs="Book Antiqua"/>
          <w:sz w:val="20"/>
        </w:rPr>
      </w:pPr>
      <w:r>
        <w:rPr>
          <w:rFonts w:cs="Book Antiqua" w:ascii="Book Antiqua" w:hAnsi="Book Antiqua"/>
          <w:b/>
          <w:i/>
          <w:sz w:val="20"/>
        </w:rPr>
        <w:t>See</w:t>
      </w:r>
      <w:r>
        <w:rPr>
          <w:rFonts w:cs="Book Antiqua" w:ascii="Book Antiqua" w:hAnsi="Book Antiqua"/>
          <w:b/>
          <w:sz w:val="20"/>
        </w:rPr>
        <w:t xml:space="preserve"> Voltage Profile.</w:t>
      </w:r>
    </w:p>
    <w:p>
      <w:pPr>
        <w:pStyle w:val="TermTitle"/>
        <w:rPr>
          <w:rFonts w:ascii="Book Antiqua" w:hAnsi="Book Antiqua" w:cs="Book Antiqua"/>
          <w:sz w:val="20"/>
        </w:rPr>
      </w:pPr>
      <w:r>
        <w:rPr>
          <w:rFonts w:cs="Book Antiqua" w:ascii="Book Antiqua" w:hAnsi="Book Antiqua"/>
          <w:sz w:val="20"/>
        </w:rPr>
        <w:t>Reactive Reserve</w:t>
      </w:r>
    </w:p>
    <w:p>
      <w:pPr>
        <w:pStyle w:val="TermDefinition"/>
        <w:rPr>
          <w:rFonts w:ascii="Book Antiqua" w:hAnsi="Book Antiqua" w:cs="Book Antiqua"/>
          <w:sz w:val="20"/>
        </w:rPr>
      </w:pPr>
      <w:r>
        <w:rPr>
          <w:rFonts w:cs="Book Antiqua" w:ascii="Book Antiqua" w:hAnsi="Book Antiqua"/>
          <w:sz w:val="20"/>
        </w:rPr>
        <w:t>That reactive capability required to meet sudden loss of generation, Load or transmission capacity and maintain voltage within desired limits.</w:t>
      </w:r>
    </w:p>
    <w:p>
      <w:pPr>
        <w:pStyle w:val="TermTitle"/>
        <w:rPr>
          <w:rFonts w:ascii="Book Antiqua" w:hAnsi="Book Antiqua" w:cs="Book Antiqua"/>
          <w:sz w:val="20"/>
        </w:rPr>
      </w:pPr>
      <w:r>
        <w:rPr>
          <w:rFonts w:cs="Book Antiqua" w:ascii="Book Antiqua" w:hAnsi="Book Antiqua"/>
          <w:sz w:val="20"/>
        </w:rPr>
        <w:t xml:space="preserve">Real Time </w:t>
      </w:r>
    </w:p>
    <w:p>
      <w:pPr>
        <w:pStyle w:val="TermDefinition"/>
        <w:rPr>
          <w:rFonts w:ascii="Book Antiqua" w:hAnsi="Book Antiqua" w:cs="Book Antiqua"/>
          <w:sz w:val="20"/>
        </w:rPr>
      </w:pPr>
      <w:r>
        <w:rPr>
          <w:rFonts w:cs="Book Antiqua" w:ascii="Book Antiqua" w:hAnsi="Book Antiqua"/>
          <w:sz w:val="20"/>
        </w:rPr>
        <w:t xml:space="preserve">The current instant in time.  </w:t>
      </w:r>
    </w:p>
    <w:p>
      <w:pPr>
        <w:pStyle w:val="TermTitle"/>
        <w:rPr>
          <w:rFonts w:ascii="Book Antiqua" w:hAnsi="Book Antiqua" w:cs="Book Antiqua"/>
          <w:sz w:val="20"/>
        </w:rPr>
      </w:pPr>
      <w:r>
        <w:rPr>
          <w:rFonts w:cs="Book Antiqua" w:ascii="Book Antiqua" w:hAnsi="Book Antiqua"/>
          <w:sz w:val="20"/>
        </w:rPr>
        <w:t>Registered Market Participant</w:t>
      </w:r>
    </w:p>
    <w:p>
      <w:pPr>
        <w:pStyle w:val="TermDefinition"/>
        <w:rPr>
          <w:rFonts w:ascii="Book Antiqua" w:hAnsi="Book Antiqua" w:cs="Book Antiqua"/>
          <w:sz w:val="20"/>
        </w:rPr>
      </w:pPr>
      <w:r>
        <w:rPr>
          <w:rFonts w:cs="Book Antiqua" w:ascii="Book Antiqua" w:hAnsi="Book Antiqua"/>
          <w:sz w:val="20"/>
        </w:rPr>
        <w:t>Entity that is registered with ERCOT to participate in the competitive market administered by ERCOT within the ERCOT Region. Registered Market Participants include those using statewide systems administered by ERCOT and may be non-ERCOT participants.</w:t>
      </w:r>
    </w:p>
    <w:p>
      <w:pPr>
        <w:pStyle w:val="TermTitle"/>
        <w:rPr>
          <w:rFonts w:ascii="Book Antiqua" w:hAnsi="Book Antiqua" w:cs="Book Antiqua"/>
          <w:sz w:val="20"/>
        </w:rPr>
      </w:pPr>
      <w:r>
        <w:rPr>
          <w:rFonts w:cs="Book Antiqua" w:ascii="Book Antiqua" w:hAnsi="Book Antiqua"/>
          <w:sz w:val="20"/>
        </w:rPr>
        <w:t>Registration Processing Period</w:t>
      </w:r>
    </w:p>
    <w:p>
      <w:pPr>
        <w:pStyle w:val="TermDefinition"/>
        <w:rPr>
          <w:rFonts w:ascii="Book Antiqua" w:hAnsi="Book Antiqua" w:cs="Book Antiqua"/>
          <w:sz w:val="20"/>
        </w:rPr>
      </w:pPr>
      <w:r>
        <w:rPr>
          <w:rFonts w:cs="Book Antiqua" w:ascii="Book Antiqua" w:hAnsi="Book Antiqua"/>
          <w:sz w:val="20"/>
        </w:rPr>
        <w:t>Minimum amount of time the ERCOT registration system requires to process transactions. This period begins when ERCOT receives a registration transaction request and continues until the completion of the transaction.</w:t>
      </w:r>
    </w:p>
    <w:p>
      <w:pPr>
        <w:pStyle w:val="TermTitle"/>
        <w:rPr>
          <w:rFonts w:ascii="Book Antiqua" w:hAnsi="Book Antiqua" w:cs="Book Antiqua"/>
          <w:sz w:val="20"/>
        </w:rPr>
      </w:pPr>
      <w:r>
        <w:rPr>
          <w:rFonts w:cs="Book Antiqua" w:ascii="Book Antiqua" w:hAnsi="Book Antiqua"/>
          <w:sz w:val="20"/>
        </w:rPr>
        <w:t>Regulation Service (RGS)</w:t>
      </w:r>
    </w:p>
    <w:p>
      <w:pPr>
        <w:pStyle w:val="TermDefinition"/>
        <w:rPr>
          <w:rFonts w:ascii="Book Antiqua" w:hAnsi="Book Antiqua" w:cs="Book Antiqua"/>
          <w:sz w:val="20"/>
        </w:rPr>
      </w:pPr>
      <w:r>
        <w:rPr>
          <w:rFonts w:cs="Book Antiqua" w:ascii="Book Antiqua" w:hAnsi="Book Antiqua"/>
          <w:sz w:val="20"/>
        </w:rPr>
        <w:t xml:space="preserve">A service that is used to control the power output of Generation Resources in response to a change in system frequency so as to maintain the target system frequency within predetermined limits. </w:t>
      </w:r>
    </w:p>
    <w:p>
      <w:pPr>
        <w:pStyle w:val="TermTitle"/>
        <w:rPr>
          <w:rFonts w:ascii="Book Antiqua" w:hAnsi="Book Antiqua" w:cs="Book Antiqua"/>
          <w:sz w:val="20"/>
        </w:rPr>
      </w:pPr>
      <w:r>
        <w:rPr>
          <w:rFonts w:cs="Book Antiqua" w:ascii="Book Antiqua" w:hAnsi="Book Antiqua"/>
          <w:sz w:val="20"/>
        </w:rPr>
        <w:t>Reliability Must Run (RMR) Service</w:t>
      </w:r>
    </w:p>
    <w:p>
      <w:pPr>
        <w:pStyle w:val="TermDefinition"/>
        <w:rPr>
          <w:rFonts w:ascii="Book Antiqua" w:hAnsi="Book Antiqua" w:cs="Book Antiqua"/>
          <w:sz w:val="20"/>
        </w:rPr>
      </w:pPr>
      <w:r>
        <w:rPr>
          <w:rFonts w:cs="Book Antiqua" w:ascii="Book Antiqua" w:hAnsi="Book Antiqua"/>
          <w:sz w:val="20"/>
        </w:rPr>
        <w:t>The provision of generation capacity and/or energy resources from an Reliability Must Run Unit or a Synchronous Condenser Unit.</w:t>
      </w:r>
    </w:p>
    <w:p>
      <w:pPr>
        <w:pStyle w:val="TermTitle"/>
        <w:rPr>
          <w:rFonts w:ascii="Book Antiqua" w:hAnsi="Book Antiqua" w:cs="Book Antiqua"/>
          <w:sz w:val="20"/>
        </w:rPr>
      </w:pPr>
      <w:r>
        <w:rPr>
          <w:rFonts w:cs="Book Antiqua" w:ascii="Book Antiqua" w:hAnsi="Book Antiqua"/>
          <w:sz w:val="20"/>
        </w:rPr>
        <w:t>Reliability Must Run (RMR) Unit</w:t>
      </w:r>
    </w:p>
    <w:p>
      <w:pPr>
        <w:pStyle w:val="TermDefinition"/>
        <w:rPr>
          <w:rFonts w:ascii="Book Antiqua" w:hAnsi="Book Antiqua" w:cs="Book Antiqua"/>
          <w:sz w:val="20"/>
        </w:rPr>
      </w:pPr>
      <w:r>
        <w:rPr>
          <w:rFonts w:cs="Book Antiqua" w:ascii="Book Antiqua" w:hAnsi="Book Antiqua"/>
          <w:sz w:val="20"/>
        </w:rPr>
        <w:t>A Generation Resource unit operated under the terms of an annual Agreement with ERCOT that would not otherwise be operated except that they are necessary to provide voltage support, stability or management of localized transmission constraints under first contingency criteria where Market Solutions do not exist.</w:t>
      </w:r>
    </w:p>
    <w:p>
      <w:pPr>
        <w:pStyle w:val="TermTitle"/>
        <w:rPr>
          <w:rFonts w:ascii="Book Antiqua" w:hAnsi="Book Antiqua" w:cs="Book Antiqua"/>
          <w:sz w:val="20"/>
        </w:rPr>
      </w:pPr>
      <w:r>
        <w:rPr>
          <w:rFonts w:cs="Book Antiqua" w:ascii="Book Antiqua" w:hAnsi="Book Antiqua"/>
          <w:sz w:val="20"/>
        </w:rPr>
        <w:t>Replacement Reserve Service (RRS)</w:t>
      </w:r>
    </w:p>
    <w:p>
      <w:pPr>
        <w:pStyle w:val="12termdef"/>
        <w:rPr>
          <w:rFonts w:ascii="Book Antiqua" w:hAnsi="Book Antiqua" w:cs="Book Antiqua"/>
          <w:sz w:val="20"/>
        </w:rPr>
      </w:pPr>
      <w:r>
        <w:rPr>
          <w:rFonts w:cs="Book Antiqua" w:ascii="Book Antiqua" w:hAnsi="Book Antiqua"/>
          <w:sz w:val="20"/>
        </w:rPr>
        <w:t>A service that is procured from Generation Resource units planned to be off-line and Load acting as a Resource that are available for interruption during the period of requirement.</w:t>
      </w:r>
    </w:p>
    <w:p>
      <w:pPr>
        <w:pStyle w:val="TermTitle"/>
        <w:rPr>
          <w:rFonts w:ascii="Book Antiqua" w:hAnsi="Book Antiqua" w:cs="Book Antiqua"/>
          <w:sz w:val="20"/>
        </w:rPr>
      </w:pPr>
      <w:r>
        <w:rPr>
          <w:rFonts w:cs="Book Antiqua" w:ascii="Book Antiqua" w:hAnsi="Book Antiqua"/>
          <w:sz w:val="20"/>
        </w:rPr>
        <w:t>Resource</w:t>
      </w:r>
    </w:p>
    <w:p>
      <w:pPr>
        <w:pStyle w:val="TermDefinition"/>
        <w:rPr>
          <w:rFonts w:ascii="Book Antiqua" w:hAnsi="Book Antiqua" w:cs="Book Antiqua"/>
          <w:sz w:val="20"/>
        </w:rPr>
      </w:pPr>
      <w:r>
        <w:rPr>
          <w:rFonts w:cs="Book Antiqua" w:ascii="Book Antiqua" w:hAnsi="Book Antiqua"/>
          <w:sz w:val="20"/>
        </w:rPr>
        <w:t>Facilities or Load capable of providing or reducing the need for electrical energy or providing Ancillary Services to the ERCOT System, as described in ERCOT Protocols Section 6, Ancillary Services.  This includes Generation Resources and Loads acting as Resources.</w:t>
      </w:r>
    </w:p>
    <w:p>
      <w:pPr>
        <w:pStyle w:val="TermTitle"/>
        <w:rPr>
          <w:rFonts w:ascii="Book Antiqua" w:hAnsi="Book Antiqua" w:cs="Book Antiqua"/>
          <w:sz w:val="20"/>
        </w:rPr>
      </w:pPr>
      <w:r>
        <w:rPr>
          <w:rFonts w:cs="Book Antiqua" w:ascii="Book Antiqua" w:hAnsi="Book Antiqua"/>
          <w:sz w:val="20"/>
        </w:rPr>
        <w:t>Resource Entity</w:t>
      </w:r>
    </w:p>
    <w:p>
      <w:pPr>
        <w:pStyle w:val="12termdef"/>
        <w:rPr>
          <w:rFonts w:ascii="Book Antiqua" w:hAnsi="Book Antiqua" w:cs="Book Antiqua"/>
          <w:sz w:val="20"/>
        </w:rPr>
      </w:pPr>
      <w:r>
        <w:rPr>
          <w:rFonts w:cs="Book Antiqua" w:ascii="Book Antiqua" w:hAnsi="Book Antiqua"/>
          <w:sz w:val="20"/>
        </w:rPr>
        <w:t>A Market Participant that owns or controls a Resource.</w:t>
      </w:r>
    </w:p>
    <w:p>
      <w:pPr>
        <w:pStyle w:val="TermTitle"/>
        <w:rPr>
          <w:rFonts w:ascii="Book Antiqua" w:hAnsi="Book Antiqua" w:cs="Book Antiqua"/>
          <w:sz w:val="20"/>
        </w:rPr>
      </w:pPr>
      <w:r>
        <w:rPr>
          <w:rFonts w:cs="Book Antiqua" w:ascii="Book Antiqua" w:hAnsi="Book Antiqua"/>
          <w:sz w:val="20"/>
        </w:rPr>
        <w:t>Resource Plan</w:t>
      </w:r>
    </w:p>
    <w:p>
      <w:pPr>
        <w:pStyle w:val="12termdef"/>
        <w:rPr>
          <w:rFonts w:ascii="Book Antiqua" w:hAnsi="Book Antiqua" w:cs="Book Antiqua"/>
          <w:sz w:val="20"/>
        </w:rPr>
      </w:pPr>
      <w:r>
        <w:rPr>
          <w:rFonts w:cs="Book Antiqua" w:ascii="Book Antiqua" w:hAnsi="Book Antiqua"/>
          <w:sz w:val="20"/>
        </w:rPr>
        <w:t>A plan provided by a QSE to ERCOT indicating the forecast state of Generation Resources or individual Loads each acting as a Resource, including information on availability, limits and forecast generation or Load of each Resource.</w:t>
      </w:r>
    </w:p>
    <w:p>
      <w:pPr>
        <w:pStyle w:val="TermTitle"/>
        <w:rPr>
          <w:rFonts w:ascii="Book Antiqua" w:hAnsi="Book Antiqua" w:cs="Book Antiqua"/>
          <w:sz w:val="20"/>
        </w:rPr>
      </w:pPr>
      <w:r>
        <w:rPr>
          <w:rFonts w:cs="Book Antiqua" w:ascii="Book Antiqua" w:hAnsi="Book Antiqua"/>
          <w:sz w:val="20"/>
        </w:rPr>
        <w:t>Responsive Reserve Service</w:t>
      </w:r>
    </w:p>
    <w:p>
      <w:pPr>
        <w:pStyle w:val="TermDefinition"/>
        <w:rPr>
          <w:rFonts w:ascii="Book Antiqua" w:hAnsi="Book Antiqua" w:cs="Book Antiqua"/>
          <w:sz w:val="20"/>
        </w:rPr>
      </w:pPr>
      <w:r>
        <w:rPr>
          <w:rFonts w:cs="Book Antiqua" w:ascii="Book Antiqua" w:hAnsi="Book Antiqua"/>
          <w:sz w:val="20"/>
        </w:rPr>
        <w:t xml:space="preserve">Responsive Reserve consists of the daily operating reserves that are intended to help restore the frequency of the interconnected transmission system within the first few minutes of an event that causes a significant deviation from the standard frequency. </w:t>
      </w:r>
    </w:p>
    <w:p>
      <w:pPr>
        <w:pStyle w:val="TermTitle"/>
        <w:rPr>
          <w:rFonts w:ascii="Book Antiqua" w:hAnsi="Book Antiqua" w:cs="Book Antiqua"/>
          <w:sz w:val="20"/>
        </w:rPr>
      </w:pPr>
      <w:r>
        <w:rPr>
          <w:rFonts w:cs="Book Antiqua" w:ascii="Book Antiqua" w:hAnsi="Book Antiqua"/>
          <w:sz w:val="20"/>
        </w:rPr>
        <w:t xml:space="preserve">Retail Electric Provider </w:t>
      </w:r>
    </w:p>
    <w:p>
      <w:pPr>
        <w:pStyle w:val="12termdef"/>
        <w:rPr>
          <w:rFonts w:ascii="Book Antiqua" w:hAnsi="Book Antiqua" w:cs="Book Antiqua"/>
          <w:sz w:val="20"/>
        </w:rPr>
      </w:pPr>
      <w:r>
        <w:rPr>
          <w:rFonts w:cs="Book Antiqua" w:ascii="Book Antiqua" w:hAnsi="Book Antiqua"/>
          <w:sz w:val="20"/>
        </w:rPr>
        <w:t xml:space="preserve">A person that sells electric energy to retail Customers in this state. As provided in PURA §31.002(17), a Retail Electric Provider may not own or operate generation assets. As provided in PURA §39.353(b), a Retail Electric Provider is not an Aggregator.  </w:t>
      </w:r>
    </w:p>
    <w:p>
      <w:pPr>
        <w:pStyle w:val="Heading1"/>
        <w:rPr/>
      </w:pPr>
      <w:r>
        <w:rPr/>
        <w:t>S</w:t>
      </w:r>
    </w:p>
    <w:p>
      <w:pPr>
        <w:pStyle w:val="TermTitle"/>
        <w:rPr>
          <w:rFonts w:ascii="Book Antiqua" w:hAnsi="Book Antiqua" w:cs="Book Antiqua"/>
          <w:sz w:val="20"/>
        </w:rPr>
      </w:pPr>
      <w:r>
        <w:rPr>
          <w:rFonts w:cs="Book Antiqua" w:ascii="Book Antiqua" w:hAnsi="Book Antiqua"/>
          <w:sz w:val="20"/>
        </w:rPr>
        <w:t>Self-Arranged Ancillary Service</w:t>
      </w:r>
    </w:p>
    <w:p>
      <w:pPr>
        <w:pStyle w:val="TermDefinition"/>
        <w:rPr>
          <w:rFonts w:ascii="Book Antiqua" w:hAnsi="Book Antiqua" w:cs="Book Antiqua"/>
          <w:sz w:val="20"/>
        </w:rPr>
      </w:pPr>
      <w:r>
        <w:rPr>
          <w:rFonts w:cs="Book Antiqua" w:ascii="Book Antiqua" w:hAnsi="Book Antiqua"/>
          <w:sz w:val="20"/>
        </w:rPr>
        <w:t>Resources used for Ancillary Services designated by a QSE for use by ERCOT for meeting the ERCOT allocated portion of the Ancillary Services Obligations of a QSE.   These Resources may not be included in the ERCOT Ancillary Services market.</w:t>
      </w:r>
    </w:p>
    <w:p>
      <w:pPr>
        <w:pStyle w:val="TermTitle"/>
        <w:rPr>
          <w:rFonts w:ascii="Book Antiqua" w:hAnsi="Book Antiqua" w:cs="Book Antiqua"/>
          <w:sz w:val="20"/>
        </w:rPr>
      </w:pPr>
      <w:r>
        <w:rPr>
          <w:rFonts w:cs="Book Antiqua" w:ascii="Book Antiqua" w:hAnsi="Book Antiqua"/>
          <w:sz w:val="20"/>
        </w:rPr>
        <w:t>Service Address</w:t>
      </w:r>
    </w:p>
    <w:p>
      <w:pPr>
        <w:pStyle w:val="TermDefinition"/>
        <w:rPr>
          <w:rFonts w:ascii="Book Antiqua" w:hAnsi="Book Antiqua" w:cs="Book Antiqua"/>
          <w:sz w:val="20"/>
        </w:rPr>
      </w:pPr>
      <w:r>
        <w:rPr>
          <w:rFonts w:cs="Book Antiqua" w:ascii="Book Antiqua" w:hAnsi="Book Antiqua"/>
          <w:sz w:val="20"/>
        </w:rPr>
        <w:t>The street address associated with an ESI-ID as recorded in the Registration Database.  This address shall conform to United States Postal Service Publication 28.</w:t>
      </w:r>
    </w:p>
    <w:p>
      <w:pPr>
        <w:pStyle w:val="TermTitle"/>
        <w:rPr>
          <w:rFonts w:ascii="Book Antiqua" w:hAnsi="Book Antiqua" w:cs="Book Antiqua"/>
          <w:sz w:val="20"/>
        </w:rPr>
      </w:pPr>
      <w:r>
        <w:rPr>
          <w:rFonts w:cs="Book Antiqua" w:ascii="Book Antiqua" w:hAnsi="Book Antiqua"/>
          <w:sz w:val="20"/>
        </w:rPr>
        <w:t>Service Delivery Point</w:t>
      </w:r>
    </w:p>
    <w:p>
      <w:pPr>
        <w:pStyle w:val="12termdef"/>
        <w:rPr>
          <w:rFonts w:ascii="Book Antiqua" w:hAnsi="Book Antiqua" w:cs="Book Antiqua"/>
          <w:sz w:val="20"/>
        </w:rPr>
      </w:pPr>
      <w:r>
        <w:rPr>
          <w:rFonts w:cs="Book Antiqua" w:ascii="Book Antiqua" w:hAnsi="Book Antiqua"/>
          <w:sz w:val="20"/>
        </w:rPr>
        <w:t>The specific point on the TDSP’s system where electricity flows from the TDSP to a Load.</w:t>
      </w:r>
    </w:p>
    <w:p>
      <w:pPr>
        <w:pStyle w:val="TermTitle"/>
        <w:rPr>
          <w:rFonts w:ascii="Book Antiqua" w:hAnsi="Book Antiqua" w:cs="Book Antiqua"/>
          <w:sz w:val="20"/>
        </w:rPr>
      </w:pPr>
      <w:r>
        <w:rPr>
          <w:rFonts w:cs="Book Antiqua" w:ascii="Book Antiqua" w:hAnsi="Book Antiqua"/>
          <w:sz w:val="20"/>
        </w:rPr>
        <w:t>Settlement Interval</w:t>
      </w:r>
    </w:p>
    <w:p>
      <w:pPr>
        <w:pStyle w:val="TermDefinition"/>
        <w:rPr>
          <w:rFonts w:ascii="Book Antiqua" w:hAnsi="Book Antiqua" w:cs="Book Antiqua"/>
          <w:sz w:val="20"/>
        </w:rPr>
      </w:pPr>
      <w:r>
        <w:rPr>
          <w:rFonts w:cs="Book Antiqua" w:ascii="Book Antiqua" w:hAnsi="Book Antiqua"/>
          <w:sz w:val="20"/>
        </w:rPr>
        <w:t>The time period for which a Market Service is deployed and financially settled. For example, the currently defined settlement interval for the Balancing Energy Market Service is 15 minutes.</w:t>
      </w:r>
    </w:p>
    <w:p>
      <w:pPr>
        <w:pStyle w:val="TermTitle"/>
        <w:rPr>
          <w:rFonts w:ascii="Book Antiqua" w:hAnsi="Book Antiqua" w:cs="Book Antiqua"/>
          <w:sz w:val="20"/>
        </w:rPr>
      </w:pPr>
      <w:r>
        <w:rPr>
          <w:rFonts w:cs="Book Antiqua" w:ascii="Book Antiqua" w:hAnsi="Book Antiqua"/>
          <w:sz w:val="20"/>
        </w:rPr>
        <w:t>Settlement Invoice</w:t>
      </w:r>
    </w:p>
    <w:p>
      <w:pPr>
        <w:pStyle w:val="TermDefinition"/>
        <w:rPr/>
      </w:pPr>
      <w:r>
        <w:rPr>
          <w:rFonts w:cs="Book Antiqua" w:ascii="Book Antiqua" w:hAnsi="Book Antiqua"/>
          <w:b/>
          <w:i/>
          <w:sz w:val="20"/>
        </w:rPr>
        <w:t>See</w:t>
      </w:r>
      <w:r>
        <w:rPr>
          <w:rFonts w:cs="Book Antiqua" w:ascii="Book Antiqua" w:hAnsi="Book Antiqua"/>
          <w:b/>
          <w:sz w:val="20"/>
        </w:rPr>
        <w:t xml:space="preserve"> Invoice</w:t>
      </w:r>
    </w:p>
    <w:p>
      <w:pPr>
        <w:pStyle w:val="TermTitle"/>
        <w:rPr>
          <w:rFonts w:ascii="Book Antiqua" w:hAnsi="Book Antiqua" w:cs="Book Antiqua"/>
          <w:sz w:val="20"/>
        </w:rPr>
      </w:pPr>
      <w:r>
        <w:rPr>
          <w:rFonts w:cs="Book Antiqua" w:ascii="Book Antiqua" w:hAnsi="Book Antiqua"/>
          <w:sz w:val="20"/>
        </w:rPr>
        <w:t>Settlement Meter</w:t>
      </w:r>
    </w:p>
    <w:p>
      <w:pPr>
        <w:pStyle w:val="TermDefinition"/>
        <w:rPr>
          <w:rFonts w:ascii="Book Antiqua" w:hAnsi="Book Antiqua" w:cs="Book Antiqua"/>
          <w:sz w:val="20"/>
        </w:rPr>
      </w:pPr>
      <w:r>
        <w:rPr>
          <w:rFonts w:cs="Book Antiqua" w:ascii="Book Antiqua" w:hAnsi="Book Antiqua"/>
          <w:sz w:val="20"/>
        </w:rPr>
        <w:t>Generation and end-use consumption meters used for allocation of ERCOT charges and wholesale and retail settlements.</w:t>
      </w:r>
    </w:p>
    <w:p>
      <w:pPr>
        <w:pStyle w:val="TermTitle"/>
        <w:rPr>
          <w:rFonts w:ascii="Book Antiqua" w:hAnsi="Book Antiqua" w:cs="Book Antiqua"/>
          <w:sz w:val="20"/>
        </w:rPr>
      </w:pPr>
      <w:r>
        <w:rPr>
          <w:rFonts w:cs="Book Antiqua" w:ascii="Book Antiqua" w:hAnsi="Book Antiqua"/>
          <w:sz w:val="20"/>
        </w:rPr>
        <w:t>Settlement Quality Meter Data</w:t>
      </w:r>
    </w:p>
    <w:p>
      <w:pPr>
        <w:pStyle w:val="TermDefinition"/>
        <w:rPr>
          <w:rFonts w:ascii="Book Antiqua" w:hAnsi="Book Antiqua" w:cs="Book Antiqua"/>
          <w:sz w:val="20"/>
        </w:rPr>
      </w:pPr>
      <w:r>
        <w:rPr>
          <w:rFonts w:cs="Book Antiqua" w:ascii="Book Antiqua" w:hAnsi="Book Antiqua"/>
          <w:sz w:val="20"/>
        </w:rPr>
        <w:t xml:space="preserve">Data that has been edited, validated, and is appropriate for ERCOT Settlement Agent to use for settlement and billing purposes. </w:t>
      </w:r>
    </w:p>
    <w:p>
      <w:pPr>
        <w:pStyle w:val="TermTitle"/>
        <w:rPr>
          <w:rFonts w:ascii="Book Antiqua" w:hAnsi="Book Antiqua" w:cs="Book Antiqua"/>
          <w:b w:val="false"/>
          <w:sz w:val="20"/>
        </w:rPr>
      </w:pPr>
      <w:r>
        <w:rPr>
          <w:rFonts w:cs="Book Antiqua" w:ascii="Book Antiqua" w:hAnsi="Book Antiqua"/>
          <w:sz w:val="20"/>
        </w:rPr>
        <w:t>Settlement</w:t>
      </w:r>
      <w:r>
        <w:rPr>
          <w:rFonts w:cs="Book Antiqua" w:ascii="Book Antiqua" w:hAnsi="Book Antiqua"/>
          <w:b w:val="false"/>
          <w:sz w:val="20"/>
        </w:rPr>
        <w:t xml:space="preserve"> </w:t>
      </w:r>
      <w:r>
        <w:rPr>
          <w:rFonts w:cs="Book Antiqua" w:ascii="Book Antiqua" w:hAnsi="Book Antiqua"/>
          <w:sz w:val="20"/>
        </w:rPr>
        <w:t>Statement</w:t>
      </w:r>
    </w:p>
    <w:p>
      <w:pPr>
        <w:pStyle w:val="TermDefinition"/>
        <w:rPr>
          <w:rFonts w:ascii="Book Antiqua" w:hAnsi="Book Antiqua" w:cs="Book Antiqua"/>
          <w:sz w:val="20"/>
        </w:rPr>
      </w:pPr>
      <w:r>
        <w:rPr>
          <w:rFonts w:cs="Book Antiqua" w:ascii="Book Antiqua" w:hAnsi="Book Antiqua"/>
          <w:sz w:val="20"/>
        </w:rPr>
        <w:t>A statement issued by ERCOT reflecting a breakdown of administrative, miscellaneous, and market charges for the applicable Market Services, as further described in ERCOT Protocols Section 9.2, Settlement Statement.</w:t>
      </w:r>
    </w:p>
    <w:p>
      <w:pPr>
        <w:pStyle w:val="Subterm"/>
        <w:rPr>
          <w:rFonts w:ascii="Book Antiqua" w:hAnsi="Book Antiqua" w:cs="Book Antiqua"/>
          <w:sz w:val="20"/>
        </w:rPr>
      </w:pPr>
      <w:r>
        <w:rPr>
          <w:rFonts w:cs="Book Antiqua" w:ascii="Book Antiqua" w:hAnsi="Book Antiqua"/>
          <w:sz w:val="20"/>
        </w:rPr>
        <w:t>Initial Statement</w:t>
      </w:r>
    </w:p>
    <w:p>
      <w:pPr>
        <w:pStyle w:val="SubtermDefinition"/>
        <w:rPr>
          <w:rFonts w:ascii="Book Antiqua" w:hAnsi="Book Antiqua" w:cs="Book Antiqua"/>
          <w:sz w:val="20"/>
        </w:rPr>
      </w:pPr>
      <w:r>
        <w:rPr>
          <w:rFonts w:cs="Book Antiqua" w:ascii="Book Antiqua" w:hAnsi="Book Antiqua"/>
          <w:sz w:val="20"/>
        </w:rPr>
        <w:t>The first iteration of a Settlement Statement issued for a particular Operating Day, as further described in ERCOT Protocols Section 9.2.1, Initial Statement.</w:t>
      </w:r>
    </w:p>
    <w:p>
      <w:pPr>
        <w:pStyle w:val="Subterm"/>
        <w:rPr>
          <w:rFonts w:ascii="Book Antiqua" w:hAnsi="Book Antiqua" w:cs="Book Antiqua"/>
          <w:sz w:val="20"/>
        </w:rPr>
      </w:pPr>
      <w:r>
        <w:rPr>
          <w:rFonts w:cs="Book Antiqua" w:ascii="Book Antiqua" w:hAnsi="Book Antiqua"/>
          <w:sz w:val="20"/>
        </w:rPr>
        <w:t>Final Statement</w:t>
      </w:r>
    </w:p>
    <w:p>
      <w:pPr>
        <w:pStyle w:val="SubtermDefinition"/>
        <w:rPr/>
      </w:pPr>
      <w:r>
        <w:rPr>
          <w:rFonts w:cs="Book Antiqua" w:ascii="Book Antiqua" w:hAnsi="Book Antiqua"/>
          <w:sz w:val="20"/>
        </w:rPr>
        <w:t>The statement issued at the end of the forty-fifth (45</w:t>
      </w:r>
      <w:r>
        <w:rPr>
          <w:rFonts w:cs="Book Antiqua" w:ascii="Book Antiqua" w:hAnsi="Book Antiqua"/>
          <w:sz w:val="20"/>
          <w:vertAlign w:val="superscript"/>
        </w:rPr>
        <w:t>th)</w:t>
      </w:r>
      <w:r>
        <w:rPr>
          <w:rFonts w:cs="Book Antiqua" w:ascii="Book Antiqua" w:hAnsi="Book Antiqua"/>
          <w:sz w:val="20"/>
        </w:rPr>
        <w:t xml:space="preserve"> calendar day following the Operating Day, as described in ERCOT Protocols Section 9.2.2, Final Statements.</w:t>
      </w:r>
    </w:p>
    <w:p>
      <w:pPr>
        <w:pStyle w:val="Subterm"/>
        <w:rPr>
          <w:rFonts w:ascii="Book Antiqua" w:hAnsi="Book Antiqua" w:cs="Book Antiqua"/>
          <w:sz w:val="20"/>
        </w:rPr>
      </w:pPr>
      <w:r>
        <w:rPr>
          <w:rFonts w:cs="Book Antiqua" w:ascii="Book Antiqua" w:hAnsi="Book Antiqua"/>
          <w:sz w:val="20"/>
        </w:rPr>
        <w:t>Resettlement Statement</w:t>
      </w:r>
    </w:p>
    <w:p>
      <w:pPr>
        <w:pStyle w:val="SubtermDefinition"/>
        <w:rPr>
          <w:rFonts w:ascii="Book Antiqua" w:hAnsi="Book Antiqua" w:cs="Book Antiqua"/>
          <w:sz w:val="20"/>
        </w:rPr>
      </w:pPr>
      <w:r>
        <w:rPr>
          <w:rFonts w:cs="Book Antiqua" w:ascii="Book Antiqua" w:hAnsi="Book Antiqua"/>
          <w:sz w:val="20"/>
        </w:rPr>
        <w:t>The statement using corrected settlement data, in accordance with ERCOT Protocols Section 9.2.3, Resettlement Statement.</w:t>
      </w:r>
    </w:p>
    <w:p>
      <w:pPr>
        <w:pStyle w:val="Subterm"/>
        <w:rPr>
          <w:rFonts w:ascii="Book Antiqua" w:hAnsi="Book Antiqua" w:cs="Book Antiqua"/>
          <w:sz w:val="20"/>
        </w:rPr>
      </w:pPr>
      <w:r>
        <w:rPr>
          <w:rFonts w:cs="Book Antiqua" w:ascii="Book Antiqua" w:hAnsi="Book Antiqua"/>
          <w:sz w:val="20"/>
        </w:rPr>
        <w:t>True-Up Statement</w:t>
      </w:r>
    </w:p>
    <w:p>
      <w:pPr>
        <w:pStyle w:val="SubtermDefinition"/>
        <w:rPr>
          <w:rFonts w:ascii="Book Antiqua" w:hAnsi="Book Antiqua" w:cs="Book Antiqua"/>
          <w:sz w:val="20"/>
        </w:rPr>
      </w:pPr>
      <w:r>
        <w:rPr>
          <w:rFonts w:cs="Book Antiqua" w:ascii="Book Antiqua" w:hAnsi="Book Antiqua"/>
          <w:sz w:val="20"/>
        </w:rPr>
        <w:t>The statement issued six (6) months following the Operating Day, as further described in ERCOT Protocols Section 9.2.4, True-Up Statement.</w:t>
      </w:r>
    </w:p>
    <w:p>
      <w:pPr>
        <w:pStyle w:val="TermTitle"/>
        <w:rPr>
          <w:rFonts w:ascii="Book Antiqua" w:hAnsi="Book Antiqua" w:cs="Book Antiqua"/>
          <w:sz w:val="20"/>
        </w:rPr>
      </w:pPr>
      <w:r>
        <w:rPr>
          <w:rFonts w:cs="Book Antiqua" w:ascii="Book Antiqua" w:hAnsi="Book Antiqua"/>
          <w:sz w:val="20"/>
        </w:rPr>
        <w:t>Shadow Price</w:t>
      </w:r>
    </w:p>
    <w:p>
      <w:pPr>
        <w:pStyle w:val="12termdef"/>
        <w:rPr>
          <w:rFonts w:ascii="Book Antiqua" w:hAnsi="Book Antiqua" w:cs="Book Antiqua"/>
          <w:sz w:val="20"/>
        </w:rPr>
      </w:pPr>
      <w:r>
        <w:rPr>
          <w:rFonts w:cs="Book Antiqua" w:ascii="Book Antiqua" w:hAnsi="Book Antiqua"/>
          <w:sz w:val="20"/>
        </w:rPr>
        <w:t>The cost of an operation to effect a one (1) MW change in a constraint.</w:t>
      </w:r>
    </w:p>
    <w:p>
      <w:pPr>
        <w:pStyle w:val="TermTitle"/>
        <w:rPr>
          <w:rFonts w:ascii="Book Antiqua" w:hAnsi="Book Antiqua" w:cs="Book Antiqua"/>
          <w:sz w:val="20"/>
        </w:rPr>
      </w:pPr>
      <w:r>
        <w:rPr>
          <w:rFonts w:cs="Book Antiqua" w:ascii="Book Antiqua" w:hAnsi="Book Antiqua"/>
          <w:sz w:val="20"/>
        </w:rPr>
        <w:t>Supply</w:t>
      </w:r>
    </w:p>
    <w:p>
      <w:pPr>
        <w:pStyle w:val="TermDefinition"/>
        <w:rPr>
          <w:rFonts w:ascii="Book Antiqua" w:hAnsi="Book Antiqua" w:cs="Book Antiqua"/>
          <w:sz w:val="20"/>
        </w:rPr>
      </w:pPr>
      <w:r>
        <w:rPr>
          <w:rFonts w:cs="Book Antiqua" w:ascii="Book Antiqua" w:hAnsi="Book Antiqua"/>
          <w:sz w:val="20"/>
        </w:rPr>
        <w:t>Total supply scheduled by a QSE that is comprised of Energy Supply and Ancillary Services Supply where:</w:t>
      </w:r>
    </w:p>
    <w:p>
      <w:pPr>
        <w:pStyle w:val="Subterm"/>
        <w:rPr>
          <w:rFonts w:ascii="Book Antiqua" w:hAnsi="Book Antiqua" w:cs="Book Antiqua"/>
          <w:sz w:val="20"/>
        </w:rPr>
      </w:pPr>
      <w:r>
        <w:rPr>
          <w:rFonts w:cs="Book Antiqua" w:ascii="Book Antiqua" w:hAnsi="Book Antiqua"/>
          <w:sz w:val="20"/>
        </w:rPr>
        <w:t xml:space="preserve">Energy Supply  = </w:t>
      </w:r>
    </w:p>
    <w:p>
      <w:pPr>
        <w:pStyle w:val="SubtermDefinition"/>
        <w:rPr>
          <w:rFonts w:ascii="Book Antiqua" w:hAnsi="Book Antiqua" w:cs="Book Antiqua"/>
          <w:sz w:val="20"/>
        </w:rPr>
      </w:pPr>
      <w:r>
        <w:rPr>
          <w:rFonts w:cs="Book Antiqua" w:ascii="Book Antiqua" w:hAnsi="Book Antiqua"/>
          <w:sz w:val="20"/>
        </w:rPr>
        <w:t>Resources + energy purchases + energy imports; and</w:t>
      </w:r>
    </w:p>
    <w:p>
      <w:pPr>
        <w:pStyle w:val="Subterm"/>
        <w:rPr>
          <w:rFonts w:ascii="Book Antiqua" w:hAnsi="Book Antiqua" w:cs="Book Antiqua"/>
          <w:sz w:val="20"/>
        </w:rPr>
      </w:pPr>
      <w:r>
        <w:rPr>
          <w:rFonts w:cs="Book Antiqua" w:ascii="Book Antiqua" w:hAnsi="Book Antiqua"/>
          <w:sz w:val="20"/>
        </w:rPr>
        <w:t xml:space="preserve">Ancillary Services Supply  = </w:t>
      </w:r>
    </w:p>
    <w:p>
      <w:pPr>
        <w:pStyle w:val="12termdef"/>
        <w:ind w:start="1440" w:end="0"/>
        <w:rPr>
          <w:rFonts w:ascii="Book Antiqua" w:hAnsi="Book Antiqua" w:cs="Book Antiqua"/>
          <w:sz w:val="20"/>
        </w:rPr>
      </w:pPr>
      <w:r>
        <w:rPr>
          <w:rFonts w:cs="Book Antiqua" w:ascii="Book Antiqua" w:hAnsi="Book Antiqua"/>
          <w:sz w:val="20"/>
        </w:rPr>
        <w:t>Resources + Ancillary Services purchases (including purchases through ERCOT) + Ancillary Services imports.</w:t>
      </w:r>
    </w:p>
    <w:p>
      <w:pPr>
        <w:pStyle w:val="TermTitle"/>
        <w:rPr>
          <w:rFonts w:ascii="Book Antiqua" w:hAnsi="Book Antiqua" w:cs="Book Antiqua"/>
          <w:sz w:val="20"/>
        </w:rPr>
      </w:pPr>
      <w:r>
        <w:rPr>
          <w:rFonts w:cs="Book Antiqua" w:ascii="Book Antiqua" w:hAnsi="Book Antiqua"/>
          <w:sz w:val="20"/>
        </w:rPr>
        <w:t>System Operator</w:t>
      </w:r>
    </w:p>
    <w:p>
      <w:pPr>
        <w:pStyle w:val="12termdef"/>
        <w:rPr>
          <w:rFonts w:ascii="Book Antiqua" w:hAnsi="Book Antiqua" w:cs="Book Antiqua"/>
          <w:sz w:val="20"/>
        </w:rPr>
      </w:pPr>
      <w:r>
        <w:rPr>
          <w:rFonts w:cs="Book Antiqua" w:ascii="Book Antiqua" w:hAnsi="Book Antiqua"/>
          <w:sz w:val="20"/>
        </w:rPr>
        <w:t>An Entity supervising the collective Transmission Facilities of a power region that is charged with coordination of market transactions, system-wide transmission planning, and network reliability.</w:t>
      </w:r>
    </w:p>
    <w:p>
      <w:pPr>
        <w:pStyle w:val="Heading1"/>
        <w:rPr/>
      </w:pPr>
      <w:r>
        <w:rPr/>
        <w:t>T</w:t>
      </w:r>
    </w:p>
    <w:p>
      <w:pPr>
        <w:pStyle w:val="TermTitle"/>
        <w:rPr>
          <w:rFonts w:ascii="Book Antiqua" w:hAnsi="Book Antiqua" w:cs="Book Antiqua"/>
          <w:sz w:val="20"/>
        </w:rPr>
      </w:pPr>
      <w:r>
        <w:rPr>
          <w:rFonts w:cs="Book Antiqua" w:ascii="Book Antiqua" w:hAnsi="Book Antiqua"/>
          <w:sz w:val="20"/>
        </w:rPr>
        <w:t>TCR Interface</w:t>
      </w:r>
    </w:p>
    <w:p>
      <w:pPr>
        <w:pStyle w:val="TermDefinition"/>
        <w:rPr>
          <w:rFonts w:ascii="Book Antiqua" w:hAnsi="Book Antiqua" w:cs="Book Antiqua"/>
          <w:sz w:val="20"/>
        </w:rPr>
      </w:pPr>
      <w:r>
        <w:rPr>
          <w:rFonts w:cs="Book Antiqua" w:ascii="Book Antiqua" w:hAnsi="Book Antiqua"/>
          <w:sz w:val="20"/>
        </w:rPr>
        <w:t>The CSC for which Transmission Congestion Rights are auctioned and awarded.</w:t>
      </w:r>
    </w:p>
    <w:p>
      <w:pPr>
        <w:pStyle w:val="TermTitle"/>
        <w:rPr>
          <w:rFonts w:ascii="Book Antiqua" w:hAnsi="Book Antiqua" w:cs="Book Antiqua"/>
          <w:sz w:val="20"/>
        </w:rPr>
      </w:pPr>
      <w:r>
        <w:rPr>
          <w:rFonts w:cs="Book Antiqua" w:ascii="Book Antiqua" w:hAnsi="Book Antiqua"/>
          <w:sz w:val="20"/>
        </w:rPr>
        <w:t>TCR Invoice</w:t>
      </w:r>
    </w:p>
    <w:p>
      <w:pPr>
        <w:pStyle w:val="TermDefinition"/>
        <w:rPr/>
      </w:pPr>
      <w:r>
        <w:rPr>
          <w:rFonts w:cs="Book Antiqua" w:ascii="Book Antiqua" w:hAnsi="Book Antiqua"/>
          <w:b/>
          <w:i/>
          <w:sz w:val="20"/>
        </w:rPr>
        <w:t>See</w:t>
      </w:r>
      <w:r>
        <w:rPr>
          <w:rFonts w:cs="Book Antiqua" w:ascii="Book Antiqua" w:hAnsi="Book Antiqua"/>
          <w:b/>
          <w:sz w:val="20"/>
        </w:rPr>
        <w:t xml:space="preserve"> Invoice.</w:t>
      </w:r>
    </w:p>
    <w:p>
      <w:pPr>
        <w:pStyle w:val="TermTitle"/>
        <w:rPr>
          <w:rFonts w:ascii="Book Antiqua" w:hAnsi="Book Antiqua" w:cs="Book Antiqua"/>
          <w:sz w:val="20"/>
        </w:rPr>
      </w:pPr>
      <w:r>
        <w:rPr>
          <w:rFonts w:cs="Book Antiqua" w:ascii="Book Antiqua" w:hAnsi="Book Antiqua"/>
          <w:sz w:val="20"/>
        </w:rPr>
        <w:t>TDSP Metered Entity</w:t>
      </w:r>
    </w:p>
    <w:p>
      <w:pPr>
        <w:pStyle w:val="TermDefinition"/>
        <w:rPr>
          <w:rFonts w:ascii="Book Antiqua" w:hAnsi="Book Antiqua" w:cs="Book Antiqua"/>
          <w:sz w:val="20"/>
        </w:rPr>
      </w:pPr>
      <w:r>
        <w:rPr>
          <w:rFonts w:cs="Book Antiqua" w:ascii="Book Antiqua" w:hAnsi="Book Antiqua"/>
          <w:sz w:val="20"/>
        </w:rPr>
        <w:t>Any Entity that meets the requirements of ERCOT Protocols Section 10.2.2, TDSP Metered Entities.</w:t>
      </w:r>
    </w:p>
    <w:p>
      <w:pPr>
        <w:pStyle w:val="TermTitle"/>
        <w:rPr>
          <w:rFonts w:ascii="Book Antiqua" w:hAnsi="Book Antiqua" w:cs="Book Antiqua"/>
          <w:sz w:val="20"/>
        </w:rPr>
      </w:pPr>
      <w:r>
        <w:rPr>
          <w:rFonts w:cs="Book Antiqua" w:ascii="Book Antiqua" w:hAnsi="Book Antiqua"/>
          <w:sz w:val="20"/>
        </w:rPr>
        <w:t>Technical Advisory Committee (TAC)</w:t>
      </w:r>
    </w:p>
    <w:p>
      <w:pPr>
        <w:pStyle w:val="TermDefinition"/>
        <w:rPr>
          <w:rFonts w:ascii="Book Antiqua" w:hAnsi="Book Antiqua" w:cs="Book Antiqua"/>
          <w:sz w:val="20"/>
        </w:rPr>
      </w:pPr>
      <w:r>
        <w:rPr>
          <w:rFonts w:cs="Book Antiqua" w:ascii="Book Antiqua" w:hAnsi="Book Antiqua"/>
          <w:sz w:val="20"/>
        </w:rPr>
        <w:t>A subcommittee in the ERCOT governance structure reporting to the Board of Directors as defined by the ERCOT bylaws.</w:t>
      </w:r>
    </w:p>
    <w:p>
      <w:pPr>
        <w:pStyle w:val="TermTitle"/>
        <w:rPr>
          <w:rFonts w:ascii="Book Antiqua" w:hAnsi="Book Antiqua" w:cs="Book Antiqua"/>
          <w:sz w:val="20"/>
        </w:rPr>
      </w:pPr>
      <w:r>
        <w:rPr>
          <w:rFonts w:cs="Book Antiqua" w:ascii="Book Antiqua" w:hAnsi="Book Antiqua"/>
          <w:sz w:val="20"/>
        </w:rPr>
        <w:t xml:space="preserve">Texas SET </w:t>
      </w:r>
    </w:p>
    <w:p>
      <w:pPr>
        <w:pStyle w:val="TermDefinition"/>
        <w:rPr>
          <w:rFonts w:ascii="Book Antiqua" w:hAnsi="Book Antiqua" w:cs="Book Antiqua"/>
          <w:sz w:val="20"/>
        </w:rPr>
      </w:pPr>
      <w:r>
        <w:rPr>
          <w:rFonts w:cs="Book Antiqua" w:ascii="Book Antiqua" w:hAnsi="Book Antiqua"/>
          <w:sz w:val="20"/>
        </w:rPr>
        <w:t>Texas Standard Electronic Transaction procedures, set forth in ERCOT Protocols Section 19, Texas SET, used to transmit information pertaining to the Customer Registration Database. Record and Data Element Definitions are provided in a data dictionary in ERCOT Protocols Section 19.</w:t>
      </w:r>
    </w:p>
    <w:p>
      <w:pPr>
        <w:pStyle w:val="TermTitle"/>
        <w:rPr>
          <w:rFonts w:ascii="Book Antiqua" w:hAnsi="Book Antiqua" w:cs="Book Antiqua"/>
          <w:sz w:val="20"/>
        </w:rPr>
      </w:pPr>
      <w:r>
        <w:rPr>
          <w:rFonts w:cs="Book Antiqua" w:ascii="Book Antiqua" w:hAnsi="Book Antiqua"/>
          <w:sz w:val="20"/>
        </w:rPr>
        <w:t>Time of Use Metering</w:t>
      </w:r>
    </w:p>
    <w:p>
      <w:pPr>
        <w:pStyle w:val="TermDefinition"/>
        <w:rPr>
          <w:rFonts w:ascii="Book Antiqua" w:hAnsi="Book Antiqua" w:cs="Book Antiqua"/>
          <w:sz w:val="20"/>
        </w:rPr>
      </w:pPr>
      <w:r>
        <w:rPr>
          <w:rFonts w:cs="Book Antiqua" w:ascii="Book Antiqua" w:hAnsi="Book Antiqua"/>
          <w:sz w:val="20"/>
        </w:rPr>
        <w:t>A programmable electronic device capable of measuring and recording electric energy in pre-specified time periods.  For Load Profiling purposes Time of Use Metering does not include IDRs.</w:t>
      </w:r>
    </w:p>
    <w:p>
      <w:pPr>
        <w:pStyle w:val="TermTitle"/>
        <w:rPr>
          <w:rFonts w:ascii="Book Antiqua" w:hAnsi="Book Antiqua" w:cs="Book Antiqua"/>
          <w:sz w:val="20"/>
        </w:rPr>
      </w:pPr>
      <w:r>
        <w:rPr>
          <w:rFonts w:cs="Book Antiqua" w:ascii="Book Antiqua" w:hAnsi="Book Antiqua"/>
          <w:sz w:val="20"/>
        </w:rPr>
        <w:t>Time of Use Schedule</w:t>
      </w:r>
    </w:p>
    <w:p>
      <w:pPr>
        <w:pStyle w:val="TermDefinition"/>
        <w:rPr>
          <w:rFonts w:ascii="Book Antiqua" w:hAnsi="Book Antiqua" w:cs="Book Antiqua"/>
          <w:sz w:val="20"/>
        </w:rPr>
      </w:pPr>
      <w:r>
        <w:rPr>
          <w:rFonts w:cs="Book Antiqua" w:ascii="Book Antiqua" w:hAnsi="Book Antiqua"/>
          <w:sz w:val="20"/>
        </w:rPr>
        <w:t>A schedule identifying the Time of Use period associated with each Settlement Interval.  These schedules may include on-peak, off-peak, and shoulder periods.</w:t>
      </w:r>
    </w:p>
    <w:p>
      <w:pPr>
        <w:pStyle w:val="TermTitle"/>
        <w:rPr>
          <w:rFonts w:ascii="Book Antiqua" w:hAnsi="Book Antiqua" w:cs="Book Antiqua"/>
          <w:sz w:val="20"/>
        </w:rPr>
      </w:pPr>
      <w:r>
        <w:rPr>
          <w:rFonts w:cs="Book Antiqua" w:ascii="Book Antiqua" w:hAnsi="Book Antiqua"/>
          <w:sz w:val="20"/>
        </w:rPr>
        <w:t>Total Energy Obligation</w:t>
      </w:r>
    </w:p>
    <w:p>
      <w:pPr>
        <w:pStyle w:val="TermDefinition"/>
        <w:rPr>
          <w:rFonts w:ascii="Book Antiqua" w:hAnsi="Book Antiqua" w:cs="Book Antiqua"/>
          <w:sz w:val="20"/>
        </w:rPr>
      </w:pPr>
      <w:r>
        <w:rPr>
          <w:rFonts w:cs="Book Antiqua" w:ascii="Book Antiqua" w:hAnsi="Book Antiqua"/>
          <w:sz w:val="20"/>
        </w:rPr>
        <w:t>The total energy Obligation for a Qualified Scheduling Entity during a Settlement Interval, including the energy from the Balanced Schedule and integrated energy of instructed Ancillary Services.</w:t>
      </w:r>
    </w:p>
    <w:p>
      <w:pPr>
        <w:pStyle w:val="TermTitle"/>
        <w:rPr>
          <w:rFonts w:ascii="Book Antiqua" w:hAnsi="Book Antiqua" w:cs="Book Antiqua"/>
          <w:sz w:val="20"/>
        </w:rPr>
      </w:pPr>
      <w:r>
        <w:rPr>
          <w:rFonts w:cs="Book Antiqua" w:ascii="Book Antiqua" w:hAnsi="Book Antiqua"/>
          <w:sz w:val="20"/>
        </w:rPr>
        <w:t>Total Transmission Capacity</w:t>
      </w:r>
    </w:p>
    <w:p>
      <w:pPr>
        <w:pStyle w:val="TermTitle"/>
        <w:rPr>
          <w:rFonts w:ascii="Book Antiqua" w:hAnsi="Book Antiqua" w:cs="Book Antiqua"/>
          <w:b w:val="false"/>
          <w:sz w:val="20"/>
        </w:rPr>
      </w:pPr>
      <w:r>
        <w:rPr>
          <w:rFonts w:cs="Book Antiqua" w:ascii="Book Antiqua" w:hAnsi="Book Antiqua"/>
          <w:b w:val="false"/>
          <w:sz w:val="20"/>
        </w:rPr>
        <w:t>The maximum power that may be transferred across a transmission corridor while maintaining reliability of the ERCOT System.</w:t>
      </w:r>
    </w:p>
    <w:p>
      <w:pPr>
        <w:pStyle w:val="TermTitle"/>
        <w:rPr>
          <w:rFonts w:ascii="Book Antiqua" w:hAnsi="Book Antiqua" w:cs="Book Antiqua"/>
          <w:sz w:val="20"/>
        </w:rPr>
      </w:pPr>
      <w:r>
        <w:rPr>
          <w:rFonts w:cs="Book Antiqua" w:ascii="Book Antiqua" w:hAnsi="Book Antiqua"/>
          <w:sz w:val="20"/>
        </w:rPr>
        <w:t xml:space="preserve">Transaction Clearinghouse  </w:t>
      </w:r>
    </w:p>
    <w:p>
      <w:pPr>
        <w:pStyle w:val="12termdef"/>
        <w:rPr>
          <w:rFonts w:ascii="Book Antiqua" w:hAnsi="Book Antiqua" w:cs="Book Antiqua"/>
          <w:sz w:val="20"/>
        </w:rPr>
      </w:pPr>
      <w:r>
        <w:rPr>
          <w:rFonts w:cs="Book Antiqua" w:ascii="Book Antiqua" w:hAnsi="Book Antiqua"/>
          <w:sz w:val="20"/>
        </w:rPr>
        <w:t>A batch, transactional interface intended to provide reliable exchange of high volume, standardized transactions between Market Participants and ERCOT using the Texas SET procedures in ERCOT Protocol Section 19, Texas SET.</w:t>
      </w:r>
    </w:p>
    <w:p>
      <w:pPr>
        <w:pStyle w:val="TermTitle"/>
        <w:tabs>
          <w:tab w:val="clear" w:pos="720"/>
          <w:tab w:val="left" w:pos="4380" w:leader="none"/>
        </w:tabs>
        <w:rPr>
          <w:rFonts w:ascii="Book Antiqua" w:hAnsi="Book Antiqua" w:cs="Book Antiqua"/>
          <w:sz w:val="20"/>
        </w:rPr>
      </w:pPr>
      <w:r>
        <w:rPr>
          <w:rFonts w:cs="Book Antiqua" w:ascii="Book Antiqua" w:hAnsi="Book Antiqua"/>
          <w:sz w:val="20"/>
        </w:rPr>
        <w:t>Transmission Congestion Right (TCR)</w:t>
      </w:r>
    </w:p>
    <w:p>
      <w:pPr>
        <w:pStyle w:val="TermDefinition"/>
        <w:rPr>
          <w:rFonts w:ascii="Book Antiqua" w:hAnsi="Book Antiqua" w:cs="Book Antiqua"/>
          <w:sz w:val="20"/>
        </w:rPr>
      </w:pPr>
      <w:r>
        <w:rPr>
          <w:rFonts w:cs="Book Antiqua" w:ascii="Book Antiqua" w:hAnsi="Book Antiqua"/>
          <w:sz w:val="20"/>
        </w:rPr>
        <w:t xml:space="preserve">A financial hedge against the cost of 1 MW flowing across a particular Commercially Significant Constraint, in a single direction, for 1 hour. </w:t>
      </w:r>
    </w:p>
    <w:p>
      <w:pPr>
        <w:pStyle w:val="TermTitle"/>
        <w:rPr>
          <w:rFonts w:ascii="Book Antiqua" w:hAnsi="Book Antiqua" w:cs="Book Antiqua"/>
          <w:sz w:val="20"/>
        </w:rPr>
      </w:pPr>
      <w:r>
        <w:rPr>
          <w:rFonts w:cs="Book Antiqua" w:ascii="Book Antiqua" w:hAnsi="Book Antiqua"/>
          <w:sz w:val="20"/>
        </w:rPr>
        <w:t xml:space="preserve">Transmission and/or Distribution Service Provider (TDSP) </w:t>
      </w:r>
    </w:p>
    <w:p>
      <w:pPr>
        <w:pStyle w:val="12termdef"/>
        <w:rPr>
          <w:rFonts w:ascii="Book Antiqua" w:hAnsi="Book Antiqua" w:cs="Book Antiqua"/>
          <w:sz w:val="20"/>
        </w:rPr>
      </w:pPr>
      <w:r>
        <w:rPr>
          <w:rFonts w:cs="Book Antiqua" w:ascii="Book Antiqua" w:hAnsi="Book Antiqua"/>
          <w:sz w:val="20"/>
        </w:rPr>
        <w:t>An Entity that owns or operates for compensation in this state equipment or Facilities to transmit and/or distribute electricity, and whose rates for Transmission Service, distribution service, or both is set by a Governmental Authority.</w:t>
      </w:r>
    </w:p>
    <w:p>
      <w:pPr>
        <w:pStyle w:val="TermTitle"/>
        <w:rPr>
          <w:rFonts w:ascii="Book Antiqua" w:hAnsi="Book Antiqua" w:cs="Book Antiqua"/>
          <w:sz w:val="20"/>
        </w:rPr>
      </w:pPr>
      <w:r>
        <w:rPr>
          <w:rFonts w:cs="Book Antiqua" w:ascii="Book Antiqua" w:hAnsi="Book Antiqua"/>
          <w:sz w:val="20"/>
        </w:rPr>
        <w:t>Transmission Loss Factors (TLF)</w:t>
      </w:r>
    </w:p>
    <w:p>
      <w:pPr>
        <w:pStyle w:val="TermDefinition"/>
        <w:rPr>
          <w:rFonts w:ascii="Book Antiqua" w:hAnsi="Book Antiqua" w:cs="Book Antiqua"/>
          <w:sz w:val="20"/>
        </w:rPr>
      </w:pPr>
      <w:r>
        <w:rPr>
          <w:rFonts w:cs="Book Antiqua" w:ascii="Book Antiqua" w:hAnsi="Book Antiqua"/>
          <w:sz w:val="20"/>
        </w:rPr>
        <w:t>The fraction of ERCOT Load (forecast or actual) that is considered to constitute the ERCOT Transmission Grid losses in the Settlement Interval.  Transmission Loss Factors are computed by ERCOT and are based on a linear interpolation (extrapolation) of the calculated losses in the off-peak and on-peak seasonal ERCOT base cases.</w:t>
      </w:r>
      <w:r>
        <w:br w:type="page"/>
      </w:r>
    </w:p>
    <w:p>
      <w:pPr>
        <w:pStyle w:val="TermTitle"/>
        <w:rPr>
          <w:rFonts w:ascii="Book Antiqua" w:hAnsi="Book Antiqua" w:cs="Book Antiqua"/>
          <w:sz w:val="20"/>
        </w:rPr>
      </w:pPr>
      <w:r>
        <w:rPr>
          <w:rFonts w:cs="Book Antiqua" w:ascii="Book Antiqua" w:hAnsi="Book Antiqua"/>
          <w:sz w:val="20"/>
        </w:rPr>
        <w:t>Transmission Losses</w:t>
      </w:r>
    </w:p>
    <w:p>
      <w:pPr>
        <w:pStyle w:val="12termdef"/>
        <w:rPr>
          <w:rFonts w:ascii="Book Antiqua" w:hAnsi="Book Antiqua" w:cs="Book Antiqua"/>
          <w:sz w:val="20"/>
        </w:rPr>
      </w:pPr>
      <w:r>
        <w:rPr>
          <w:rFonts w:cs="Book Antiqua" w:ascii="Book Antiqua" w:hAnsi="Book Antiqua"/>
          <w:sz w:val="20"/>
        </w:rPr>
        <w:t>Difference between energy input into the ERCOT Transmission Grid and the energy taken out of the ERCOT Transmission Grid.</w:t>
      </w:r>
    </w:p>
    <w:p>
      <w:pPr>
        <w:pStyle w:val="TermTitle"/>
        <w:rPr>
          <w:rFonts w:ascii="Book Antiqua" w:hAnsi="Book Antiqua" w:cs="Book Antiqua"/>
          <w:sz w:val="20"/>
        </w:rPr>
      </w:pPr>
      <w:r>
        <w:rPr>
          <w:rFonts w:cs="Book Antiqua" w:ascii="Book Antiqua" w:hAnsi="Book Antiqua"/>
          <w:sz w:val="20"/>
        </w:rPr>
        <w:t>Transmission Service Provider (TSP)</w:t>
      </w:r>
    </w:p>
    <w:p>
      <w:pPr>
        <w:pStyle w:val="TermDefinition"/>
        <w:rPr>
          <w:rFonts w:ascii="Book Antiqua" w:hAnsi="Book Antiqua" w:cs="Book Antiqua"/>
          <w:sz w:val="20"/>
        </w:rPr>
      </w:pPr>
      <w:r>
        <w:rPr>
          <w:rFonts w:cs="Book Antiqua" w:ascii="Book Antiqua" w:hAnsi="Book Antiqua"/>
          <w:sz w:val="20"/>
        </w:rPr>
        <w:t>An Entity under the jurisdiction of the PUCT that owns or operates Transmission Facilities used for the transmission of electricity and provides transmission service in the ERCOT Transmission Grid.</w:t>
      </w:r>
    </w:p>
    <w:p>
      <w:pPr>
        <w:pStyle w:val="TermTitle"/>
        <w:rPr>
          <w:rFonts w:ascii="Book Antiqua" w:hAnsi="Book Antiqua" w:cs="Book Antiqua"/>
          <w:sz w:val="20"/>
        </w:rPr>
      </w:pPr>
      <w:r>
        <w:rPr>
          <w:rFonts w:cs="Book Antiqua" w:ascii="Book Antiqua" w:hAnsi="Book Antiqua"/>
          <w:sz w:val="20"/>
        </w:rPr>
        <w:t>True-Up Statement</w:t>
      </w:r>
    </w:p>
    <w:p>
      <w:pPr>
        <w:pStyle w:val="TermDefinition"/>
        <w:rPr/>
      </w:pPr>
      <w:r>
        <w:rPr>
          <w:rFonts w:cs="Book Antiqua" w:ascii="Book Antiqua" w:hAnsi="Book Antiqua"/>
          <w:b/>
          <w:i/>
          <w:sz w:val="20"/>
        </w:rPr>
        <w:t>See</w:t>
      </w:r>
      <w:r>
        <w:rPr>
          <w:rFonts w:cs="Book Antiqua" w:ascii="Book Antiqua" w:hAnsi="Book Antiqua"/>
          <w:b/>
          <w:sz w:val="20"/>
        </w:rPr>
        <w:t xml:space="preserve"> Settlement Statement.</w:t>
      </w:r>
    </w:p>
    <w:p>
      <w:pPr>
        <w:pStyle w:val="TermTitle"/>
        <w:rPr>
          <w:rFonts w:ascii="Book Antiqua" w:hAnsi="Book Antiqua" w:cs="Book Antiqua"/>
          <w:sz w:val="20"/>
        </w:rPr>
      </w:pPr>
      <w:r>
        <w:rPr>
          <w:rFonts w:cs="Book Antiqua" w:ascii="Book Antiqua" w:hAnsi="Book Antiqua"/>
          <w:sz w:val="20"/>
        </w:rPr>
        <w:t>Two-day Ahead</w:t>
      </w:r>
    </w:p>
    <w:p>
      <w:pPr>
        <w:pStyle w:val="12termdef"/>
        <w:rPr>
          <w:rFonts w:ascii="Book Antiqua" w:hAnsi="Book Antiqua" w:cs="Book Antiqua"/>
          <w:sz w:val="20"/>
        </w:rPr>
      </w:pPr>
      <w:r>
        <w:rPr>
          <w:rFonts w:cs="Book Antiqua" w:ascii="Book Antiqua" w:hAnsi="Book Antiqua"/>
          <w:sz w:val="20"/>
        </w:rPr>
        <w:t>The 24-hour period beginning the instant after 24:00 48 hours before the Operating Day.</w:t>
      </w:r>
    </w:p>
    <w:p>
      <w:pPr>
        <w:pStyle w:val="Heading1"/>
        <w:rPr/>
      </w:pPr>
      <w:r>
        <w:rPr/>
        <w:t>U</w:t>
      </w:r>
    </w:p>
    <w:p>
      <w:pPr>
        <w:pStyle w:val="TermTitle"/>
        <w:rPr>
          <w:rFonts w:ascii="Book Antiqua" w:hAnsi="Book Antiqua" w:cs="Book Antiqua"/>
          <w:sz w:val="20"/>
        </w:rPr>
      </w:pPr>
      <w:r>
        <w:rPr>
          <w:rFonts w:cs="Book Antiqua" w:ascii="Book Antiqua" w:hAnsi="Book Antiqua"/>
          <w:sz w:val="20"/>
        </w:rPr>
        <w:t>Unaccounted for Energy (UFE)</w:t>
      </w:r>
    </w:p>
    <w:p>
      <w:pPr>
        <w:pStyle w:val="12termdef"/>
        <w:rPr>
          <w:rFonts w:ascii="Book Antiqua" w:hAnsi="Book Antiqua" w:cs="Book Antiqua"/>
          <w:sz w:val="20"/>
        </w:rPr>
      </w:pPr>
      <w:r>
        <w:rPr>
          <w:rFonts w:cs="Book Antiqua" w:ascii="Book Antiqua" w:hAnsi="Book Antiqua"/>
          <w:sz w:val="20"/>
        </w:rPr>
        <w:t>The difference between total metered Load each Settlement Period, adjusted for applicable Distribution Losses and Transmission Losses, and total ERCOT System net generation.</w:t>
      </w:r>
    </w:p>
    <w:p>
      <w:pPr>
        <w:pStyle w:val="TermTitle"/>
        <w:rPr>
          <w:rFonts w:ascii="Book Antiqua" w:hAnsi="Book Antiqua" w:cs="Book Antiqua"/>
          <w:sz w:val="20"/>
        </w:rPr>
      </w:pPr>
      <w:r>
        <w:rPr>
          <w:rFonts w:cs="Book Antiqua" w:ascii="Book Antiqua" w:hAnsi="Book Antiqua"/>
          <w:sz w:val="20"/>
        </w:rPr>
        <w:t>Usage Profile</w:t>
      </w:r>
    </w:p>
    <w:p>
      <w:pPr>
        <w:pStyle w:val="TermDefinition"/>
        <w:rPr/>
      </w:pPr>
      <w:r>
        <w:rPr>
          <w:rFonts w:cs="Book Antiqua" w:ascii="Book Antiqua" w:hAnsi="Book Antiqua"/>
          <w:b/>
          <w:i/>
          <w:sz w:val="20"/>
        </w:rPr>
        <w:t>See</w:t>
      </w:r>
      <w:r>
        <w:rPr>
          <w:rFonts w:cs="Book Antiqua" w:ascii="Book Antiqua" w:hAnsi="Book Antiqua"/>
          <w:b/>
          <w:sz w:val="20"/>
        </w:rPr>
        <w:t xml:space="preserve"> Load Profile.</w:t>
      </w:r>
    </w:p>
    <w:p>
      <w:pPr>
        <w:pStyle w:val="Heading1"/>
        <w:rPr/>
      </w:pPr>
      <w:r>
        <w:rPr/>
        <w:t>V</w:t>
      </w:r>
    </w:p>
    <w:p>
      <w:pPr>
        <w:pStyle w:val="TermTitle"/>
        <w:rPr>
          <w:rFonts w:ascii="Book Antiqua" w:hAnsi="Book Antiqua" w:cs="Book Antiqua"/>
          <w:sz w:val="20"/>
        </w:rPr>
      </w:pPr>
      <w:r>
        <w:rPr>
          <w:rFonts w:cs="Book Antiqua" w:ascii="Book Antiqua" w:hAnsi="Book Antiqua"/>
          <w:sz w:val="20"/>
        </w:rPr>
        <w:t>Voltage Support Service (VSS)</w:t>
      </w:r>
    </w:p>
    <w:p>
      <w:pPr>
        <w:pStyle w:val="12termdef"/>
        <w:rPr>
          <w:rFonts w:ascii="Book Antiqua" w:hAnsi="Book Antiqua" w:cs="Book Antiqua"/>
          <w:sz w:val="20"/>
        </w:rPr>
      </w:pPr>
      <w:r>
        <w:rPr>
          <w:rFonts w:cs="Book Antiqua" w:ascii="Book Antiqua" w:hAnsi="Book Antiqua"/>
          <w:sz w:val="20"/>
        </w:rPr>
        <w:t>A service that is required to maintain transmission and distribution voltages on the ERCOT Transmission Grid within acceptable limits.</w:t>
      </w:r>
    </w:p>
    <w:p>
      <w:pPr>
        <w:pStyle w:val="Heading1"/>
        <w:rPr/>
      </w:pPr>
      <w:r>
        <w:rPr/>
        <w:t>W</w:t>
      </w:r>
    </w:p>
    <w:p>
      <w:pPr>
        <w:pStyle w:val="TermTitle"/>
        <w:rPr>
          <w:rFonts w:ascii="Book Antiqua" w:hAnsi="Book Antiqua" w:cs="Book Antiqua"/>
          <w:sz w:val="20"/>
        </w:rPr>
      </w:pPr>
      <w:r>
        <w:rPr>
          <w:rFonts w:cs="Book Antiqua" w:ascii="Book Antiqua" w:hAnsi="Book Antiqua"/>
          <w:sz w:val="20"/>
        </w:rPr>
        <w:t>Weather Zone</w:t>
      </w:r>
    </w:p>
    <w:p>
      <w:pPr>
        <w:pStyle w:val="TermDefinition"/>
        <w:rPr>
          <w:rFonts w:ascii="Book Antiqua" w:hAnsi="Book Antiqua" w:cs="Book Antiqua"/>
          <w:sz w:val="20"/>
        </w:rPr>
      </w:pPr>
      <w:r>
        <w:rPr>
          <w:rFonts w:cs="Book Antiqua" w:ascii="Book Antiqua" w:hAnsi="Book Antiqua"/>
          <w:sz w:val="20"/>
        </w:rPr>
        <w:t>A geographic region in which climatological characteristics are similar for all areas within such region.</w:t>
      </w:r>
    </w:p>
    <w:p>
      <w:pPr>
        <w:pStyle w:val="TermTitle"/>
        <w:rPr>
          <w:rFonts w:ascii="Book Antiqua" w:hAnsi="Book Antiqua" w:cs="Book Antiqua"/>
          <w:sz w:val="20"/>
        </w:rPr>
      </w:pPr>
      <w:r>
        <w:rPr>
          <w:rFonts w:cs="Book Antiqua" w:ascii="Book Antiqua" w:hAnsi="Book Antiqua"/>
          <w:sz w:val="20"/>
        </w:rPr>
        <w:t>Wholesale Customers</w:t>
      </w:r>
    </w:p>
    <w:p>
      <w:pPr>
        <w:pStyle w:val="12termdef"/>
        <w:rPr>
          <w:rFonts w:ascii="Book Antiqua" w:hAnsi="Book Antiqua" w:cs="Book Antiqua"/>
          <w:sz w:val="20"/>
        </w:rPr>
      </w:pPr>
      <w:r>
        <w:rPr>
          <w:rFonts w:cs="Book Antiqua" w:ascii="Book Antiqua" w:hAnsi="Book Antiqua"/>
          <w:sz w:val="20"/>
        </w:rPr>
        <w:t>Non-Opt-in entities receiving service at wholesale points of delivery from an LSE other than themselves.</w:t>
      </w:r>
      <w:r>
        <w:br w:type="page"/>
      </w:r>
    </w:p>
    <w:p>
      <w:pPr>
        <w:pStyle w:val="Heading1"/>
        <w:rPr/>
      </w:pPr>
      <w:r>
        <w:rPr/>
        <w:t>Z</w:t>
      </w:r>
    </w:p>
    <w:p>
      <w:pPr>
        <w:pStyle w:val="TermTitle"/>
        <w:rPr>
          <w:rFonts w:ascii="Book Antiqua" w:hAnsi="Book Antiqua" w:cs="Book Antiqua"/>
          <w:sz w:val="20"/>
        </w:rPr>
      </w:pPr>
      <w:r>
        <w:rPr>
          <w:rFonts w:cs="Book Antiqua" w:ascii="Book Antiqua" w:hAnsi="Book Antiqua"/>
          <w:sz w:val="20"/>
        </w:rPr>
        <w:t>Zonal Congestion</w:t>
      </w:r>
    </w:p>
    <w:p>
      <w:pPr>
        <w:pStyle w:val="12termdef"/>
        <w:rPr>
          <w:rFonts w:ascii="Book Antiqua" w:hAnsi="Book Antiqua" w:cs="Book Antiqua"/>
          <w:sz w:val="20"/>
        </w:rPr>
      </w:pPr>
      <w:r>
        <w:rPr>
          <w:rFonts w:cs="Book Antiqua" w:ascii="Book Antiqua" w:hAnsi="Book Antiqua"/>
          <w:sz w:val="20"/>
        </w:rPr>
        <w:t>Congestion that can be resolved by deployment of Balancing Energy Services by Congestion Zones, including CSCs and any Operational Constraints underlying or essentially parallel to CSCs.</w:t>
      </w:r>
    </w:p>
    <w:p>
      <w:pPr>
        <w:pStyle w:val="Normal"/>
        <w:rPr>
          <w:rFonts w:ascii="Book Antiqua" w:hAnsi="Book Antiqua" w:cs="Book Antiqua"/>
          <w:sz w:val="20"/>
        </w:rPr>
      </w:pPr>
      <w:r>
        <w:rPr>
          <w:rFonts w:cs="Book Antiqua"/>
          <w:sz w:val="20"/>
        </w:rPr>
      </w:r>
      <w:r>
        <w:br w:type="page"/>
      </w:r>
    </w:p>
    <w:p>
      <w:pPr>
        <w:pStyle w:val="Heading1"/>
        <w:rPr/>
      </w:pPr>
      <w:bookmarkStart w:id="41" w:name="__RefHeading___Toc505989455"/>
      <w:bookmarkEnd w:id="41"/>
      <w:r>
        <w:rPr/>
        <w:t>Acronyms</w:t>
      </w:r>
    </w:p>
    <w:p>
      <w:pPr>
        <w:pStyle w:val="15acronyms"/>
        <w:rPr>
          <w:rFonts w:ascii="Book Antiqua" w:hAnsi="Book Antiqua" w:cs="Book Antiqua"/>
          <w:sz w:val="20"/>
        </w:rPr>
      </w:pPr>
      <w:r>
        <w:rPr>
          <w:rFonts w:cs="Book Antiqua" w:ascii="Book Antiqua" w:hAnsi="Book Antiqua"/>
          <w:sz w:val="20"/>
        </w:rPr>
        <w:t>AS</w:t>
        <w:tab/>
        <w:t>Ancillary Service</w:t>
      </w:r>
    </w:p>
    <w:p>
      <w:pPr>
        <w:pStyle w:val="15acronyms"/>
        <w:rPr>
          <w:rFonts w:ascii="Book Antiqua" w:hAnsi="Book Antiqua" w:cs="Book Antiqua"/>
          <w:sz w:val="20"/>
        </w:rPr>
      </w:pPr>
      <w:r>
        <w:rPr>
          <w:rFonts w:cs="Book Antiqua" w:ascii="Book Antiqua" w:hAnsi="Book Antiqua"/>
          <w:sz w:val="20"/>
        </w:rPr>
        <w:t>CR</w:t>
        <w:tab/>
        <w:t>Competitive Retailer</w:t>
      </w:r>
    </w:p>
    <w:p>
      <w:pPr>
        <w:pStyle w:val="15acronyms"/>
        <w:rPr>
          <w:rFonts w:ascii="Book Antiqua" w:hAnsi="Book Antiqua" w:cs="Book Antiqua"/>
          <w:sz w:val="20"/>
        </w:rPr>
      </w:pPr>
      <w:r>
        <w:rPr>
          <w:rFonts w:cs="Book Antiqua" w:ascii="Book Antiqua" w:hAnsi="Book Antiqua"/>
          <w:sz w:val="20"/>
        </w:rPr>
        <w:t>CSC</w:t>
        <w:tab/>
        <w:t>Commercially Significant Constraint</w:t>
      </w:r>
    </w:p>
    <w:p>
      <w:pPr>
        <w:pStyle w:val="15acronyms"/>
        <w:rPr>
          <w:rFonts w:ascii="Book Antiqua" w:hAnsi="Book Antiqua" w:cs="Book Antiqua"/>
          <w:sz w:val="20"/>
        </w:rPr>
      </w:pPr>
      <w:r>
        <w:rPr>
          <w:rFonts w:cs="Book Antiqua" w:ascii="Book Antiqua" w:hAnsi="Book Antiqua"/>
          <w:sz w:val="20"/>
        </w:rPr>
        <w:t>DA</w:t>
        <w:tab/>
        <w:t>Day Ahead</w:t>
      </w:r>
    </w:p>
    <w:p>
      <w:pPr>
        <w:pStyle w:val="15acronyms"/>
        <w:rPr>
          <w:rFonts w:ascii="Book Antiqua" w:hAnsi="Book Antiqua" w:cs="Book Antiqua"/>
          <w:sz w:val="20"/>
        </w:rPr>
      </w:pPr>
      <w:r>
        <w:rPr>
          <w:rFonts w:cs="Book Antiqua" w:ascii="Book Antiqua" w:hAnsi="Book Antiqua"/>
          <w:sz w:val="20"/>
        </w:rPr>
        <w:t>DAS</w:t>
        <w:tab/>
        <w:t>Data Aggregation</w:t>
      </w:r>
      <w:r>
        <w:fldChar w:fldCharType="begin"/>
      </w:r>
      <w:r>
        <w:rPr/>
        <w:instrText xml:space="preserve"> XE "Aggregation" </w:instrText>
      </w:r>
      <w:r>
        <w:rPr/>
        <w:fldChar w:fldCharType="separate"/>
      </w:r>
      <w:r>
        <w:rPr/>
      </w:r>
      <w:r>
        <w:rPr/>
        <w:fldChar w:fldCharType="end"/>
      </w:r>
      <w:r>
        <w:rPr>
          <w:rFonts w:cs="Book Antiqua" w:ascii="Book Antiqua" w:hAnsi="Book Antiqua"/>
          <w:sz w:val="20"/>
        </w:rPr>
        <w:t xml:space="preserve"> System</w:t>
      </w:r>
    </w:p>
    <w:p>
      <w:pPr>
        <w:pStyle w:val="15acronyms"/>
        <w:rPr>
          <w:rFonts w:ascii="Book Antiqua" w:hAnsi="Book Antiqua" w:cs="Book Antiqua"/>
          <w:sz w:val="20"/>
        </w:rPr>
      </w:pPr>
      <w:r>
        <w:rPr>
          <w:rFonts w:cs="Book Antiqua" w:ascii="Book Antiqua" w:hAnsi="Book Antiqua"/>
          <w:sz w:val="20"/>
        </w:rPr>
        <w:t>DC</w:t>
        <w:tab/>
        <w:t>Direct current</w:t>
      </w:r>
    </w:p>
    <w:p>
      <w:pPr>
        <w:pStyle w:val="15acronyms"/>
        <w:rPr>
          <w:rFonts w:ascii="Book Antiqua" w:hAnsi="Book Antiqua" w:cs="Book Antiqua"/>
          <w:sz w:val="20"/>
        </w:rPr>
      </w:pPr>
      <w:r>
        <w:rPr>
          <w:rFonts w:cs="Book Antiqua" w:ascii="Book Antiqua" w:hAnsi="Book Antiqua"/>
          <w:sz w:val="20"/>
        </w:rPr>
        <w:t>DLF</w:t>
        <w:tab/>
        <w:t>Distribution Loss Factor</w:t>
      </w:r>
    </w:p>
    <w:p>
      <w:pPr>
        <w:pStyle w:val="15acronyms"/>
        <w:rPr>
          <w:rFonts w:ascii="Book Antiqua" w:hAnsi="Book Antiqua" w:cs="Book Antiqua"/>
          <w:sz w:val="20"/>
        </w:rPr>
      </w:pPr>
      <w:r>
        <w:rPr>
          <w:rFonts w:cs="Book Antiqua" w:ascii="Book Antiqua" w:hAnsi="Book Antiqua"/>
          <w:sz w:val="20"/>
        </w:rPr>
        <w:t>EDI</w:t>
        <w:tab/>
        <w:t>Electronic Data Interchange</w:t>
      </w:r>
    </w:p>
    <w:p>
      <w:pPr>
        <w:pStyle w:val="15acronyms"/>
        <w:rPr>
          <w:rFonts w:ascii="Book Antiqua" w:hAnsi="Book Antiqua" w:cs="Book Antiqua"/>
          <w:sz w:val="20"/>
        </w:rPr>
      </w:pPr>
      <w:r>
        <w:rPr>
          <w:rFonts w:cs="Book Antiqua" w:ascii="Book Antiqua" w:hAnsi="Book Antiqua"/>
          <w:sz w:val="20"/>
        </w:rPr>
        <w:t>EMS</w:t>
        <w:tab/>
        <w:t>Energy Management System</w:t>
      </w:r>
    </w:p>
    <w:p>
      <w:pPr>
        <w:pStyle w:val="15acronyms"/>
        <w:rPr>
          <w:rFonts w:ascii="Book Antiqua" w:hAnsi="Book Antiqua" w:cs="Book Antiqua"/>
          <w:sz w:val="20"/>
        </w:rPr>
      </w:pPr>
      <w:r>
        <w:rPr>
          <w:rFonts w:cs="Book Antiqua" w:ascii="Book Antiqua" w:hAnsi="Book Antiqua"/>
          <w:sz w:val="20"/>
        </w:rPr>
        <w:t>EP</w:t>
        <w:tab/>
        <w:t>Energy Provider</w:t>
      </w:r>
    </w:p>
    <w:p>
      <w:pPr>
        <w:pStyle w:val="15acronyms"/>
        <w:rPr>
          <w:rFonts w:ascii="Book Antiqua" w:hAnsi="Book Antiqua" w:cs="Book Antiqua"/>
          <w:sz w:val="20"/>
        </w:rPr>
      </w:pPr>
      <w:r>
        <w:rPr>
          <w:rFonts w:cs="Book Antiqua" w:ascii="Book Antiqua" w:hAnsi="Book Antiqua"/>
          <w:sz w:val="20"/>
        </w:rPr>
        <w:t>EPS</w:t>
        <w:tab/>
        <w:t>ERCOT Polled Settlement Meter</w:t>
      </w:r>
    </w:p>
    <w:p>
      <w:pPr>
        <w:pStyle w:val="15acronyms"/>
        <w:rPr>
          <w:rFonts w:ascii="Book Antiqua" w:hAnsi="Book Antiqua" w:cs="Book Antiqua"/>
          <w:sz w:val="20"/>
        </w:rPr>
      </w:pPr>
      <w:r>
        <w:rPr>
          <w:rFonts w:cs="Book Antiqua" w:ascii="Book Antiqua" w:hAnsi="Book Antiqua"/>
          <w:sz w:val="20"/>
        </w:rPr>
        <w:t>ERCOT</w:t>
        <w:tab/>
        <w:t>Electric Reliability Council of Texas</w:t>
      </w:r>
    </w:p>
    <w:p>
      <w:pPr>
        <w:pStyle w:val="15acronyms"/>
        <w:rPr>
          <w:rFonts w:ascii="Book Antiqua" w:hAnsi="Book Antiqua" w:cs="Book Antiqua"/>
          <w:sz w:val="20"/>
        </w:rPr>
      </w:pPr>
      <w:r>
        <w:rPr>
          <w:rFonts w:cs="Book Antiqua" w:ascii="Book Antiqua" w:hAnsi="Book Antiqua"/>
          <w:sz w:val="20"/>
        </w:rPr>
        <w:t>ESI</w:t>
        <w:tab/>
        <w:t>Electric Service Identifier</w:t>
      </w:r>
    </w:p>
    <w:p>
      <w:pPr>
        <w:pStyle w:val="15acronyms"/>
        <w:rPr>
          <w:rFonts w:ascii="Book Antiqua" w:hAnsi="Book Antiqua" w:cs="Book Antiqua"/>
          <w:sz w:val="20"/>
        </w:rPr>
      </w:pPr>
      <w:r>
        <w:rPr>
          <w:rFonts w:cs="Book Antiqua" w:ascii="Book Antiqua" w:hAnsi="Book Antiqua"/>
          <w:sz w:val="20"/>
        </w:rPr>
        <w:t>FERC</w:t>
        <w:tab/>
        <w:t>Federal Energy Regulatory Commission</w:t>
      </w:r>
    </w:p>
    <w:p>
      <w:pPr>
        <w:pStyle w:val="15acronyms"/>
        <w:rPr>
          <w:rFonts w:ascii="Book Antiqua" w:hAnsi="Book Antiqua" w:cs="Book Antiqua"/>
          <w:sz w:val="20"/>
        </w:rPr>
      </w:pPr>
      <w:r>
        <w:rPr>
          <w:rFonts w:cs="Book Antiqua" w:ascii="Book Antiqua" w:hAnsi="Book Antiqua"/>
          <w:sz w:val="20"/>
        </w:rPr>
        <w:t>FTP</w:t>
        <w:tab/>
        <w:t>File Transfer Protocol</w:t>
      </w:r>
    </w:p>
    <w:p>
      <w:pPr>
        <w:pStyle w:val="15acronyms"/>
        <w:rPr>
          <w:rFonts w:ascii="Book Antiqua" w:hAnsi="Book Antiqua" w:cs="Book Antiqua"/>
          <w:sz w:val="20"/>
        </w:rPr>
      </w:pPr>
      <w:r>
        <w:rPr>
          <w:rFonts w:cs="Book Antiqua" w:ascii="Book Antiqua" w:hAnsi="Book Antiqua"/>
          <w:sz w:val="20"/>
        </w:rPr>
        <w:t>IDR</w:t>
        <w:tab/>
        <w:t>Interval Data Recorder</w:t>
      </w:r>
    </w:p>
    <w:p>
      <w:pPr>
        <w:pStyle w:val="15acronyms"/>
        <w:rPr>
          <w:rFonts w:ascii="Book Antiqua" w:hAnsi="Book Antiqua" w:cs="Book Antiqua"/>
          <w:sz w:val="20"/>
        </w:rPr>
      </w:pPr>
      <w:r>
        <w:rPr>
          <w:rFonts w:cs="Book Antiqua" w:ascii="Book Antiqua" w:hAnsi="Book Antiqua"/>
          <w:sz w:val="20"/>
        </w:rPr>
        <w:t>IOU</w:t>
        <w:tab/>
        <w:t>Investor Owned Utilities</w:t>
      </w:r>
    </w:p>
    <w:p>
      <w:pPr>
        <w:pStyle w:val="15acronyms"/>
        <w:rPr>
          <w:rFonts w:ascii="Book Antiqua" w:hAnsi="Book Antiqua" w:cs="Book Antiqua"/>
          <w:sz w:val="20"/>
        </w:rPr>
      </w:pPr>
      <w:r>
        <w:rPr>
          <w:rFonts w:cs="Book Antiqua" w:ascii="Book Antiqua" w:hAnsi="Book Antiqua"/>
          <w:sz w:val="20"/>
        </w:rPr>
        <w:t>IPP</w:t>
        <w:tab/>
        <w:t>Independent Power Producers</w:t>
      </w:r>
    </w:p>
    <w:p>
      <w:pPr>
        <w:pStyle w:val="15acronyms"/>
        <w:rPr>
          <w:rFonts w:ascii="Book Antiqua" w:hAnsi="Book Antiqua" w:cs="Book Antiqua"/>
          <w:sz w:val="20"/>
        </w:rPr>
      </w:pPr>
      <w:r>
        <w:rPr>
          <w:rFonts w:cs="Book Antiqua" w:ascii="Book Antiqua" w:hAnsi="Book Antiqua"/>
          <w:sz w:val="20"/>
        </w:rPr>
        <w:t>LSE</w:t>
        <w:tab/>
        <w:t>Load Serving Entity</w:t>
      </w:r>
    </w:p>
    <w:p>
      <w:pPr>
        <w:pStyle w:val="15acronyms"/>
        <w:rPr>
          <w:rFonts w:ascii="Book Antiqua" w:hAnsi="Book Antiqua" w:cs="Book Antiqua"/>
          <w:sz w:val="20"/>
        </w:rPr>
      </w:pPr>
      <w:r>
        <w:rPr>
          <w:rFonts w:cs="Book Antiqua" w:ascii="Book Antiqua" w:hAnsi="Book Antiqua"/>
          <w:sz w:val="20"/>
        </w:rPr>
        <w:t>MCP</w:t>
        <w:tab/>
        <w:t>Market Clearing Price</w:t>
      </w:r>
    </w:p>
    <w:p>
      <w:pPr>
        <w:pStyle w:val="15acronyms"/>
        <w:rPr>
          <w:rFonts w:ascii="Book Antiqua" w:hAnsi="Book Antiqua" w:cs="Book Antiqua"/>
          <w:sz w:val="20"/>
        </w:rPr>
      </w:pPr>
      <w:r>
        <w:rPr>
          <w:rFonts w:cs="Book Antiqua" w:ascii="Book Antiqua" w:hAnsi="Book Antiqua"/>
          <w:sz w:val="20"/>
        </w:rPr>
        <w:t>MCPC</w:t>
        <w:tab/>
        <w:t>Market Clearing Price for Capacity</w:t>
      </w:r>
    </w:p>
    <w:p>
      <w:pPr>
        <w:pStyle w:val="15acronyms"/>
        <w:rPr>
          <w:rFonts w:ascii="Book Antiqua" w:hAnsi="Book Antiqua" w:cs="Book Antiqua"/>
          <w:sz w:val="20"/>
        </w:rPr>
      </w:pPr>
      <w:r>
        <w:rPr>
          <w:rFonts w:cs="Book Antiqua" w:ascii="Book Antiqua" w:hAnsi="Book Antiqua"/>
          <w:sz w:val="20"/>
        </w:rPr>
        <w:t>MCPE</w:t>
        <w:tab/>
        <w:t>Market Clearing Price for Energy</w:t>
      </w:r>
    </w:p>
    <w:p>
      <w:pPr>
        <w:pStyle w:val="15acronyms"/>
        <w:rPr>
          <w:rFonts w:ascii="Book Antiqua" w:hAnsi="Book Antiqua" w:cs="Book Antiqua"/>
          <w:sz w:val="20"/>
        </w:rPr>
      </w:pPr>
      <w:r>
        <w:rPr>
          <w:rFonts w:cs="Book Antiqua" w:ascii="Book Antiqua" w:hAnsi="Book Antiqua"/>
          <w:sz w:val="20"/>
        </w:rPr>
        <w:t>MOU</w:t>
        <w:tab/>
        <w:t>Municipally Owned Utility</w:t>
      </w:r>
    </w:p>
    <w:p>
      <w:pPr>
        <w:pStyle w:val="15acronyms"/>
        <w:rPr>
          <w:rFonts w:ascii="Book Antiqua" w:hAnsi="Book Antiqua" w:cs="Book Antiqua"/>
          <w:sz w:val="20"/>
        </w:rPr>
      </w:pPr>
      <w:r>
        <w:rPr>
          <w:rFonts w:cs="Book Antiqua" w:ascii="Book Antiqua" w:hAnsi="Book Antiqua"/>
          <w:sz w:val="20"/>
        </w:rPr>
        <w:t>NERC</w:t>
        <w:tab/>
        <w:t>North American Electric Reliability Council</w:t>
      </w:r>
    </w:p>
    <w:p>
      <w:pPr>
        <w:pStyle w:val="15acronyms"/>
        <w:rPr>
          <w:rFonts w:ascii="Book Antiqua" w:hAnsi="Book Antiqua" w:cs="Book Antiqua"/>
          <w:sz w:val="20"/>
          <w:lang w:val="fr-CA"/>
        </w:rPr>
      </w:pPr>
      <w:r>
        <w:rPr>
          <w:rFonts w:cs="Book Antiqua" w:ascii="Book Antiqua" w:hAnsi="Book Antiqua"/>
          <w:sz w:val="20"/>
          <w:lang w:val="fr-CA"/>
        </w:rPr>
        <w:t>NOIE</w:t>
        <w:tab/>
        <w:t>Non Opt-In Entity</w:t>
      </w:r>
    </w:p>
    <w:p>
      <w:pPr>
        <w:pStyle w:val="15acronyms"/>
        <w:rPr/>
      </w:pPr>
      <w:r>
        <w:rPr>
          <w:rFonts w:cs="Book Antiqua" w:ascii="Book Antiqua" w:hAnsi="Book Antiqua"/>
          <w:sz w:val="20"/>
        </w:rPr>
        <w:t>NSRS</w:t>
        <w:tab/>
        <w:t>Non-Spinning Reserve</w:t>
      </w:r>
      <w:r>
        <w:fldChar w:fldCharType="begin"/>
      </w:r>
      <w:r>
        <w:rPr/>
        <w:instrText xml:space="preserve"> XE "Non-Spinning Reserve" </w:instrText>
      </w:r>
      <w:r>
        <w:rPr/>
        <w:fldChar w:fldCharType="separate"/>
      </w:r>
      <w:r>
        <w:rPr/>
      </w:r>
      <w:r>
        <w:rPr/>
        <w:fldChar w:fldCharType="end"/>
      </w:r>
      <w:r>
        <w:rPr>
          <w:rFonts w:cs="Book Antiqua" w:ascii="Book Antiqua" w:hAnsi="Book Antiqua"/>
          <w:sz w:val="20"/>
        </w:rPr>
        <w:t xml:space="preserve"> Service</w:t>
      </w:r>
    </w:p>
    <w:p>
      <w:pPr>
        <w:pStyle w:val="15acronyms"/>
        <w:rPr>
          <w:rFonts w:ascii="Book Antiqua" w:hAnsi="Book Antiqua" w:cs="Book Antiqua"/>
          <w:sz w:val="20"/>
        </w:rPr>
      </w:pPr>
      <w:r>
        <w:rPr>
          <w:rFonts w:cs="Book Antiqua" w:ascii="Book Antiqua" w:hAnsi="Book Antiqua"/>
          <w:sz w:val="20"/>
        </w:rPr>
        <w:t>OOM</w:t>
        <w:tab/>
        <w:t>Out of Merit Order</w:t>
      </w:r>
    </w:p>
    <w:p>
      <w:pPr>
        <w:pStyle w:val="15acronyms"/>
        <w:rPr>
          <w:rFonts w:ascii="Book Antiqua" w:hAnsi="Book Antiqua" w:cs="Book Antiqua"/>
          <w:sz w:val="20"/>
        </w:rPr>
      </w:pPr>
      <w:r>
        <w:rPr>
          <w:rFonts w:cs="Book Antiqua" w:ascii="Book Antiqua" w:hAnsi="Book Antiqua"/>
          <w:sz w:val="20"/>
        </w:rPr>
        <w:t>OOMC</w:t>
        <w:tab/>
        <w:t>Out of Merit Capacity</w:t>
      </w:r>
    </w:p>
    <w:p>
      <w:pPr>
        <w:pStyle w:val="15acronyms"/>
        <w:rPr>
          <w:rFonts w:ascii="Book Antiqua" w:hAnsi="Book Antiqua" w:cs="Book Antiqua"/>
          <w:sz w:val="20"/>
        </w:rPr>
      </w:pPr>
      <w:r>
        <w:rPr>
          <w:rFonts w:cs="Book Antiqua" w:ascii="Book Antiqua" w:hAnsi="Book Antiqua"/>
          <w:sz w:val="20"/>
        </w:rPr>
        <w:t>OOME</w:t>
        <w:tab/>
        <w:t>Out of Merit Energy</w:t>
      </w:r>
    </w:p>
    <w:p>
      <w:pPr>
        <w:pStyle w:val="15acronyms"/>
        <w:rPr/>
      </w:pPr>
      <w:r>
        <w:rPr>
          <w:rFonts w:cs="Book Antiqua" w:ascii="Book Antiqua" w:hAnsi="Book Antiqua"/>
          <w:sz w:val="20"/>
        </w:rPr>
        <w:t>PGC</w:t>
      </w:r>
      <w:r>
        <w:fldChar w:fldCharType="begin"/>
      </w:r>
      <w:r>
        <w:rPr/>
        <w:instrText xml:space="preserve"> XE "PGC" </w:instrText>
      </w:r>
      <w:r>
        <w:rPr/>
        <w:fldChar w:fldCharType="separate"/>
      </w:r>
      <w:r>
        <w:rPr/>
      </w:r>
      <w:r>
        <w:rPr/>
        <w:fldChar w:fldCharType="end"/>
      </w:r>
      <w:r>
        <w:rPr>
          <w:rFonts w:cs="Book Antiqua" w:ascii="Book Antiqua" w:hAnsi="Book Antiqua"/>
          <w:sz w:val="20"/>
        </w:rPr>
        <w:tab/>
        <w:t>Power Generation Company</w:t>
      </w:r>
    </w:p>
    <w:p>
      <w:pPr>
        <w:pStyle w:val="15acronyms"/>
        <w:rPr>
          <w:rFonts w:ascii="Book Antiqua" w:hAnsi="Book Antiqua" w:cs="Book Antiqua"/>
          <w:sz w:val="20"/>
        </w:rPr>
      </w:pPr>
      <w:r>
        <w:rPr>
          <w:rFonts w:cs="Book Antiqua" w:ascii="Book Antiqua" w:hAnsi="Book Antiqua"/>
          <w:sz w:val="20"/>
        </w:rPr>
        <w:t>PM</w:t>
        <w:tab/>
        <w:t>Power Marketer</w:t>
      </w:r>
      <w:r>
        <w:fldChar w:fldCharType="begin"/>
      </w:r>
      <w:r>
        <w:rPr/>
        <w:instrText xml:space="preserve"> XE "Power Marketer" </w:instrText>
      </w:r>
      <w:r>
        <w:rPr/>
        <w:fldChar w:fldCharType="separate"/>
      </w:r>
      <w:r>
        <w:rPr/>
      </w:r>
      <w:r>
        <w:rPr/>
        <w:fldChar w:fldCharType="end"/>
      </w:r>
    </w:p>
    <w:p>
      <w:pPr>
        <w:pStyle w:val="15acronyms"/>
        <w:rPr>
          <w:rFonts w:ascii="Book Antiqua" w:hAnsi="Book Antiqua" w:cs="Book Antiqua"/>
          <w:sz w:val="20"/>
        </w:rPr>
      </w:pPr>
      <w:r>
        <w:rPr>
          <w:rFonts w:cs="Book Antiqua" w:ascii="Book Antiqua" w:hAnsi="Book Antiqua"/>
          <w:sz w:val="20"/>
        </w:rPr>
        <w:t>PUCT</w:t>
        <w:tab/>
        <w:t>Public Utility Commission of Texas</w:t>
      </w:r>
    </w:p>
    <w:p>
      <w:pPr>
        <w:pStyle w:val="15acronyms"/>
        <w:ind w:hanging="1440" w:start="2160" w:end="0"/>
        <w:rPr>
          <w:rFonts w:ascii="Book Antiqua" w:hAnsi="Book Antiqua" w:cs="Book Antiqua"/>
          <w:sz w:val="20"/>
        </w:rPr>
      </w:pPr>
      <w:r>
        <w:rPr>
          <w:rFonts w:cs="Book Antiqua" w:ascii="Book Antiqua" w:hAnsi="Book Antiqua"/>
          <w:sz w:val="20"/>
        </w:rPr>
        <w:t>PURA</w:t>
        <w:tab/>
        <w:t>Public Utility Regulatory Act, Title II, Texas Utility Code</w:t>
      </w:r>
    </w:p>
    <w:p>
      <w:pPr>
        <w:pStyle w:val="15acronyms"/>
        <w:rPr>
          <w:rFonts w:ascii="Book Antiqua" w:hAnsi="Book Antiqua" w:cs="Book Antiqua"/>
          <w:sz w:val="20"/>
        </w:rPr>
      </w:pPr>
      <w:r>
        <w:rPr>
          <w:rFonts w:cs="Book Antiqua" w:ascii="Book Antiqua" w:hAnsi="Book Antiqua"/>
          <w:sz w:val="20"/>
        </w:rPr>
        <w:t>PURPA</w:t>
        <w:tab/>
        <w:t>Public Utility Regulatory Policy Act</w:t>
      </w:r>
    </w:p>
    <w:p>
      <w:pPr>
        <w:pStyle w:val="15acronyms"/>
        <w:rPr>
          <w:rFonts w:ascii="Book Antiqua" w:hAnsi="Book Antiqua" w:cs="Book Antiqua"/>
          <w:sz w:val="20"/>
        </w:rPr>
      </w:pPr>
      <w:r>
        <w:rPr>
          <w:rFonts w:cs="Book Antiqua" w:ascii="Book Antiqua" w:hAnsi="Book Antiqua"/>
          <w:sz w:val="20"/>
        </w:rPr>
        <w:t>QSE</w:t>
        <w:tab/>
        <w:t>Qualified Scheduling Entity</w:t>
      </w:r>
    </w:p>
    <w:p>
      <w:pPr>
        <w:pStyle w:val="15acronyms"/>
        <w:rPr>
          <w:rFonts w:ascii="Book Antiqua" w:hAnsi="Book Antiqua" w:cs="Book Antiqua"/>
          <w:sz w:val="20"/>
        </w:rPr>
      </w:pPr>
      <w:r>
        <w:rPr>
          <w:rFonts w:cs="Book Antiqua" w:ascii="Book Antiqua" w:hAnsi="Book Antiqua"/>
          <w:sz w:val="20"/>
        </w:rPr>
        <w:t>REC</w:t>
        <w:tab/>
        <w:t>Renewable Energy Credit</w:t>
      </w:r>
    </w:p>
    <w:p>
      <w:pPr>
        <w:pStyle w:val="15acronyms"/>
        <w:rPr/>
      </w:pPr>
      <w:r>
        <w:rPr>
          <w:rFonts w:cs="Book Antiqua" w:ascii="Book Antiqua" w:hAnsi="Book Antiqua"/>
          <w:sz w:val="20"/>
        </w:rPr>
        <w:t>REP</w:t>
      </w:r>
      <w:r>
        <w:fldChar w:fldCharType="begin"/>
      </w:r>
      <w:r>
        <w:rPr/>
        <w:instrText xml:space="preserve"> XE "REP" </w:instrText>
      </w:r>
      <w:r>
        <w:rPr/>
        <w:fldChar w:fldCharType="separate"/>
      </w:r>
      <w:r>
        <w:rPr/>
      </w:r>
      <w:r>
        <w:rPr/>
        <w:fldChar w:fldCharType="end"/>
      </w:r>
      <w:r>
        <w:rPr>
          <w:rFonts w:cs="Book Antiqua" w:ascii="Book Antiqua" w:hAnsi="Book Antiqua"/>
          <w:sz w:val="20"/>
        </w:rPr>
        <w:tab/>
        <w:t>Retail Electric Provider</w:t>
      </w:r>
    </w:p>
    <w:p>
      <w:pPr>
        <w:pStyle w:val="15acronyms"/>
        <w:rPr>
          <w:rFonts w:ascii="Book Antiqua" w:hAnsi="Book Antiqua" w:cs="Book Antiqua"/>
          <w:sz w:val="20"/>
        </w:rPr>
      </w:pPr>
      <w:r>
        <w:rPr>
          <w:rFonts w:cs="Book Antiqua" w:ascii="Book Antiqua" w:hAnsi="Book Antiqua"/>
          <w:sz w:val="20"/>
        </w:rPr>
        <w:t>RGS</w:t>
        <w:tab/>
        <w:t>Regulation Service</w:t>
      </w:r>
    </w:p>
    <w:p>
      <w:pPr>
        <w:pStyle w:val="15acronyms"/>
        <w:rPr>
          <w:rFonts w:ascii="Book Antiqua" w:hAnsi="Book Antiqua" w:cs="Book Antiqua"/>
          <w:sz w:val="20"/>
        </w:rPr>
      </w:pPr>
      <w:r>
        <w:rPr>
          <w:rFonts w:cs="Book Antiqua" w:ascii="Book Antiqua" w:hAnsi="Book Antiqua"/>
          <w:sz w:val="20"/>
        </w:rPr>
        <w:t>RMR</w:t>
        <w:tab/>
        <w:t>Reliability Must-Run</w:t>
      </w:r>
    </w:p>
    <w:p>
      <w:pPr>
        <w:pStyle w:val="15acronyms"/>
        <w:rPr>
          <w:rFonts w:ascii="Book Antiqua" w:hAnsi="Book Antiqua" w:cs="Book Antiqua"/>
          <w:sz w:val="20"/>
        </w:rPr>
      </w:pPr>
      <w:r>
        <w:rPr>
          <w:rFonts w:cs="Book Antiqua" w:ascii="Book Antiqua" w:hAnsi="Book Antiqua"/>
          <w:sz w:val="20"/>
        </w:rPr>
        <w:t>RPRS</w:t>
        <w:tab/>
        <w:t>Replacement Reserve Service</w:t>
      </w:r>
    </w:p>
    <w:p>
      <w:pPr>
        <w:pStyle w:val="15acronyms"/>
        <w:rPr/>
      </w:pPr>
      <w:r>
        <w:rPr>
          <w:rFonts w:cs="Book Antiqua" w:ascii="Book Antiqua" w:hAnsi="Book Antiqua"/>
          <w:sz w:val="20"/>
        </w:rPr>
        <w:t>RRO</w:t>
        <w:tab/>
        <w:t>Responsive Reserve</w:t>
      </w:r>
      <w:r>
        <w:fldChar w:fldCharType="begin"/>
      </w:r>
      <w:r>
        <w:rPr/>
        <w:instrText xml:space="preserve"> XE "Responsive Reserve" </w:instrText>
      </w:r>
      <w:r>
        <w:rPr/>
        <w:fldChar w:fldCharType="separate"/>
      </w:r>
      <w:r>
        <w:rPr/>
      </w:r>
      <w:r>
        <w:rPr/>
        <w:fldChar w:fldCharType="end"/>
      </w:r>
      <w:r>
        <w:rPr>
          <w:rFonts w:cs="Book Antiqua" w:ascii="Book Antiqua" w:hAnsi="Book Antiqua"/>
          <w:sz w:val="20"/>
        </w:rPr>
        <w:t xml:space="preserve"> Obligation</w:t>
      </w:r>
    </w:p>
    <w:p>
      <w:pPr>
        <w:pStyle w:val="15acronyms"/>
        <w:rPr/>
      </w:pPr>
      <w:r>
        <w:rPr>
          <w:rFonts w:cs="Book Antiqua" w:ascii="Book Antiqua" w:hAnsi="Book Antiqua"/>
          <w:sz w:val="20"/>
        </w:rPr>
        <w:t>RRS</w:t>
        <w:tab/>
        <w:t>Responsive Reserve</w:t>
      </w:r>
      <w:r>
        <w:fldChar w:fldCharType="begin"/>
      </w:r>
      <w:r>
        <w:rPr/>
        <w:instrText xml:space="preserve"> XE "Responsive Reserve" </w:instrText>
      </w:r>
      <w:r>
        <w:rPr/>
        <w:fldChar w:fldCharType="separate"/>
      </w:r>
      <w:r>
        <w:rPr/>
      </w:r>
      <w:r>
        <w:rPr/>
        <w:fldChar w:fldCharType="end"/>
      </w:r>
      <w:r>
        <w:rPr>
          <w:rFonts w:cs="Book Antiqua" w:ascii="Book Antiqua" w:hAnsi="Book Antiqua"/>
          <w:sz w:val="20"/>
        </w:rPr>
        <w:t xml:space="preserve"> Service</w:t>
      </w:r>
    </w:p>
    <w:p>
      <w:pPr>
        <w:pStyle w:val="15acronyms"/>
        <w:rPr>
          <w:rFonts w:ascii="Book Antiqua" w:hAnsi="Book Antiqua" w:cs="Book Antiqua"/>
          <w:sz w:val="20"/>
        </w:rPr>
      </w:pPr>
      <w:r>
        <w:rPr>
          <w:rFonts w:cs="Book Antiqua" w:ascii="Book Antiqua" w:hAnsi="Book Antiqua"/>
          <w:sz w:val="20"/>
        </w:rPr>
        <w:t>RT</w:t>
        <w:tab/>
        <w:t>Real Time</w:t>
      </w:r>
    </w:p>
    <w:p>
      <w:pPr>
        <w:pStyle w:val="15acronyms"/>
        <w:rPr>
          <w:rFonts w:ascii="Book Antiqua" w:hAnsi="Book Antiqua" w:cs="Book Antiqua"/>
          <w:sz w:val="20"/>
        </w:rPr>
      </w:pPr>
      <w:r>
        <w:rPr>
          <w:rFonts w:cs="Book Antiqua" w:ascii="Book Antiqua" w:hAnsi="Book Antiqua"/>
          <w:sz w:val="20"/>
        </w:rPr>
        <w:t>SCADA</w:t>
        <w:tab/>
        <w:t>Supervisory Control And Data Acquisition</w:t>
      </w:r>
      <w:r>
        <w:fldChar w:fldCharType="begin"/>
      </w:r>
      <w:r>
        <w:rPr/>
        <w:instrText xml:space="preserve"> XE "Data Acquisition" </w:instrText>
      </w:r>
      <w:r>
        <w:rPr/>
        <w:fldChar w:fldCharType="separate"/>
      </w:r>
      <w:r>
        <w:rPr/>
      </w:r>
      <w:r>
        <w:rPr/>
        <w:fldChar w:fldCharType="end"/>
      </w:r>
    </w:p>
    <w:p>
      <w:pPr>
        <w:pStyle w:val="15acronyms"/>
        <w:rPr>
          <w:rFonts w:ascii="Book Antiqua" w:hAnsi="Book Antiqua" w:cs="Book Antiqua"/>
          <w:sz w:val="20"/>
        </w:rPr>
      </w:pPr>
      <w:r>
        <w:rPr>
          <w:rFonts w:cs="Book Antiqua" w:ascii="Book Antiqua" w:hAnsi="Book Antiqua"/>
          <w:sz w:val="20"/>
        </w:rPr>
        <w:t>SPP</w:t>
        <w:tab/>
        <w:t>Southwest Power Pool</w:t>
      </w:r>
    </w:p>
    <w:p>
      <w:pPr>
        <w:pStyle w:val="15acronyms"/>
        <w:rPr>
          <w:rFonts w:ascii="Book Antiqua" w:hAnsi="Book Antiqua" w:cs="Book Antiqua"/>
          <w:sz w:val="20"/>
        </w:rPr>
      </w:pPr>
      <w:r>
        <w:rPr>
          <w:rFonts w:cs="Book Antiqua" w:ascii="Book Antiqua" w:hAnsi="Book Antiqua"/>
          <w:sz w:val="20"/>
        </w:rPr>
        <w:t>SET</w:t>
        <w:tab/>
        <w:t>Standard Electronic Transaction</w:t>
      </w:r>
    </w:p>
    <w:p>
      <w:pPr>
        <w:pStyle w:val="15acronyms"/>
        <w:rPr>
          <w:rFonts w:ascii="Book Antiqua" w:hAnsi="Book Antiqua" w:cs="Book Antiqua"/>
          <w:sz w:val="20"/>
        </w:rPr>
      </w:pPr>
      <w:r>
        <w:rPr>
          <w:rFonts w:cs="Book Antiqua" w:ascii="Book Antiqua" w:hAnsi="Book Antiqua"/>
          <w:sz w:val="20"/>
        </w:rPr>
        <w:t>TAC</w:t>
        <w:tab/>
        <w:t>Technical Advisory Committee</w:t>
      </w:r>
    </w:p>
    <w:p>
      <w:pPr>
        <w:pStyle w:val="15acronyms"/>
        <w:rPr>
          <w:rFonts w:ascii="Book Antiqua" w:hAnsi="Book Antiqua" w:cs="Book Antiqua"/>
          <w:sz w:val="20"/>
        </w:rPr>
      </w:pPr>
      <w:r>
        <w:rPr>
          <w:rFonts w:cs="Book Antiqua" w:ascii="Book Antiqua" w:hAnsi="Book Antiqua"/>
          <w:sz w:val="20"/>
        </w:rPr>
        <w:t>TCR</w:t>
        <w:tab/>
        <w:t>Transmission Congestion Right</w:t>
      </w:r>
    </w:p>
    <w:p>
      <w:pPr>
        <w:pStyle w:val="15acronyms"/>
        <w:rPr>
          <w:rFonts w:ascii="Book Antiqua" w:hAnsi="Book Antiqua" w:cs="Book Antiqua"/>
          <w:sz w:val="20"/>
        </w:rPr>
      </w:pPr>
      <w:r>
        <w:rPr>
          <w:rFonts w:cs="Book Antiqua" w:ascii="Book Antiqua" w:hAnsi="Book Antiqua"/>
          <w:sz w:val="20"/>
        </w:rPr>
        <w:t>T&amp;D Losses</w:t>
        <w:tab/>
        <w:t>Transmission Losses &amp; Distribution Losses</w:t>
      </w:r>
    </w:p>
    <w:p>
      <w:pPr>
        <w:pStyle w:val="15acronyms"/>
        <w:ind w:hanging="1440" w:start="2160" w:end="0"/>
        <w:rPr/>
      </w:pPr>
      <w:r>
        <w:rPr>
          <w:rFonts w:cs="Book Antiqua" w:ascii="Book Antiqua" w:hAnsi="Book Antiqua"/>
          <w:sz w:val="20"/>
        </w:rPr>
        <w:t>TDSP</w:t>
      </w:r>
      <w:r>
        <w:fldChar w:fldCharType="begin"/>
      </w:r>
      <w:r>
        <w:rPr/>
        <w:instrText xml:space="preserve"> XE "TDSP" </w:instrText>
      </w:r>
      <w:r>
        <w:rPr/>
        <w:fldChar w:fldCharType="separate"/>
      </w:r>
      <w:r>
        <w:rPr/>
      </w:r>
      <w:r>
        <w:rPr/>
        <w:fldChar w:fldCharType="end"/>
      </w:r>
      <w:r>
        <w:rPr>
          <w:rFonts w:cs="Book Antiqua" w:ascii="Book Antiqua" w:hAnsi="Book Antiqua"/>
          <w:sz w:val="20"/>
        </w:rPr>
        <w:tab/>
        <w:t>Transmission and/or Distribution Service Provider</w:t>
      </w:r>
    </w:p>
    <w:p>
      <w:pPr>
        <w:pStyle w:val="15acronyms"/>
        <w:ind w:hanging="1440" w:start="2160" w:end="0"/>
        <w:rPr>
          <w:rFonts w:ascii="Book Antiqua" w:hAnsi="Book Antiqua" w:cs="Book Antiqua"/>
          <w:sz w:val="20"/>
        </w:rPr>
      </w:pPr>
      <w:r>
        <w:rPr>
          <w:rFonts w:cs="Book Antiqua" w:ascii="Book Antiqua" w:hAnsi="Book Antiqua"/>
          <w:sz w:val="20"/>
        </w:rPr>
        <w:t>TLF</w:t>
        <w:tab/>
        <w:t>Transmission Loss Factor</w:t>
      </w:r>
    </w:p>
    <w:p>
      <w:pPr>
        <w:pStyle w:val="15acronyms"/>
        <w:ind w:hanging="1440" w:start="2160" w:end="0"/>
        <w:rPr>
          <w:rFonts w:ascii="Book Antiqua" w:hAnsi="Book Antiqua" w:cs="Book Antiqua"/>
          <w:sz w:val="20"/>
        </w:rPr>
      </w:pPr>
      <w:r>
        <w:rPr>
          <w:rFonts w:cs="Book Antiqua" w:ascii="Book Antiqua" w:hAnsi="Book Antiqua"/>
          <w:sz w:val="20"/>
        </w:rPr>
        <w:t>TSP</w:t>
        <w:tab/>
        <w:t>Transmission Service Provider</w:t>
      </w:r>
    </w:p>
    <w:p>
      <w:pPr>
        <w:pStyle w:val="15acronyms"/>
        <w:rPr>
          <w:rFonts w:ascii="Book Antiqua" w:hAnsi="Book Antiqua" w:cs="Book Antiqua"/>
          <w:sz w:val="20"/>
        </w:rPr>
      </w:pPr>
      <w:r>
        <w:rPr>
          <w:rFonts w:cs="Book Antiqua" w:ascii="Book Antiqua" w:hAnsi="Book Antiqua"/>
          <w:sz w:val="20"/>
        </w:rPr>
        <w:t>UFE</w:t>
        <w:tab/>
        <w:t>Unaccounted For Energy</w:t>
      </w:r>
    </w:p>
    <w:p>
      <w:pPr>
        <w:pStyle w:val="15acronyms"/>
        <w:rPr>
          <w:rFonts w:ascii="Book Antiqua" w:hAnsi="Book Antiqua" w:cs="Book Antiqua"/>
          <w:sz w:val="20"/>
        </w:rPr>
      </w:pPr>
      <w:r>
        <w:rPr>
          <w:rFonts w:cs="Book Antiqua" w:ascii="Book Antiqua" w:hAnsi="Book Antiqua"/>
          <w:sz w:val="20"/>
        </w:rPr>
        <w:t>VSS</w:t>
        <w:tab/>
        <w:t>Voltage Support Service</w:t>
      </w:r>
    </w:p>
    <w:p>
      <w:pPr>
        <w:pStyle w:val="15acronyms"/>
        <w:rPr>
          <w:rFonts w:ascii="Book Antiqua" w:hAnsi="Book Antiqua" w:cs="Book Antiqua"/>
          <w:sz w:val="20"/>
        </w:rPr>
      </w:pPr>
      <w:r>
        <w:rPr>
          <w:rFonts w:cs="Book Antiqua" w:ascii="Book Antiqua" w:hAnsi="Book Antiqua"/>
          <w:sz w:val="20"/>
        </w:rPr>
        <w:t>WSCC</w:t>
        <w:tab/>
        <w:t>Western System Coordinating Council</w:t>
      </w:r>
    </w:p>
    <w:p>
      <w:pPr>
        <w:pStyle w:val="Normal"/>
        <w:rPr>
          <w:rFonts w:eastAsia="Book Antiqua"/>
          <w:sz w:val="20"/>
        </w:rPr>
      </w:pPr>
      <w:bookmarkStart w:id="42" w:name="_Table_of_Contents"/>
      <w:r>
        <w:rPr>
          <w:rFonts w:eastAsia="Book Antiqua"/>
          <w:sz w:val="20"/>
        </w:rPr>
        <w:t xml:space="preserve"> </w:t>
      </w:r>
      <w:bookmarkEnd w:id="42"/>
    </w:p>
    <w:sectPr>
      <w:footnotePr>
        <w:numFmt w:val="decimal"/>
      </w:footnotePr>
      <w:type w:val="continuous"/>
      <w:pgSz w:w="12240" w:h="15840"/>
      <w:pgMar w:left="288" w:right="4320" w:gutter="0" w:header="706" w:top="1440" w:footer="706"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Helvetica">
    <w:altName w:val="Arial"/>
    <w:charset w:val="00" w:characterSet="windows-1252"/>
    <w:family w:val="swiss"/>
    <w:pitch w:val="variable"/>
  </w:font>
  <w:font w:name="Monotype Sorts">
    <w:charset w:val="02"/>
    <w:family w:val="auto"/>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38" w:type="dxa"/>
      <w:jc w:val="start"/>
      <w:tblInd w:w="0" w:type="dxa"/>
      <w:tblLayout w:type="fixed"/>
      <w:tblCellMar>
        <w:top w:w="0" w:type="dxa"/>
        <w:start w:w="108" w:type="dxa"/>
        <w:bottom w:w="0" w:type="dxa"/>
        <w:end w:w="108" w:type="dxa"/>
      </w:tblCellMar>
    </w:tblPr>
    <w:tblGrid>
      <w:gridCol w:w="1008"/>
      <w:gridCol w:w="7830"/>
    </w:tblGrid>
    <w:tr>
      <w:trPr/>
      <w:tc>
        <w:tcPr>
          <w:tcW w:w="1008" w:type="dxa"/>
          <w:tcBorders>
            <w:top w:val="single" w:sz="4" w:space="0" w:color="000000"/>
            <w:start w:val="single" w:sz="4" w:space="0" w:color="000000"/>
            <w:bottom w:val="single" w:sz="4" w:space="0" w:color="000000"/>
            <w:end w:val="single" w:sz="4" w:space="0" w:color="000000"/>
          </w:tcBorders>
        </w:tcPr>
        <w:p>
          <w:pPr>
            <w:pStyle w:val="Normal"/>
            <w:rPr>
              <w:i/>
              <w:i/>
              <w:sz w:val="18"/>
            </w:rPr>
          </w:pPr>
          <w:r>
            <w:rPr>
              <w:i/>
              <w:sz w:val="18"/>
            </w:rPr>
            <w:t>Date</w:t>
          </w:r>
        </w:p>
      </w:tc>
      <w:tc>
        <w:tcPr>
          <w:tcW w:w="7830" w:type="dxa"/>
          <w:tcBorders>
            <w:top w:val="single" w:sz="4" w:space="0" w:color="000000"/>
            <w:start w:val="single" w:sz="4" w:space="0" w:color="000000"/>
            <w:bottom w:val="single" w:sz="4" w:space="0" w:color="000000"/>
            <w:end w:val="single" w:sz="4" w:space="0" w:color="000000"/>
          </w:tcBorders>
        </w:tcPr>
        <w:p>
          <w:pPr>
            <w:pStyle w:val="Normal"/>
            <w:rPr>
              <w:i/>
              <w:i/>
              <w:sz w:val="18"/>
            </w:rPr>
          </w:pPr>
          <w:r>
            <w:rPr>
              <w:i/>
              <w:sz w:val="18"/>
            </w:rPr>
            <w:t>Revision</w:t>
          </w:r>
        </w:p>
      </w:tc>
    </w:tr>
    <w:tr>
      <w:trPr/>
      <w:tc>
        <w:tcPr>
          <w:tcW w:w="100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sz w:val="18"/>
            </w:rPr>
          </w:pPr>
          <w:r>
            <w:rPr>
              <w:sz w:val="18"/>
            </w:rPr>
            <w:t>1/22/01</w:t>
          </w:r>
        </w:p>
      </w:tc>
      <w:tc>
        <w:tcPr>
          <w:tcW w:w="7830" w:type="dxa"/>
          <w:tcBorders>
            <w:top w:val="single" w:sz="4" w:space="0" w:color="000000"/>
            <w:start w:val="single" w:sz="4" w:space="0" w:color="000000"/>
            <w:bottom w:val="single" w:sz="4" w:space="0" w:color="000000"/>
            <w:end w:val="single" w:sz="4" w:space="0" w:color="000000"/>
          </w:tcBorders>
        </w:tcPr>
        <w:p>
          <w:pPr>
            <w:pStyle w:val="Normal"/>
            <w:rPr>
              <w:sz w:val="18"/>
            </w:rPr>
          </w:pPr>
          <w:r>
            <w:rPr>
              <w:sz w:val="18"/>
            </w:rPr>
            <w:t xml:space="preserve">V1.2 is a major revision that updates the Guide to current specifications and ERCOT Protocols. Updated sections on market operations, data aggregation, settlements. </w:t>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783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r>
      <w:trPr/>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c>
        <w:tcPr>
          <w:tcW w:w="7830" w:type="dxa"/>
          <w:tcBorders>
            <w:top w:val="single" w:sz="4" w:space="0" w:color="000000"/>
            <w:start w:val="single" w:sz="4" w:space="0" w:color="000000"/>
            <w:bottom w:val="single" w:sz="4" w:space="0" w:color="000000"/>
            <w:end w:val="single" w:sz="4" w:space="0" w:color="000000"/>
          </w:tcBorders>
        </w:tcPr>
        <w:p>
          <w:pPr>
            <w:pStyle w:val="Normal"/>
            <w:snapToGrid w:val="false"/>
            <w:rPr>
              <w:sz w:val="18"/>
            </w:rPr>
          </w:pPr>
          <w:r>
            <w:rPr>
              <w:sz w:val="18"/>
            </w:rPr>
          </w:r>
        </w:p>
      </w:tc>
    </w:tr>
  </w:tbl>
  <w:p>
    <w:pPr>
      <w:pStyle w:val="Normal"/>
      <w:ind w:end="360"/>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sz w:val="16"/>
      </w:rPr>
    </w:pPr>
    <w:r>
      <w:rPr>
        <w:sz w:val="16"/>
      </w:rPr>
    </w:r>
    <w:r>
      <mc:AlternateContent>
        <mc:Choice Requires="wps">
          <w:drawing>
            <wp:anchor behindDoc="0" distT="0" distB="0" distL="0" distR="0" simplePos="0" locked="0" layoutInCell="0" allowOverlap="1" relativeHeight="3">
              <wp:simplePos x="0" y="0"/>
              <wp:positionH relativeFrom="page">
                <wp:posOffset>6492875</wp:posOffset>
              </wp:positionH>
              <wp:positionV relativeFrom="paragraph">
                <wp:posOffset>-60325</wp:posOffset>
              </wp:positionV>
              <wp:extent cx="70485" cy="160655"/>
              <wp:effectExtent l="0" t="0" r="0" b="0"/>
              <wp:wrapSquare wrapText="bothSides"/>
              <wp:docPr id="10"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Norma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4.75pt;mso-position-vertical-relative:text;margin-left:511.25pt;mso-position-horizontal-relative:page">
              <v:fill opacity="0f"/>
              <v:textbox inset="0in,0in,0in,0in">
                <w:txbxContent>
                  <w:p>
                    <w:pPr>
                      <w:pStyle w:val="Norma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sz w:val="16"/>
      </w:rPr>
    </w:pPr>
    <w:r>
      <w:rPr>
        <w:sz w:val="16"/>
      </w:rPr>
    </w:r>
    <w:r>
      <mc:AlternateContent>
        <mc:Choice Requires="wps">
          <w:drawing>
            <wp:anchor behindDoc="0" distT="0" distB="0" distL="0" distR="0" simplePos="0" locked="0" layoutInCell="0" allowOverlap="1" relativeHeight="68">
              <wp:simplePos x="0" y="0"/>
              <wp:positionH relativeFrom="page">
                <wp:posOffset>6492875</wp:posOffset>
              </wp:positionH>
              <wp:positionV relativeFrom="paragraph">
                <wp:posOffset>-60325</wp:posOffset>
              </wp:positionV>
              <wp:extent cx="140335" cy="160655"/>
              <wp:effectExtent l="0" t="0" r="0" b="0"/>
              <wp:wrapSquare wrapText="bothSides"/>
              <wp:docPr id="50" name="Frame2"/>
              <a:graphic xmlns:a="http://schemas.openxmlformats.org/drawingml/2006/main">
                <a:graphicData uri="http://schemas.microsoft.com/office/word/2010/wordprocessingShape">
                  <wps:wsp>
                    <wps:cNvSpPr txBox="1"/>
                    <wps:spPr>
                      <a:xfrm>
                        <a:off x="0" y="0"/>
                        <a:ext cx="140335" cy="160655"/>
                      </a:xfrm>
                      <a:prstGeom prst="rect"/>
                      <a:solidFill>
                        <a:srgbClr val="FFFFFF">
                          <a:alpha val="0"/>
                        </a:srgbClr>
                      </a:solidFill>
                    </wps:spPr>
                    <wps:txbx>
                      <w:txbxContent>
                        <w:p>
                          <w:pPr>
                            <w:pStyle w:val="Norma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1.05pt;height:12.65pt;mso-wrap-distance-left:0pt;mso-wrap-distance-right:0pt;mso-wrap-distance-top:0pt;mso-wrap-distance-bottom:0pt;margin-top:-4.75pt;mso-position-vertical-relative:text;margin-left:511.25pt;mso-position-horizontal-relative:page">
              <v:fill opacity="0f"/>
              <v:textbox inset="0in,0in,0in,0in">
                <w:txbxContent>
                  <w:p>
                    <w:pPr>
                      <w:pStyle w:val="Norma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68</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18"/>
        </w:rPr>
        <w:t xml:space="preserve">Refer to the ERCOT Protocols and </w:t>
      </w:r>
      <w:hyperlink r:id="rId1">
        <w:r>
          <w:rPr>
            <w:rStyle w:val="Hyperlink"/>
            <w:sz w:val="18"/>
          </w:rPr>
          <w:t>www.TexasChoiceProgram.com</w:t>
        </w:r>
      </w:hyperlink>
      <w:r>
        <w:rPr>
          <w:sz w:val="18"/>
        </w:rPr>
        <w:t xml:space="preserve"> for a more complete introduction to the competitive retail market.</w:t>
      </w:r>
    </w:p>
  </w:footnote>
  <w:footnote w:id="3">
    <w:p>
      <w:pPr>
        <w:pStyle w:val="FootnoteText"/>
        <w:rPr/>
      </w:pPr>
      <w:r>
        <w:rPr>
          <w:rStyle w:val="FootnoteCharacters"/>
        </w:rPr>
        <w:footnoteRef/>
      </w:r>
      <w:r>
        <w:rPr/>
        <w:t xml:space="preserve"> </w:t>
      </w:r>
      <w:r>
        <w:rPr>
          <w:sz w:val="18"/>
        </w:rPr>
        <w:t>A Customer Choice Pilot</w:t>
      </w:r>
      <w:r>
        <w:fldChar w:fldCharType="begin"/>
      </w:r>
      <w:r>
        <w:rPr/>
        <w:instrText xml:space="preserve"> XE "Pilot" </w:instrText>
      </w:r>
      <w:r>
        <w:rPr/>
        <w:fldChar w:fldCharType="separate"/>
      </w:r>
      <w:r>
        <w:rPr/>
      </w:r>
      <w:r>
        <w:rPr/>
        <w:fldChar w:fldCharType="end"/>
      </w:r>
      <w:r>
        <w:rPr>
          <w:sz w:val="18"/>
        </w:rPr>
        <w:t xml:space="preserve"> will give 5% of eligible customers the ability to choose their retail electric provider starting on June 1, 2001. Municipally Owned Utilities and Cooperatives can choose not to opt-in to retail competition.</w:t>
      </w:r>
    </w:p>
  </w:footnote>
  <w:footnote w:id="4">
    <w:p>
      <w:pPr>
        <w:pStyle w:val="Style11"/>
        <w:rPr/>
      </w:pPr>
      <w:r>
        <w:rPr>
          <w:rStyle w:val="FootnoteCharacters"/>
        </w:rPr>
        <w:footnoteRef/>
      </w:r>
      <w:r>
        <w:rPr/>
        <w:t xml:space="preserve"> </w:t>
      </w:r>
      <w:r>
        <w:rPr>
          <w:sz w:val="18"/>
        </w:rPr>
        <w:t>A municipality or cooperative utility decision to opt into the competitive retail market cannot be reversed.</w:t>
      </w:r>
    </w:p>
  </w:footnote>
  <w:footnote w:id="5">
    <w:p>
      <w:pPr>
        <w:pStyle w:val="FootnoteText"/>
        <w:rPr/>
      </w:pPr>
      <w:r>
        <w:rPr>
          <w:rStyle w:val="FootnoteCharacters"/>
        </w:rPr>
        <w:footnoteRef/>
      </w:r>
      <w:r>
        <w:rPr/>
        <w:t xml:space="preserve"> </w:t>
      </w:r>
      <w:r>
        <w:rPr>
          <w:sz w:val="18"/>
        </w:rPr>
        <w:t>A REP is a type of Competitive Retailer that is certified by the PUCT.</w:t>
      </w:r>
    </w:p>
  </w:footnote>
  <w:footnote w:id="6">
    <w:p>
      <w:pPr>
        <w:pStyle w:val="FootnoteText"/>
        <w:rPr/>
      </w:pPr>
      <w:r>
        <w:rPr>
          <w:rStyle w:val="FootnoteCharacters"/>
        </w:rPr>
        <w:footnoteRef/>
      </w:r>
      <w:r>
        <w:rPr/>
        <w:t xml:space="preserve"> </w:t>
      </w:r>
      <w:r>
        <w:rPr/>
        <w:t>Residential and small commercial customers are defined to be those with less than 1000 kW demand in SB7</w:t>
      </w:r>
    </w:p>
  </w:footnote>
  <w:footnote w:id="7">
    <w:p>
      <w:pPr>
        <w:pStyle w:val="FootnoteText"/>
        <w:rPr/>
      </w:pPr>
      <w:r>
        <w:rPr>
          <w:rStyle w:val="FootnoteCharacters"/>
        </w:rPr>
        <w:footnoteRef/>
      </w:r>
      <w:r>
        <w:rPr/>
        <w:t xml:space="preserve"> </w:t>
      </w:r>
      <w:r>
        <w:rPr>
          <w:sz w:val="18"/>
        </w:rPr>
        <w:t>The “price to beat” was undetermined when this Guide was written.</w:t>
      </w:r>
    </w:p>
  </w:footnote>
  <w:footnote w:id="8">
    <w:p>
      <w:pPr>
        <w:pStyle w:val="FootnoteText"/>
        <w:rPr/>
      </w:pPr>
      <w:r>
        <w:rPr>
          <w:rStyle w:val="FootnoteCharacters"/>
        </w:rPr>
        <w:footnoteRef/>
      </w:r>
      <w:r>
        <w:rPr/>
        <w:t xml:space="preserve"> </w:t>
      </w:r>
      <w:r>
        <w:rPr>
          <w:sz w:val="18"/>
        </w:rPr>
        <w:t>The 10 control areas are operated by regulated utilities.</w:t>
      </w:r>
    </w:p>
  </w:footnote>
  <w:footnote w:id="9">
    <w:p>
      <w:pPr>
        <w:pStyle w:val="FootnoteText"/>
        <w:rPr/>
      </w:pPr>
      <w:r>
        <w:rPr>
          <w:rStyle w:val="FootnoteCharacters"/>
        </w:rPr>
        <w:footnoteRef/>
      </w:r>
      <w:r>
        <w:rPr/>
        <w:t xml:space="preserve"> </w:t>
      </w:r>
      <w:r>
        <w:rPr>
          <w:sz w:val="18"/>
        </w:rPr>
        <w:t>Ancillary services are introduced in the next section.</w:t>
      </w:r>
    </w:p>
  </w:footnote>
  <w:footnote w:id="10">
    <w:p>
      <w:pPr>
        <w:pStyle w:val="FootnoteText"/>
        <w:rPr/>
      </w:pPr>
      <w:r>
        <w:rPr>
          <w:rStyle w:val="FootnoteCharacters"/>
        </w:rPr>
        <w:footnoteRef/>
      </w:r>
      <w:r>
        <w:rPr/>
        <w:t xml:space="preserve"> </w:t>
      </w:r>
      <w:r>
        <w:rPr/>
        <w:t>C</w:t>
      </w:r>
      <w:r>
        <w:rPr>
          <w:sz w:val="18"/>
        </w:rPr>
        <w:t>ongestion costs will initially be allocated using the “postage stamp” method. This will change permanently once a pre-determined threshold is reached; after which the participants responsible for the congestion in a particular congestion zone will bear its costs.</w:t>
      </w:r>
    </w:p>
  </w:footnote>
  <w:footnote w:id="11">
    <w:p>
      <w:pPr>
        <w:pStyle w:val="Normal"/>
        <w:rPr/>
      </w:pPr>
      <w:r>
        <w:rPr>
          <w:rStyle w:val="FootnoteCharacters"/>
        </w:rPr>
        <w:footnoteRef/>
      </w:r>
      <w:r>
        <w:rPr>
          <w:sz w:val="18"/>
        </w:rPr>
        <w:t xml:space="preserve"> </w:t>
      </w:r>
      <w:r>
        <w:rPr>
          <w:sz w:val="18"/>
        </w:rPr>
        <w:t>ERCOT publishes the Market Clearing Price of Energy (MCPE) approximately 10 minutes prior to the Settlement Interval.</w:t>
      </w:r>
    </w:p>
    <w:p>
      <w:pPr>
        <w:pStyle w:val="Normal"/>
        <w:rPr>
          <w:sz w:val="18"/>
        </w:rPr>
      </w:pPr>
      <w:r>
        <w:rPr>
          <w:sz w:val="18"/>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738"/>
      <w:jc w:val="end"/>
      <w:rPr>
        <w:b/>
        <w:i/>
        <w:i/>
        <w:sz w:val="40"/>
      </w:rPr>
    </w:pPr>
    <w:r>
      <w:rPr>
        <w:b/>
        <w:i/>
        <w:sz w:val="40"/>
      </w:rPr>
    </w:r>
  </w:p>
  <w:p>
    <w:pPr>
      <w:pStyle w:val="Header"/>
      <w:rPr>
        <w:b/>
        <w:i/>
        <w:i/>
        <w:sz w:val="40"/>
      </w:rPr>
    </w:pPr>
    <w:r>
      <w:rPr>
        <w:b/>
        <w:i/>
        <w:sz w:val="4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738"/>
      <w:jc w:val="end"/>
      <w:rPr>
        <w:b/>
        <w:i/>
        <w:i/>
        <w:sz w:val="40"/>
      </w:rPr>
    </w:pPr>
    <w:r>
      <w:rPr>
        <w:b/>
        <w:i/>
        <w:sz w:val="40"/>
      </w:rPr>
    </w:r>
  </w:p>
  <w:p>
    <w:pPr>
      <w:pStyle w:val="Header"/>
      <w:rPr>
        <w:b/>
        <w:i/>
        <w:i/>
        <w:sz w:val="40"/>
      </w:rPr>
    </w:pPr>
    <w:r>
      <w:rPr>
        <w:b/>
        <w:i/>
        <w:sz w:val="4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078"/>
      <w:jc w:val="end"/>
      <w:rPr>
        <w:b/>
        <w:i/>
        <w:i/>
        <w:sz w:val="40"/>
        <w:lang w:val="en-CA" w:eastAsia="en-CA"/>
      </w:rPr>
    </w:pPr>
    <w:r>
      <w:rPr>
        <w:b/>
        <w:i/>
        <w:sz w:val="40"/>
        <w:lang w:val="en-CA" w:eastAsia="en-CA"/>
      </w:rPr>
      <w:drawing>
        <wp:anchor behindDoc="1" distT="0" distB="0" distL="114935" distR="114935" simplePos="0" locked="0" layoutInCell="1" allowOverlap="1" relativeHeight="133">
          <wp:simplePos x="0" y="0"/>
          <wp:positionH relativeFrom="column">
            <wp:posOffset>4389120</wp:posOffset>
          </wp:positionH>
          <wp:positionV relativeFrom="paragraph">
            <wp:posOffset>100330</wp:posOffset>
          </wp:positionV>
          <wp:extent cx="1821180" cy="980440"/>
          <wp:effectExtent l="0" t="0" r="0" b="0"/>
          <wp:wrapNone/>
          <wp:docPr id="49"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0" descr="" title=""/>
                  <pic:cNvPicPr>
                    <a:picLocks noChangeAspect="1" noChangeArrowheads="1"/>
                  </pic:cNvPicPr>
                </pic:nvPicPr>
                <pic:blipFill>
                  <a:blip r:embed="rId1"/>
                  <a:srcRect l="-6" t="-12" r="-6" b="-12"/>
                  <a:stretch>
                    <a:fillRect/>
                  </a:stretch>
                </pic:blipFill>
                <pic:spPr bwMode="auto">
                  <a:xfrm>
                    <a:off x="0" y="0"/>
                    <a:ext cx="1821180" cy="980440"/>
                  </a:xfrm>
                  <a:prstGeom prst="rect">
                    <a:avLst/>
                  </a:prstGeom>
                  <a:noFill/>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1440" w:hanging="720"/>
      </w:pPr>
    </w:lvl>
    <w:lvl w:ilvl="2">
      <w:start w:val="1"/>
      <w:numFmt w:val="decimal"/>
      <w:lvlText w:val="%1.%2.%3."/>
      <w:lvlJc w:val="start"/>
      <w:pPr>
        <w:tabs>
          <w:tab w:val="num" w:pos="720"/>
        </w:tabs>
        <w:ind w:start="2160" w:hanging="720"/>
      </w:pPr>
    </w:lvl>
    <w:lvl w:ilvl="3">
      <w:start w:val="1"/>
      <w:numFmt w:val="decimal"/>
      <w:lvlText w:val="%1.%2.%3.%4."/>
      <w:lvlJc w:val="start"/>
      <w:pPr>
        <w:tabs>
          <w:tab w:val="num" w:pos="720"/>
        </w:tabs>
        <w:ind w:start="2880" w:hanging="720"/>
      </w:pPr>
    </w:lvl>
    <w:lvl w:ilvl="4">
      <w:start w:val="1"/>
      <w:numFmt w:val="decimal"/>
      <w:lvlText w:val="%1.%2.%3.%4.%5."/>
      <w:lvlJc w:val="start"/>
      <w:pPr>
        <w:tabs>
          <w:tab w:val="num" w:pos="720"/>
        </w:tabs>
        <w:ind w:start="3600" w:hanging="720"/>
      </w:pPr>
    </w:lvl>
    <w:lvl w:ilvl="5">
      <w:start w:val="1"/>
      <w:numFmt w:val="decimal"/>
      <w:lvlText w:val="%1.%2.%3.%4.%5.%6."/>
      <w:lvlJc w:val="start"/>
      <w:pPr>
        <w:tabs>
          <w:tab w:val="num" w:pos="720"/>
        </w:tabs>
        <w:ind w:start="4320" w:hanging="720"/>
      </w:pPr>
    </w:lvl>
    <w:lvl w:ilvl="6">
      <w:start w:val="1"/>
      <w:numFmt w:val="decimal"/>
      <w:lvlText w:val="%1.%2.%3.%4.%5.%6.%7."/>
      <w:lvlJc w:val="start"/>
      <w:pPr>
        <w:tabs>
          <w:tab w:val="num" w:pos="720"/>
        </w:tabs>
        <w:ind w:start="5040" w:hanging="720"/>
      </w:pPr>
    </w:lvl>
    <w:lvl w:ilvl="7">
      <w:start w:val="1"/>
      <w:numFmt w:val="decimal"/>
      <w:lvlText w:val="%1.%2.%3.%4.%5.%6.%7.%8."/>
      <w:lvlJc w:val="start"/>
      <w:pPr>
        <w:tabs>
          <w:tab w:val="num" w:pos="720"/>
        </w:tabs>
        <w:ind w:start="5760" w:hanging="720"/>
      </w:pPr>
    </w:lvl>
    <w:lvl w:ilvl="8">
      <w:start w:val="1"/>
      <w:pStyle w:val="Heading9"/>
      <w:numFmt w:val="decimal"/>
      <w:lvlText w:val="%1.%2.%3.%4.%5.%6.%7.%8.%9."/>
      <w:lvlJc w:val="start"/>
      <w:pPr>
        <w:tabs>
          <w:tab w:val="num" w:pos="720"/>
        </w:tabs>
        <w:ind w:start="6480" w:hanging="72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sz w:val="16"/>
      </w:rPr>
    </w:lvl>
  </w:abstractNum>
  <w:abstractNum w:abstractNumId="13">
    <w:lvl w:ilvl="0">
      <w:start w:val="1"/>
      <w:numFmt w:val="bullet"/>
      <w:lvlText w:val=""/>
      <w:lvlJc w:val="start"/>
      <w:pPr>
        <w:tabs>
          <w:tab w:val="num" w:pos="360"/>
        </w:tabs>
        <w:ind w:start="360" w:hanging="360"/>
      </w:pPr>
      <w:rPr>
        <w:rFonts w:ascii="Symbol" w:hAnsi="Symbol" w:cs="Symbol" w:hint="default"/>
        <w:sz w:val="16"/>
      </w:rPr>
    </w:lvl>
  </w:abstractNum>
  <w:abstractNum w:abstractNumId="14">
    <w:lvl w:ilvl="0">
      <w:start w:val="2"/>
      <w:numFmt w:val="bullet"/>
      <w:lvlText w:val="-"/>
      <w:lvlJc w:val="start"/>
      <w:pPr>
        <w:tabs>
          <w:tab w:val="num" w:pos="360"/>
        </w:tabs>
        <w:ind w:start="360" w:hanging="360"/>
      </w:pPr>
      <w:rPr>
        <w:rFonts w:ascii="Times New Roman" w:hAnsi="Times New Roman" w:cs="Times New Roman" w:hint="default"/>
      </w:rPr>
    </w:lvl>
  </w:abstractNum>
  <w:abstractNum w:abstractNumId="15">
    <w:lvl w:ilvl="0">
      <w:start w:val="1"/>
      <w:numFmt w:val="bullet"/>
      <w:lvlText w:val=""/>
      <w:lvlJc w:val="start"/>
      <w:pPr>
        <w:tabs>
          <w:tab w:val="num" w:pos="360"/>
        </w:tabs>
        <w:ind w:start="360" w:hanging="360"/>
      </w:pPr>
      <w:rPr>
        <w:rFonts w:ascii="Symbol" w:hAnsi="Symbol" w:cs="Symbol" w:hint="default"/>
        <w:sz w:val="16"/>
      </w:r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bullet"/>
      <w:lvlText w:val=""/>
      <w:lvlJc w:val="start"/>
      <w:pPr>
        <w:tabs>
          <w:tab w:val="num" w:pos="360"/>
        </w:tabs>
        <w:ind w:start="360" w:hanging="360"/>
      </w:pPr>
      <w:rPr>
        <w:rFonts w:ascii="Symbol" w:hAnsi="Symbol" w:cs="Symbol" w:hint="default"/>
        <w:sz w:val="16"/>
      </w:rPr>
    </w:lvl>
  </w:abstractNum>
  <w:abstractNum w:abstractNumId="18">
    <w:lvl w:ilvl="0">
      <w:start w:val="1"/>
      <w:numFmt w:val="bullet"/>
      <w:lvlText w:val=""/>
      <w:lvlJc w:val="start"/>
      <w:pPr>
        <w:tabs>
          <w:tab w:val="num" w:pos="360"/>
        </w:tabs>
        <w:ind w:start="360" w:hanging="360"/>
      </w:pPr>
      <w:rPr>
        <w:rFonts w:ascii="Symbol" w:hAnsi="Symbol" w:cs="Symbol" w:hint="default"/>
        <w:sz w:val="16"/>
      </w:rPr>
    </w:lvl>
  </w:abstractNum>
  <w:abstractNum w:abstractNumId="1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0">
    <w:lvl w:ilvl="0">
      <w:start w:val="1"/>
      <w:numFmt w:val="decimal"/>
      <w:lvlText w:val="%1)"/>
      <w:lvlJc w:val="start"/>
      <w:pPr>
        <w:tabs>
          <w:tab w:val="num" w:pos="360"/>
        </w:tabs>
        <w:ind w:start="360" w:hanging="360"/>
      </w:pPr>
    </w:lvl>
  </w:abstractNum>
  <w:abstractNum w:abstractNumId="21">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22">
    <w:lvl w:ilvl="0">
      <w:start w:val="1"/>
      <w:numFmt w:val="bullet"/>
      <w:lvlText w:val=""/>
      <w:lvlJc w:val="start"/>
      <w:pPr>
        <w:tabs>
          <w:tab w:val="num" w:pos="360"/>
        </w:tabs>
        <w:ind w:start="360" w:hanging="360"/>
      </w:pPr>
      <w:rPr>
        <w:rFonts w:ascii="Symbol" w:hAnsi="Symbol" w:cs="Symbol" w:hint="default"/>
        <w:sz w:val="16"/>
      </w:rPr>
    </w:lvl>
  </w:abstractNum>
  <w:abstractNum w:abstractNumId="23">
    <w:lvl w:ilvl="0">
      <w:start w:val="1"/>
      <w:numFmt w:val="bullet"/>
      <w:lvlText w:val=""/>
      <w:lvlJc w:val="start"/>
      <w:pPr>
        <w:tabs>
          <w:tab w:val="num" w:pos="360"/>
        </w:tabs>
        <w:ind w:start="360" w:hanging="360"/>
      </w:pPr>
      <w:rPr>
        <w:rFonts w:ascii="Symbol" w:hAnsi="Symbol" w:cs="Symbol" w:hint="default"/>
        <w:sz w:val="16"/>
      </w:rPr>
    </w:lvl>
  </w:abstractNum>
  <w:abstractNum w:abstractNumId="24">
    <w:lvl w:ilvl="0">
      <w:start w:val="1"/>
      <w:numFmt w:val="bullet"/>
      <w:lvlText w:val=""/>
      <w:lvlJc w:val="start"/>
      <w:pPr>
        <w:tabs>
          <w:tab w:val="num" w:pos="360"/>
        </w:tabs>
        <w:ind w:start="360" w:hanging="360"/>
      </w:pPr>
      <w:rPr>
        <w:rFonts w:ascii="Symbol" w:hAnsi="Symbol" w:cs="Symbol" w:hint="default"/>
        <w:sz w:val="16"/>
      </w:rPr>
    </w:lvl>
  </w:abstractNum>
  <w:abstractNum w:abstractNumId="25">
    <w:lvl w:ilvl="0">
      <w:start w:val="1"/>
      <w:numFmt w:val="bullet"/>
      <w:lvlText w:val=""/>
      <w:lvlJc w:val="start"/>
      <w:pPr>
        <w:tabs>
          <w:tab w:val="num" w:pos="360"/>
        </w:tabs>
        <w:ind w:start="360" w:hanging="360"/>
      </w:pPr>
      <w:rPr>
        <w:rFonts w:ascii="Symbol" w:hAnsi="Symbol" w:cs="Symbol" w:hint="default"/>
        <w:sz w:val="16"/>
      </w:rPr>
    </w:lvl>
  </w:abstractNum>
  <w:abstractNum w:abstractNumId="26">
    <w:lvl w:ilvl="0">
      <w:start w:val="1"/>
      <w:numFmt w:val="bullet"/>
      <w:lvlText w:val=""/>
      <w:lvlJc w:val="start"/>
      <w:pPr>
        <w:tabs>
          <w:tab w:val="num" w:pos="360"/>
        </w:tabs>
        <w:ind w:start="360" w:hanging="360"/>
      </w:pPr>
      <w:rPr>
        <w:rFonts w:ascii="Symbol" w:hAnsi="Symbol" w:cs="Symbol" w:hint="default"/>
        <w:sz w:val="16"/>
      </w:rPr>
    </w:lvl>
  </w:abstractNum>
  <w:abstractNum w:abstractNumId="27">
    <w:lvl w:ilvl="0">
      <w:start w:val="1"/>
      <w:numFmt w:val="bullet"/>
      <w:lvlText w:val=""/>
      <w:lvlJc w:val="start"/>
      <w:pPr>
        <w:tabs>
          <w:tab w:val="num" w:pos="360"/>
        </w:tabs>
        <w:ind w:start="360" w:hanging="360"/>
      </w:pPr>
      <w:rPr>
        <w:rFonts w:ascii="Symbol" w:hAnsi="Symbol" w:cs="Symbol" w:hint="default"/>
      </w:rPr>
    </w:lvl>
  </w:abstractNum>
  <w:abstractNum w:abstractNumId="28">
    <w:lvl w:ilvl="0">
      <w:start w:val="1"/>
      <w:numFmt w:val="bullet"/>
      <w:lvlText w:val=""/>
      <w:lvlJc w:val="start"/>
      <w:pPr>
        <w:tabs>
          <w:tab w:val="num" w:pos="360"/>
        </w:tabs>
        <w:ind w:start="360" w:hanging="360"/>
      </w:pPr>
      <w:rPr>
        <w:rFonts w:ascii="Symbol" w:hAnsi="Symbol" w:cs="Symbol" w:hint="default"/>
      </w:rPr>
    </w:lvl>
  </w:abstractNum>
  <w:abstractNum w:abstractNumId="29">
    <w:lvl w:ilvl="0">
      <w:start w:val="1"/>
      <w:numFmt w:val="decimal"/>
      <w:lvlText w:val="%1."/>
      <w:lvlJc w:val="start"/>
      <w:pPr>
        <w:tabs>
          <w:tab w:val="num" w:pos="360"/>
        </w:tabs>
        <w:ind w:start="360" w:hanging="360"/>
      </w:pPr>
      <w:rPr/>
    </w:lvl>
  </w:abstractNum>
  <w:abstractNum w:abstractNumId="30">
    <w:lvl w:ilvl="0">
      <w:start w:val="1"/>
      <w:numFmt w:val="bullet"/>
      <w:lvlText w:val=""/>
      <w:lvlJc w:val="start"/>
      <w:pPr>
        <w:tabs>
          <w:tab w:val="num" w:pos="360"/>
        </w:tabs>
        <w:ind w:start="360" w:hanging="360"/>
      </w:pPr>
      <w:rPr>
        <w:rFonts w:ascii="Symbol" w:hAnsi="Symbol" w:cs="Symbol" w:hint="default"/>
      </w:rPr>
    </w:lvl>
  </w:abstractNum>
  <w:abstractNum w:abstractNumId="31">
    <w:lvl w:ilvl="0">
      <w:start w:val="2"/>
      <w:numFmt w:val="bullet"/>
      <w:lvlText w:val="-"/>
      <w:lvlJc w:val="start"/>
      <w:pPr>
        <w:tabs>
          <w:tab w:val="num" w:pos="360"/>
        </w:tabs>
        <w:ind w:start="360" w:hanging="360"/>
      </w:pPr>
      <w:rPr>
        <w:rFonts w:ascii="Times New Roman" w:hAnsi="Times New Roman" w:cs="Times New Roman" w:hint="default"/>
      </w:rPr>
    </w:lvl>
  </w:abstractNum>
  <w:abstractNum w:abstractNumId="32">
    <w:lvl w:ilvl="0">
      <w:start w:val="1"/>
      <w:numFmt w:val="bullet"/>
      <w:lvlText w:val=""/>
      <w:lvlJc w:val="start"/>
      <w:pPr>
        <w:tabs>
          <w:tab w:val="num" w:pos="360"/>
        </w:tabs>
        <w:ind w:start="360" w:hanging="360"/>
      </w:pPr>
      <w:rPr>
        <w:rFonts w:ascii="Symbol" w:hAnsi="Symbol" w:cs="Symbol" w:hint="default"/>
      </w:rPr>
    </w:lvl>
  </w:abstractNum>
  <w:abstractNum w:abstractNumId="33">
    <w:lvl w:ilvl="0">
      <w:start w:val="1"/>
      <w:numFmt w:val="bullet"/>
      <w:lvlText w:val=""/>
      <w:lvlJc w:val="start"/>
      <w:pPr>
        <w:tabs>
          <w:tab w:val="num" w:pos="360"/>
        </w:tabs>
        <w:ind w:start="360" w:hanging="360"/>
      </w:pPr>
      <w:rPr>
        <w:rFonts w:ascii="Symbol" w:hAnsi="Symbol" w:cs="Symbol" w:hint="default"/>
      </w:rPr>
    </w:lvl>
  </w:abstractNum>
  <w:abstractNum w:abstractNumId="34">
    <w:lvl w:ilvl="0">
      <w:start w:val="1"/>
      <w:numFmt w:val="bullet"/>
      <w:lvlText w:val=""/>
      <w:lvlJc w:val="start"/>
      <w:pPr>
        <w:tabs>
          <w:tab w:val="num" w:pos="360"/>
        </w:tabs>
        <w:ind w:start="360" w:hanging="360"/>
      </w:pPr>
      <w:rPr>
        <w:rFonts w:ascii="Symbol" w:hAnsi="Symbol" w:cs="Symbol" w:hint="default"/>
      </w:rPr>
    </w:lvl>
  </w:abstractNum>
  <w:abstractNum w:abstractNumId="35">
    <w:lvl w:ilvl="0">
      <w:start w:val="1"/>
      <w:numFmt w:val="bullet"/>
      <w:lvlText w:val=""/>
      <w:lvlJc w:val="start"/>
      <w:pPr>
        <w:tabs>
          <w:tab w:val="num" w:pos="360"/>
        </w:tabs>
        <w:ind w:start="360" w:hanging="360"/>
      </w:pPr>
      <w:rPr>
        <w:rFonts w:ascii="Symbol" w:hAnsi="Symbol" w:cs="Symbol" w:hint="default"/>
        <w:sz w:val="16"/>
      </w:rPr>
    </w:lvl>
  </w:abstractNum>
  <w:abstractNum w:abstractNumId="36">
    <w:lvl w:ilvl="0">
      <w:start w:val="1"/>
      <w:numFmt w:val="bullet"/>
      <w:lvlText w:val=""/>
      <w:lvlJc w:val="start"/>
      <w:pPr>
        <w:tabs>
          <w:tab w:val="num" w:pos="360"/>
        </w:tabs>
        <w:ind w:start="360" w:hanging="360"/>
      </w:pPr>
      <w:rPr>
        <w:rFonts w:ascii="Symbol" w:hAnsi="Symbol" w:cs="Symbol" w:hint="default"/>
      </w:rPr>
    </w:lvl>
  </w:abstractNum>
  <w:abstractNum w:abstractNumId="37">
    <w:lvl w:ilvl="0">
      <w:start w:val="1"/>
      <w:numFmt w:val="bullet"/>
      <w:lvlText w:val=""/>
      <w:lvlJc w:val="start"/>
      <w:pPr>
        <w:tabs>
          <w:tab w:val="num" w:pos="360"/>
        </w:tabs>
        <w:ind w:start="360" w:hanging="360"/>
      </w:pPr>
      <w:rPr>
        <w:rFonts w:ascii="Symbol" w:hAnsi="Symbol" w:cs="Symbol" w:hint="default"/>
      </w:rPr>
    </w:lvl>
  </w:abstractNum>
  <w:abstractNum w:abstractNumId="38">
    <w:lvl w:ilvl="0">
      <w:start w:val="1"/>
      <w:numFmt w:val="bullet"/>
      <w:lvlText w:val=""/>
      <w:lvlJc w:val="start"/>
      <w:pPr>
        <w:tabs>
          <w:tab w:val="num" w:pos="1485"/>
        </w:tabs>
        <w:ind w:start="1485" w:hanging="360"/>
      </w:pPr>
      <w:rPr>
        <w:rFonts w:ascii="Symbol" w:hAnsi="Symbol" w:cs="Symbol" w:hint="default"/>
      </w:rPr>
    </w:lvl>
  </w:abstractNum>
  <w:abstractNum w:abstractNumId="39">
    <w:lvl w:ilvl="0">
      <w:start w:val="1"/>
      <w:numFmt w:val="bullet"/>
      <w:lvlText w:val=""/>
      <w:lvlJc w:val="start"/>
      <w:pPr>
        <w:tabs>
          <w:tab w:val="num" w:pos="360"/>
        </w:tabs>
        <w:ind w:start="360" w:hanging="360"/>
      </w:pPr>
      <w:rPr>
        <w:rFonts w:ascii="Symbol" w:hAnsi="Symbol" w:cs="Symbol" w:hint="default"/>
      </w:rPr>
    </w:lvl>
  </w:abstractNum>
  <w:abstractNum w:abstractNumId="40">
    <w:lvl w:ilvl="0">
      <w:start w:val="3"/>
      <w:numFmt w:val="bullet"/>
      <w:lvlText w:val="-"/>
      <w:lvlJc w:val="start"/>
      <w:pPr>
        <w:tabs>
          <w:tab w:val="num" w:pos="1080"/>
        </w:tabs>
        <w:ind w:start="1080" w:hanging="360"/>
      </w:pPr>
      <w:rPr>
        <w:rFonts w:ascii="Times New Roman" w:hAnsi="Times New Roman" w:cs="Times New Roman"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41">
    <w:lvl w:ilvl="0">
      <w:start w:val="1"/>
      <w:numFmt w:val="bullet"/>
      <w:lvlText w:val=""/>
      <w:lvlJc w:val="start"/>
      <w:pPr>
        <w:tabs>
          <w:tab w:val="num" w:pos="360"/>
        </w:tabs>
        <w:ind w:start="360" w:hanging="360"/>
      </w:pPr>
      <w:rPr>
        <w:rFonts w:ascii="Symbol" w:hAnsi="Symbol" w:cs="Symbol" w:hint="default"/>
        <w:sz w:val="16"/>
      </w:rPr>
    </w:lvl>
  </w:abstractNum>
  <w:abstractNum w:abstractNumId="42">
    <w:lvl w:ilvl="0">
      <w:start w:val="1"/>
      <w:numFmt w:val="bullet"/>
      <w:lvlText w:val=""/>
      <w:lvlJc w:val="start"/>
      <w:pPr>
        <w:tabs>
          <w:tab w:val="num" w:pos="360"/>
        </w:tabs>
        <w:ind w:start="360" w:hanging="360"/>
      </w:pPr>
      <w:rPr>
        <w:rFonts w:ascii="Symbol" w:hAnsi="Symbol" w:cs="Symbol" w:hint="default"/>
      </w:rPr>
    </w:lvl>
  </w:abstractNum>
  <w:abstractNum w:abstractNumId="43">
    <w:lvl w:ilvl="0">
      <w:start w:val="1"/>
      <w:numFmt w:val="bullet"/>
      <w:lvlText w:val=""/>
      <w:lvlJc w:val="start"/>
      <w:pPr>
        <w:tabs>
          <w:tab w:val="num" w:pos="360"/>
        </w:tabs>
        <w:ind w:start="360" w:hanging="360"/>
      </w:pPr>
      <w:rPr>
        <w:rFonts w:ascii="Symbol" w:hAnsi="Symbol" w:cs="Symbol" w:hint="default"/>
        <w:sz w:val="16"/>
      </w:rPr>
    </w:lvl>
  </w:abstractNum>
  <w:abstractNum w:abstractNumId="44">
    <w:lvl w:ilvl="0">
      <w:start w:val="1"/>
      <w:numFmt w:val="bullet"/>
      <w:lvlText w:val=""/>
      <w:lvlJc w:val="start"/>
      <w:pPr>
        <w:tabs>
          <w:tab w:val="num" w:pos="360"/>
        </w:tabs>
        <w:ind w:start="360" w:hanging="360"/>
      </w:pPr>
      <w:rPr>
        <w:rFonts w:ascii="Symbol" w:hAnsi="Symbol" w:cs="Symbol" w:hint="default"/>
      </w:rPr>
    </w:lvl>
  </w:abstractNum>
  <w:abstractNum w:abstractNumId="45">
    <w:lvl w:ilvl="0">
      <w:start w:val="1"/>
      <w:numFmt w:val="bullet"/>
      <w:lvlText w:val=""/>
      <w:lvlJc w:val="start"/>
      <w:pPr>
        <w:tabs>
          <w:tab w:val="num" w:pos="360"/>
        </w:tabs>
        <w:ind w:start="360" w:hanging="360"/>
      </w:pPr>
      <w:rPr>
        <w:rFonts w:ascii="Symbol" w:hAnsi="Symbol" w:cs="Symbol" w:hint="default"/>
      </w:rPr>
    </w:lvl>
  </w:abstractNum>
  <w:abstractNum w:abstractNumId="46">
    <w:lvl w:ilvl="0">
      <w:start w:val="1"/>
      <w:numFmt w:val="bullet"/>
      <w:lvlText w:val=""/>
      <w:lvlJc w:val="start"/>
      <w:pPr>
        <w:tabs>
          <w:tab w:val="num" w:pos="360"/>
        </w:tabs>
        <w:ind w:start="360" w:hanging="360"/>
      </w:pPr>
      <w:rPr>
        <w:rFonts w:ascii="Symbol" w:hAnsi="Symbol" w:cs="Symbol" w:hint="default"/>
      </w:rPr>
    </w:lvl>
  </w:abstractNum>
  <w:abstractNum w:abstractNumId="47">
    <w:lvl w:ilvl="0">
      <w:start w:val="1"/>
      <w:numFmt w:val="bullet"/>
      <w:lvlText w:val=""/>
      <w:lvlJc w:val="start"/>
      <w:pPr>
        <w:tabs>
          <w:tab w:val="num" w:pos="360"/>
        </w:tabs>
        <w:ind w:start="360" w:hanging="360"/>
      </w:pPr>
      <w:rPr>
        <w:rFonts w:ascii="Symbol" w:hAnsi="Symbol" w:cs="Symbol" w:hint="default"/>
        <w:sz w:val="16"/>
      </w:rPr>
    </w:lvl>
  </w:abstractNum>
  <w:abstractNum w:abstractNumId="48">
    <w:lvl w:ilvl="0">
      <w:start w:val="1"/>
      <w:numFmt w:val="lowerLetter"/>
      <w:lvlText w:val="(%1)"/>
      <w:lvlJc w:val="start"/>
      <w:pPr>
        <w:tabs>
          <w:tab w:val="num" w:pos="360"/>
        </w:tabs>
        <w:ind w:start="360" w:hanging="360"/>
      </w:pPr>
    </w:lvl>
  </w:abstractNum>
  <w:abstractNum w:abstractNumId="49">
    <w:lvl w:ilvl="0">
      <w:start w:val="1"/>
      <w:numFmt w:val="bullet"/>
      <w:lvlText w:val=""/>
      <w:lvlJc w:val="start"/>
      <w:pPr>
        <w:tabs>
          <w:tab w:val="num" w:pos="360"/>
        </w:tabs>
        <w:ind w:start="360" w:hanging="360"/>
      </w:pPr>
      <w:rPr>
        <w:rFonts w:ascii="Symbol" w:hAnsi="Symbol" w:cs="Symbol" w:hint="default"/>
        <w:sz w:val="16"/>
      </w:rPr>
    </w:lvl>
  </w:abstractNum>
  <w:abstractNum w:abstractNumId="50">
    <w:lvl w:ilvl="0">
      <w:start w:val="1"/>
      <w:numFmt w:val="bullet"/>
      <w:lvlText w:val=""/>
      <w:lvlJc w:val="start"/>
      <w:pPr>
        <w:tabs>
          <w:tab w:val="num" w:pos="360"/>
        </w:tabs>
        <w:ind w:start="360" w:hanging="360"/>
      </w:pPr>
      <w:rPr>
        <w:rFonts w:ascii="Symbol" w:hAnsi="Symbol" w:cs="Symbol" w:hint="default"/>
      </w:rPr>
    </w:lvl>
  </w:abstractNum>
  <w:abstractNum w:abstractNumId="51">
    <w:lvl w:ilvl="0">
      <w:start w:val="1"/>
      <w:numFmt w:val="low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52">
    <w:lvl w:ilvl="0">
      <w:start w:val="1"/>
      <w:numFmt w:val="bullet"/>
      <w:lvlText w:val=""/>
      <w:lvlJc w:val="start"/>
      <w:pPr>
        <w:tabs>
          <w:tab w:val="num" w:pos="360"/>
        </w:tabs>
        <w:ind w:start="360" w:hanging="360"/>
      </w:pPr>
      <w:rPr>
        <w:rFonts w:ascii="Symbol" w:hAnsi="Symbol" w:cs="Symbol" w:hint="default"/>
        <w:sz w:val="16"/>
      </w:rPr>
    </w:lvl>
  </w:abstractNum>
  <w:abstractNum w:abstractNumId="53">
    <w:lvl w:ilvl="0">
      <w:start w:val="1"/>
      <w:numFmt w:val="lowerLetter"/>
      <w:lvlText w:val="(%1)"/>
      <w:lvlJc w:val="start"/>
      <w:pPr>
        <w:tabs>
          <w:tab w:val="num" w:pos="360"/>
        </w:tabs>
        <w:ind w:start="360" w:hanging="360"/>
      </w:pPr>
    </w:lvl>
  </w:abstractNum>
  <w:abstractNum w:abstractNumId="54">
    <w:lvl w:ilvl="0">
      <w:start w:val="1"/>
      <w:numFmt w:val="bullet"/>
      <w:lvlText w:val=""/>
      <w:lvlJc w:val="start"/>
      <w:pPr>
        <w:tabs>
          <w:tab w:val="num" w:pos="360"/>
        </w:tabs>
        <w:ind w:start="360" w:hanging="360"/>
      </w:pPr>
      <w:rPr>
        <w:rFonts w:ascii="Symbol" w:hAnsi="Symbol" w:cs="Symbol" w:hint="default"/>
        <w:sz w:val="16"/>
      </w:rPr>
    </w:lvl>
  </w:abstractNum>
  <w:abstractNum w:abstractNumId="55">
    <w:lvl w:ilvl="0">
      <w:start w:val="1"/>
      <w:numFmt w:val="bullet"/>
      <w:lvlText w:val=""/>
      <w:lvlJc w:val="start"/>
      <w:pPr>
        <w:tabs>
          <w:tab w:val="num" w:pos="360"/>
        </w:tabs>
        <w:ind w:start="360" w:hanging="360"/>
      </w:pPr>
      <w:rPr>
        <w:rFonts w:ascii="Symbol" w:hAnsi="Symbol" w:cs="Symbol" w:hint="default"/>
        <w:sz w:val="16"/>
      </w:rPr>
    </w:lvl>
  </w:abstractNum>
  <w:abstractNum w:abstractNumId="56">
    <w:lvl w:ilvl="0">
      <w:start w:val="1"/>
      <w:numFmt w:val="lowerLetter"/>
      <w:lvlText w:val="%1)"/>
      <w:lvlJc w:val="start"/>
      <w:pPr>
        <w:tabs>
          <w:tab w:val="num" w:pos="1080"/>
        </w:tabs>
        <w:ind w:start="1080" w:hanging="720"/>
      </w:pPr>
      <w:rPr/>
    </w:lvl>
    <w:lvl w:ilvl="1">
      <w:start w:val="1"/>
      <w:numFmt w:val="lowerRoman"/>
      <w:lvlText w:val="%2)"/>
      <w:lvlJc w:val="start"/>
      <w:pPr>
        <w:tabs>
          <w:tab w:val="num" w:pos="1800"/>
        </w:tabs>
        <w:ind w:start="1800" w:hanging="72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7">
    <w:lvl w:ilvl="0">
      <w:start w:val="1"/>
      <w:numFmt w:val="bullet"/>
      <w:lvlText w:val=""/>
      <w:lvlJc w:val="start"/>
      <w:pPr>
        <w:tabs>
          <w:tab w:val="num" w:pos="360"/>
        </w:tabs>
        <w:ind w:start="360" w:hanging="360"/>
      </w:pPr>
      <w:rPr>
        <w:rFonts w:ascii="Symbol" w:hAnsi="Symbol" w:cs="Symbol" w:hint="default"/>
        <w:sz w:val="16"/>
      </w:rPr>
    </w:lvl>
  </w:abstractNum>
  <w:abstractNum w:abstractNumId="58">
    <w:lvl w:ilvl="0">
      <w:start w:val="1"/>
      <w:numFmt w:val="bullet"/>
      <w:lvlText w:val=""/>
      <w:lvlJc w:val="start"/>
      <w:pPr>
        <w:tabs>
          <w:tab w:val="num" w:pos="360"/>
        </w:tabs>
        <w:ind w:start="360" w:hanging="360"/>
      </w:pPr>
      <w:rPr>
        <w:rFonts w:ascii="Symbol" w:hAnsi="Symbol" w:cs="Symbol" w:hint="default"/>
        <w:sz w:val="16"/>
      </w:rPr>
    </w:lvl>
  </w:abstractNum>
  <w:abstractNum w:abstractNumId="59">
    <w:lvl w:ilvl="0">
      <w:start w:val="1"/>
      <w:numFmt w:val="bullet"/>
      <w:lvlText w:val=""/>
      <w:lvlJc w:val="start"/>
      <w:pPr>
        <w:tabs>
          <w:tab w:val="num" w:pos="360"/>
        </w:tabs>
        <w:ind w:start="360" w:hanging="360"/>
      </w:pPr>
      <w:rPr>
        <w:rFonts w:ascii="Symbol" w:hAnsi="Symbol" w:cs="Symbol" w:hint="default"/>
      </w:rPr>
    </w:lvl>
  </w:abstractNum>
  <w:abstractNum w:abstractNumId="60">
    <w:lvl w:ilvl="0">
      <w:start w:val="1"/>
      <w:numFmt w:val="low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61">
    <w:lvl w:ilvl="0">
      <w:start w:val="1"/>
      <w:numFmt w:val="bullet"/>
      <w:lvlText w:val=""/>
      <w:lvlJc w:val="start"/>
      <w:pPr>
        <w:tabs>
          <w:tab w:val="num" w:pos="360"/>
        </w:tabs>
        <w:ind w:start="360" w:hanging="360"/>
      </w:pPr>
      <w:rPr>
        <w:rFonts w:ascii="Symbol" w:hAnsi="Symbol" w:cs="Symbol" w:hint="default"/>
      </w:rPr>
    </w:lvl>
  </w:abstractNum>
  <w:abstractNum w:abstractNumId="62">
    <w:lvl w:ilvl="0">
      <w:start w:val="1"/>
      <w:numFmt w:val="bullet"/>
      <w:lvlText w:val=""/>
      <w:lvlJc w:val="start"/>
      <w:pPr>
        <w:tabs>
          <w:tab w:val="num" w:pos="360"/>
        </w:tabs>
        <w:ind w:start="360" w:hanging="360"/>
      </w:pPr>
      <w:rPr>
        <w:rFonts w:ascii="Symbol" w:hAnsi="Symbol" w:cs="Symbol" w:hint="default"/>
      </w:rPr>
    </w:lvl>
  </w:abstractNum>
  <w:abstractNum w:abstractNumId="63">
    <w:lvl w:ilvl="0">
      <w:start w:val="1"/>
      <w:numFmt w:val="bullet"/>
      <w:lvlText w:val=""/>
      <w:lvlJc w:val="start"/>
      <w:pPr>
        <w:tabs>
          <w:tab w:val="num" w:pos="360"/>
        </w:tabs>
        <w:ind w:start="360" w:hanging="360"/>
      </w:pPr>
      <w:rPr>
        <w:rFonts w:ascii="Symbol" w:hAnsi="Symbol" w:cs="Symbol" w:hint="default"/>
        <w:sz w:val="16"/>
      </w:rPr>
    </w:lvl>
  </w:abstractNum>
  <w:abstractNum w:abstractNumId="64">
    <w:lvl w:ilvl="0">
      <w:start w:val="1"/>
      <w:numFmt w:val="bullet"/>
      <w:lvlText w:val=""/>
      <w:lvlJc w:val="start"/>
      <w:pPr>
        <w:tabs>
          <w:tab w:val="num" w:pos="360"/>
        </w:tabs>
        <w:ind w:start="360" w:hanging="360"/>
      </w:pPr>
      <w:rPr>
        <w:rFonts w:ascii="Symbol" w:hAnsi="Symbol" w:cs="Symbol" w:hint="default"/>
        <w:sz w:val="16"/>
      </w:rPr>
    </w:lvl>
  </w:abstractNum>
  <w:abstractNum w:abstractNumId="65">
    <w:lvl w:ilvl="0">
      <w:start w:val="1"/>
      <w:numFmt w:val="bullet"/>
      <w:lvlText w:val=""/>
      <w:lvlJc w:val="start"/>
      <w:pPr>
        <w:tabs>
          <w:tab w:val="num" w:pos="360"/>
        </w:tabs>
        <w:ind w:start="360" w:hanging="360"/>
      </w:pPr>
      <w:rPr>
        <w:rFonts w:ascii="Symbol" w:hAnsi="Symbol" w:cs="Symbol" w:hint="default"/>
        <w:sz w:val="16"/>
      </w:rPr>
    </w:lvl>
  </w:abstractNum>
  <w:abstractNum w:abstractNumId="66">
    <w:lvl w:ilvl="0">
      <w:start w:val="1"/>
      <w:numFmt w:val="bullet"/>
      <w:lvlText w:val=""/>
      <w:lvlJc w:val="start"/>
      <w:pPr>
        <w:tabs>
          <w:tab w:val="num" w:pos="360"/>
        </w:tabs>
        <w:ind w:start="360" w:hanging="360"/>
      </w:pPr>
      <w:rPr>
        <w:rFonts w:ascii="Symbol" w:hAnsi="Symbol" w:cs="Symbol" w:hint="default"/>
      </w:rPr>
    </w:lvl>
  </w:abstractNum>
  <w:abstractNum w:abstractNumId="67">
    <w:lvl w:ilvl="0">
      <w:start w:val="1"/>
      <w:numFmt w:val="bullet"/>
      <w:lvlText w:val=""/>
      <w:lvlJc w:val="start"/>
      <w:pPr>
        <w:tabs>
          <w:tab w:val="num" w:pos="360"/>
        </w:tabs>
        <w:ind w:start="360" w:hanging="360"/>
      </w:pPr>
      <w:rPr>
        <w:rFonts w:ascii="Symbol" w:hAnsi="Symbol" w:cs="Symbol" w:hint="default"/>
        <w:sz w:val="16"/>
      </w:rPr>
    </w:lvl>
  </w:abstractNum>
  <w:abstractNum w:abstractNumId="68">
    <w:lvl w:ilvl="0">
      <w:start w:val="1"/>
      <w:numFmt w:val="bullet"/>
      <w:lvlText w:val=""/>
      <w:lvlJc w:val="start"/>
      <w:pPr>
        <w:tabs>
          <w:tab w:val="num" w:pos="360"/>
        </w:tabs>
        <w:ind w:start="360" w:hanging="360"/>
      </w:pPr>
      <w:rPr>
        <w:rFonts w:ascii="Symbol" w:hAnsi="Symbol" w:cs="Symbol" w:hint="default"/>
        <w:sz w:val="16"/>
      </w:rPr>
    </w:lvl>
  </w:abstractNum>
  <w:abstractNum w:abstractNumId="69">
    <w:lvl w:ilvl="0">
      <w:start w:val="1"/>
      <w:numFmt w:val="bullet"/>
      <w:lvlText w:val=""/>
      <w:lvlJc w:val="start"/>
      <w:pPr>
        <w:tabs>
          <w:tab w:val="num" w:pos="360"/>
        </w:tabs>
        <w:ind w:start="360" w:hanging="360"/>
      </w:pPr>
      <w:rPr>
        <w:rFonts w:ascii="Symbol" w:hAnsi="Symbol" w:cs="Symbol" w:hint="default"/>
        <w:sz w:val="16"/>
      </w:rPr>
    </w:lvl>
  </w:abstractNum>
  <w:abstractNum w:abstractNumId="70">
    <w:lvl w:ilvl="0">
      <w:start w:val="1"/>
      <w:numFmt w:val="decimal"/>
      <w:lvlText w:val="%1."/>
      <w:lvlJc w:val="start"/>
      <w:pPr>
        <w:tabs>
          <w:tab w:val="num" w:pos="360"/>
        </w:tabs>
        <w:ind w:start="360" w:hanging="360"/>
      </w:pPr>
    </w:lvl>
  </w:abstractNum>
  <w:abstractNum w:abstractNumId="71">
    <w:lvl w:ilvl="0">
      <w:start w:val="1"/>
      <w:numFmt w:val="bullet"/>
      <w:lvlText w:val=""/>
      <w:lvlJc w:val="start"/>
      <w:pPr>
        <w:tabs>
          <w:tab w:val="num" w:pos="360"/>
        </w:tabs>
        <w:ind w:start="360" w:hanging="360"/>
      </w:pPr>
      <w:rPr>
        <w:rFonts w:ascii="Symbol" w:hAnsi="Symbol" w:cs="Symbol" w:hint="default"/>
        <w:sz w:val="16"/>
      </w:rPr>
    </w:lvl>
  </w:abstractNum>
  <w:abstractNum w:abstractNumId="72">
    <w:lvl w:ilvl="0">
      <w:start w:val="1"/>
      <w:numFmt w:val="bullet"/>
      <w:lvlText w:val=""/>
      <w:lvlJc w:val="start"/>
      <w:pPr>
        <w:tabs>
          <w:tab w:val="num" w:pos="360"/>
        </w:tabs>
        <w:ind w:start="360" w:hanging="360"/>
      </w:pPr>
      <w:rPr>
        <w:rFonts w:ascii="Symbol" w:hAnsi="Symbol" w:cs="Symbol" w:hint="default"/>
        <w:sz w:val="16"/>
      </w:rPr>
    </w:lvl>
  </w:abstractNum>
  <w:abstractNum w:abstractNumId="73">
    <w:lvl w:ilvl="0">
      <w:start w:val="1"/>
      <w:numFmt w:val="bullet"/>
      <w:lvlText w:val=""/>
      <w:lvlJc w:val="start"/>
      <w:pPr>
        <w:tabs>
          <w:tab w:val="num" w:pos="360"/>
        </w:tabs>
        <w:ind w:start="360" w:hanging="360"/>
      </w:pPr>
      <w:rPr>
        <w:rFonts w:ascii="Symbol" w:hAnsi="Symbol" w:cs="Symbol" w:hint="default"/>
        <w:sz w:val="16"/>
      </w:rPr>
    </w:lvl>
  </w:abstractNum>
  <w:abstractNum w:abstractNumId="74">
    <w:lvl w:ilvl="0">
      <w:start w:val="1"/>
      <w:numFmt w:val="decimal"/>
      <w:lvlText w:val="%1."/>
      <w:lvlJc w:val="start"/>
      <w:pPr>
        <w:tabs>
          <w:tab w:val="num" w:pos="360"/>
        </w:tabs>
        <w:ind w:start="360" w:hanging="360"/>
      </w:pPr>
    </w:lvl>
  </w:abstractNum>
  <w:abstractNum w:abstractNumId="75">
    <w:lvl w:ilvl="0">
      <w:start w:val="1"/>
      <w:numFmt w:val="bullet"/>
      <w:lvlText w:val=""/>
      <w:lvlJc w:val="start"/>
      <w:pPr>
        <w:tabs>
          <w:tab w:val="num" w:pos="360"/>
        </w:tabs>
        <w:ind w:start="360" w:hanging="360"/>
      </w:pPr>
      <w:rPr>
        <w:rFonts w:ascii="Symbol" w:hAnsi="Symbol" w:cs="Symbol" w:hint="default"/>
        <w:sz w:val="16"/>
      </w:rPr>
    </w:lvl>
  </w:abstractNum>
  <w:abstractNum w:abstractNumId="76">
    <w:lvl w:ilvl="0">
      <w:start w:val="1"/>
      <w:numFmt w:val="bullet"/>
      <w:lvlText w:val=""/>
      <w:lvlJc w:val="start"/>
      <w:pPr>
        <w:tabs>
          <w:tab w:val="num" w:pos="360"/>
        </w:tabs>
        <w:ind w:start="360" w:hanging="360"/>
      </w:pPr>
      <w:rPr>
        <w:rFonts w:ascii="Symbol" w:hAnsi="Symbol" w:cs="Symbol" w:hint="default"/>
        <w:sz w:val="16"/>
      </w:rPr>
    </w:lvl>
  </w:abstractNum>
  <w:abstractNum w:abstractNumId="77">
    <w:lvl w:ilvl="0">
      <w:start w:val="1"/>
      <w:numFmt w:val="bullet"/>
      <w:lvlText w:val=""/>
      <w:lvlJc w:val="start"/>
      <w:pPr>
        <w:tabs>
          <w:tab w:val="num" w:pos="360"/>
        </w:tabs>
        <w:ind w:start="360" w:hanging="360"/>
      </w:pPr>
      <w:rPr>
        <w:rFonts w:ascii="Symbol" w:hAnsi="Symbol" w:cs="Symbol" w:hint="default"/>
        <w:sz w:val="16"/>
      </w:rPr>
    </w:lvl>
  </w:abstractNum>
  <w:abstractNum w:abstractNumId="78">
    <w:lvl w:ilvl="0">
      <w:start w:val="1"/>
      <w:numFmt w:val="bullet"/>
      <w:lvlText w:val=""/>
      <w:lvlJc w:val="start"/>
      <w:pPr>
        <w:tabs>
          <w:tab w:val="num" w:pos="360"/>
        </w:tabs>
        <w:ind w:start="360" w:hanging="360"/>
      </w:pPr>
      <w:rPr>
        <w:rFonts w:ascii="Symbol" w:hAnsi="Symbol" w:cs="Symbol" w:hint="default"/>
        <w:sz w:val="16"/>
      </w:rPr>
    </w:lvl>
  </w:abstractNum>
  <w:abstractNum w:abstractNumId="79">
    <w:lvl w:ilvl="0">
      <w:start w:val="1"/>
      <w:numFmt w:val="lowerLetter"/>
      <w:lvlText w:val="(%1)"/>
      <w:lvlJc w:val="start"/>
      <w:pPr>
        <w:tabs>
          <w:tab w:val="num" w:pos="360"/>
        </w:tabs>
        <w:ind w:start="360" w:hanging="360"/>
      </w:pPr>
    </w:lvl>
  </w:abstractNum>
  <w:abstractNum w:abstractNumId="80">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bering>
</file>

<file path=word/settings.xml><?xml version="1.0" encoding="utf-8"?>
<w:settings xmlns:w="http://schemas.openxmlformats.org/wordprocessingml/2006/main">
  <w:zoom w:percent="88"/>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bidi="ar-SA" w:eastAsia="zh-CN"/>
    </w:rPr>
  </w:style>
  <w:style w:type="paragraph" w:styleId="Heading1">
    <w:name w:val="heading 1"/>
    <w:basedOn w:val="Normal"/>
    <w:next w:val="Normal"/>
    <w:qFormat/>
    <w:pPr>
      <w:keepNext w:val="true"/>
      <w:spacing w:before="240" w:after="240"/>
      <w:outlineLvl w:val="0"/>
    </w:pPr>
    <w:rPr>
      <w:b/>
      <w:kern w:val="2"/>
      <w:sz w:val="28"/>
    </w:rPr>
  </w:style>
  <w:style w:type="paragraph" w:styleId="Heading2">
    <w:name w:val="heading 2"/>
    <w:basedOn w:val="Normal"/>
    <w:next w:val="Normal"/>
    <w:qFormat/>
    <w:pPr>
      <w:keepNext w:val="true"/>
      <w:spacing w:before="240" w:after="240"/>
      <w:outlineLvl w:val="1"/>
    </w:pPr>
    <w:rPr>
      <w:b/>
      <w:i/>
      <w:sz w:val="24"/>
    </w:rPr>
  </w:style>
  <w:style w:type="paragraph" w:styleId="Heading3">
    <w:name w:val="heading 3"/>
    <w:basedOn w:val="Normal"/>
    <w:next w:val="Normal"/>
    <w:qFormat/>
    <w:pPr>
      <w:keepNext w:val="true"/>
      <w:spacing w:before="240" w:after="60"/>
      <w:outlineLvl w:val="2"/>
    </w:pPr>
    <w:rPr>
      <w:rFonts w:ascii="Book Antiqua" w:hAnsi="Book Antiqua" w:cs="Book Antiqua"/>
      <w:sz w:val="24"/>
    </w:rPr>
  </w:style>
  <w:style w:type="paragraph" w:styleId="Heading4">
    <w:name w:val="heading 4"/>
    <w:basedOn w:val="Normal"/>
    <w:next w:val="Normal"/>
    <w:qFormat/>
    <w:pPr>
      <w:keepNext w:val="true"/>
      <w:outlineLvl w:val="3"/>
    </w:pPr>
    <w:rPr>
      <w:b/>
    </w:rPr>
  </w:style>
  <w:style w:type="paragraph" w:styleId="Heading5">
    <w:name w:val="heading 5"/>
    <w:basedOn w:val="Normal"/>
    <w:next w:val="Normal"/>
    <w:qFormat/>
    <w:pPr>
      <w:keepNext w:val="true"/>
      <w:outlineLvl w:val="4"/>
    </w:pPr>
    <w:rPr>
      <w:sz w:val="36"/>
    </w:rPr>
  </w:style>
  <w:style w:type="paragraph" w:styleId="Heading6">
    <w:name w:val="heading 6"/>
    <w:basedOn w:val="Normal"/>
    <w:next w:val="Normal"/>
    <w:qFormat/>
    <w:pPr>
      <w:keepNext w:val="true"/>
      <w:outlineLvl w:val="5"/>
    </w:pPr>
    <w:rPr>
      <w:i/>
      <w:sz w:val="20"/>
    </w:rPr>
  </w:style>
  <w:style w:type="paragraph" w:styleId="Heading7">
    <w:name w:val="heading 7"/>
    <w:basedOn w:val="Normal"/>
    <w:next w:val="Normal"/>
    <w:qFormat/>
    <w:pPr>
      <w:keepNext w:val="true"/>
      <w:jc w:val="center"/>
      <w:outlineLvl w:val="6"/>
    </w:pPr>
    <w:rPr>
      <w:rFonts w:ascii="Arial" w:hAnsi="Arial" w:cs="Arial"/>
      <w:b/>
      <w:color w:val="000000"/>
      <w:sz w:val="18"/>
    </w:rPr>
  </w:style>
  <w:style w:type="paragraph" w:styleId="Heading8">
    <w:name w:val="heading 8"/>
    <w:basedOn w:val="Normal"/>
    <w:next w:val="Normal"/>
    <w:qFormat/>
    <w:pPr>
      <w:keepNext w:val="true"/>
      <w:jc w:val="center"/>
      <w:outlineLvl w:val="7"/>
    </w:pPr>
    <w:rPr>
      <w:rFonts w:ascii="Arial" w:hAnsi="Arial" w:cs="Arial"/>
      <w:b/>
      <w:i/>
      <w:color w:val="000000"/>
      <w:sz w:val="18"/>
    </w:rPr>
  </w:style>
  <w:style w:type="paragraph" w:styleId="Heading9">
    <w:name w:val="heading 9"/>
    <w:basedOn w:val="Normal"/>
    <w:next w:val="Normal"/>
    <w:qFormat/>
    <w:pPr>
      <w:numPr>
        <w:ilvl w:val="8"/>
        <w:numId w:val="1"/>
      </w:numPr>
      <w:spacing w:before="240" w:after="480"/>
      <w:outlineLvl w:val="8"/>
    </w:pPr>
    <w:rPr>
      <w:rFonts w:ascii="Arial" w:hAnsi="Arial" w:cs="Arial"/>
      <w:b/>
      <w:sz w:val="36"/>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Symbol" w:hAnsi="Symbol" w:cs="Symbol"/>
      <w:sz w:val="16"/>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sz w:val="1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4z1">
    <w:name w:val="WW8Num24z1"/>
    <w:qFormat/>
    <w:rPr>
      <w:rFonts w:ascii="Times New Roman" w:hAnsi="Times New Roman" w:eastAsia="Times New Roman" w:cs="Times New Roman"/>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Times New Roman" w:hAnsi="Times New Roman" w:cs="Times New Roman"/>
    </w:rPr>
  </w:style>
  <w:style w:type="character" w:styleId="WW8Num31z0">
    <w:name w:val="WW8Num31z0"/>
    <w:qFormat/>
    <w:rPr>
      <w:rFonts w:ascii="Symbol" w:hAnsi="Symbol" w:cs="Symbol"/>
      <w:sz w:val="16"/>
    </w:rPr>
  </w:style>
  <w:style w:type="character" w:styleId="WW8Num32z0">
    <w:name w:val="WW8Num32z0"/>
    <w:qFormat/>
    <w:rPr>
      <w:rFonts w:ascii="Symbol" w:hAnsi="Symbol" w:cs="Symbol"/>
      <w:sz w:val="16"/>
    </w:rPr>
  </w:style>
  <w:style w:type="character" w:styleId="WW8Num33z0">
    <w:name w:val="WW8Num33z0"/>
    <w:qFormat/>
    <w:rPr>
      <w:rFonts w:ascii="Times New Roman" w:hAnsi="Times New Roman" w:cs="Times New Roman"/>
    </w:rPr>
  </w:style>
  <w:style w:type="character" w:styleId="WW8Num34z0">
    <w:name w:val="WW8Num34z0"/>
    <w:qFormat/>
    <w:rPr>
      <w:rFonts w:ascii="Symbol" w:hAnsi="Symbol" w:cs="Symbol"/>
    </w:rPr>
  </w:style>
  <w:style w:type="character" w:styleId="WW8Num35z0">
    <w:name w:val="WW8Num35z0"/>
    <w:qFormat/>
    <w:rPr>
      <w:rFonts w:ascii="Times New Roman" w:hAnsi="Times New Roman" w:cs="Times New Roman"/>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sz w:val="16"/>
    </w:rPr>
  </w:style>
  <w:style w:type="character" w:styleId="WW8Num39z0">
    <w:name w:val="WW8Num39z0"/>
    <w:qFormat/>
    <w:rPr>
      <w:rFonts w:ascii="Symbol" w:hAnsi="Symbol" w:cs="Symbol"/>
    </w:rPr>
  </w:style>
  <w:style w:type="character" w:styleId="WW8Num40z0">
    <w:name w:val="WW8Num40z0"/>
    <w:qFormat/>
    <w:rPr>
      <w:rFonts w:ascii="Symbol" w:hAnsi="Symbol" w:cs="Symbol"/>
      <w:sz w:val="16"/>
    </w:rPr>
  </w:style>
  <w:style w:type="character" w:styleId="WW8Num41z0">
    <w:name w:val="WW8Num41z0"/>
    <w:qFormat/>
    <w:rPr>
      <w:rFonts w:ascii="Symbol" w:hAnsi="Symbol" w:cs="Symbol"/>
      <w:sz w:val="16"/>
    </w:rPr>
  </w:style>
  <w:style w:type="character" w:styleId="WW8Num42z0">
    <w:name w:val="WW8Num42z0"/>
    <w:qFormat/>
    <w:rPr>
      <w:rFonts w:ascii="Times New Roman" w:hAnsi="Times New Roman" w:cs="Times New Roman"/>
    </w:rPr>
  </w:style>
  <w:style w:type="character" w:styleId="WW8Num43z0">
    <w:name w:val="WW8Num43z0"/>
    <w:qFormat/>
    <w:rPr>
      <w:rFonts w:ascii="Symbol" w:hAnsi="Symbol" w:cs="Symbol"/>
      <w:sz w:val="16"/>
    </w:rPr>
  </w:style>
  <w:style w:type="character" w:styleId="WW8Num44z0">
    <w:name w:val="WW8Num44z0"/>
    <w:qFormat/>
    <w:rPr/>
  </w:style>
  <w:style w:type="character" w:styleId="WW8Num45z0">
    <w:name w:val="WW8Num45z0"/>
    <w:qFormat/>
    <w:rPr>
      <w:rFonts w:ascii="Times New Roman" w:hAnsi="Times New Roman" w:cs="Times New Roman"/>
    </w:rPr>
  </w:style>
  <w:style w:type="character" w:styleId="WW8Num46z0">
    <w:name w:val="WW8Num46z0"/>
    <w:qFormat/>
    <w:rPr>
      <w:rFonts w:ascii="Symbol" w:hAnsi="Symbol" w:cs="Symbol"/>
      <w:sz w:val="16"/>
    </w:rPr>
  </w:style>
  <w:style w:type="character" w:styleId="WW8Num47z0">
    <w:name w:val="WW8Num47z0"/>
    <w:qFormat/>
    <w:rPr>
      <w:rFonts w:ascii="Symbol" w:hAnsi="Symbol" w:cs="Symbol"/>
      <w:sz w:val="16"/>
    </w:rPr>
  </w:style>
  <w:style w:type="character" w:styleId="WW8Num48z0">
    <w:name w:val="WW8Num48z0"/>
    <w:qFormat/>
    <w:rPr>
      <w:rFonts w:ascii="Symbol" w:hAnsi="Symbol" w:cs="Symbol"/>
      <w:sz w:val="16"/>
    </w:rPr>
  </w:style>
  <w:style w:type="character" w:styleId="WW8Num49z0">
    <w:name w:val="WW8Num49z0"/>
    <w:qFormat/>
    <w:rPr>
      <w:rFonts w:ascii="Symbol" w:hAnsi="Symbol" w:cs="Symbol"/>
    </w:rPr>
  </w:style>
  <w:style w:type="character" w:styleId="WW8Num49z1">
    <w:name w:val="WW8Num49z1"/>
    <w:qFormat/>
    <w:rPr>
      <w:rFonts w:ascii="Times New Roman" w:hAnsi="Times New Roman" w:eastAsia="Times New Roman" w:cs="Times New Roman"/>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sz w:val="16"/>
    </w:rPr>
  </w:style>
  <w:style w:type="character" w:styleId="WW8Num54z0">
    <w:name w:val="WW8Num54z0"/>
    <w:qFormat/>
    <w:rPr>
      <w:rFonts w:ascii="Symbol" w:hAnsi="Symbol" w:cs="Symbol"/>
    </w:rPr>
  </w:style>
  <w:style w:type="character" w:styleId="WW8Num55z0">
    <w:name w:val="WW8Num55z0"/>
    <w:qFormat/>
    <w:rPr>
      <w:rFonts w:ascii="Symbol" w:hAnsi="Symbol" w:cs="Symbol"/>
      <w:sz w:val="16"/>
    </w:rPr>
  </w:style>
  <w:style w:type="character" w:styleId="WW8Num56z0">
    <w:name w:val="WW8Num56z0"/>
    <w:qFormat/>
    <w:rPr/>
  </w:style>
  <w:style w:type="character" w:styleId="WW8Num57z0">
    <w:name w:val="WW8Num57z0"/>
    <w:qFormat/>
    <w:rPr>
      <w:rFonts w:ascii="Symbol" w:hAnsi="Symbol" w:cs="Symbol"/>
      <w:sz w:val="16"/>
    </w:rPr>
  </w:style>
  <w:style w:type="character" w:styleId="WW8Num58z0">
    <w:name w:val="WW8Num58z0"/>
    <w:qFormat/>
    <w:rPr>
      <w:rFonts w:ascii="Symbol" w:hAnsi="Symbol" w:cs="Symbol"/>
      <w:sz w:val="16"/>
    </w:rPr>
  </w:style>
  <w:style w:type="character" w:styleId="WW8Num59z0">
    <w:name w:val="WW8Num59z0"/>
    <w:qFormat/>
    <w:rPr>
      <w:rFonts w:ascii="Symbol" w:hAnsi="Symbol" w:cs="Symbol"/>
      <w:sz w:val="16"/>
    </w:rPr>
  </w:style>
  <w:style w:type="character" w:styleId="WW8Num60z0">
    <w:name w:val="WW8Num60z0"/>
    <w:qFormat/>
    <w:rPr>
      <w:rFonts w:ascii="Symbol" w:hAnsi="Symbol" w:cs="Symbol"/>
      <w:sz w:val="16"/>
    </w:rPr>
  </w:style>
  <w:style w:type="character" w:styleId="WW8Num61z0">
    <w:name w:val="WW8Num61z0"/>
    <w:qFormat/>
    <w:rPr>
      <w:rFonts w:ascii="Symbol" w:hAnsi="Symbol" w:cs="Symbol"/>
      <w:sz w:val="16"/>
    </w:rPr>
  </w:style>
  <w:style w:type="character" w:styleId="WW8Num63z0">
    <w:name w:val="WW8Num63z0"/>
    <w:qFormat/>
    <w:rPr>
      <w:rFonts w:ascii="Symbol" w:hAnsi="Symbol" w:cs="Symbol"/>
    </w:rPr>
  </w:style>
  <w:style w:type="character" w:styleId="WW8Num65z0">
    <w:name w:val="WW8Num65z0"/>
    <w:qFormat/>
    <w:rPr>
      <w:rFonts w:ascii="Symbol" w:hAnsi="Symbol" w:cs="Symbol"/>
      <w:sz w:val="16"/>
    </w:rPr>
  </w:style>
  <w:style w:type="character" w:styleId="WW8Num66z0">
    <w:name w:val="WW8Num66z0"/>
    <w:qFormat/>
    <w:rPr>
      <w:rFonts w:ascii="Symbol" w:hAnsi="Symbol" w:cs="Symbol"/>
      <w:sz w:val="16"/>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rFonts w:ascii="Symbol" w:hAnsi="Symbol" w:cs="Symbol"/>
      <w:sz w:val="16"/>
    </w:rPr>
  </w:style>
  <w:style w:type="character" w:styleId="WW8Num71z0">
    <w:name w:val="WW8Num71z0"/>
    <w:qFormat/>
    <w:rPr/>
  </w:style>
  <w:style w:type="character" w:styleId="WW8Num72z0">
    <w:name w:val="WW8Num72z0"/>
    <w:qFormat/>
    <w:rPr>
      <w:rFonts w:ascii="Symbol" w:hAnsi="Symbol" w:cs="Symbol"/>
    </w:rPr>
  </w:style>
  <w:style w:type="character" w:styleId="WW8Num73z0">
    <w:name w:val="WW8Num73z0"/>
    <w:qFormat/>
    <w:rPr>
      <w:rFonts w:ascii="Helvetica" w:hAnsi="Helvetica" w:cs="Helvetica"/>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Wingdings" w:hAnsi="Wingdings" w:cs="Wingdings"/>
    </w:rPr>
  </w:style>
  <w:style w:type="character" w:styleId="WW8Num76z0">
    <w:name w:val="WW8Num76z0"/>
    <w:qFormat/>
    <w:rPr>
      <w:rFonts w:ascii="Times New Roman" w:hAnsi="Times New Roman" w:cs="Times New Roman"/>
    </w:rPr>
  </w:style>
  <w:style w:type="character" w:styleId="WW8Num77z0">
    <w:name w:val="WW8Num77z0"/>
    <w:qFormat/>
    <w:rPr>
      <w:rFonts w:ascii="Symbol" w:hAnsi="Symbol" w:cs="Symbol"/>
    </w:rPr>
  </w:style>
  <w:style w:type="character" w:styleId="WW8Num77z1">
    <w:name w:val="WW8Num77z1"/>
    <w:qFormat/>
    <w:rPr>
      <w:rFonts w:ascii="Courier New" w:hAnsi="Courier New" w:cs="Courier New"/>
    </w:rPr>
  </w:style>
  <w:style w:type="character" w:styleId="WW8Num77z2">
    <w:name w:val="WW8Num77z2"/>
    <w:qFormat/>
    <w:rPr>
      <w:rFonts w:ascii="Wingdings" w:hAnsi="Wingdings" w:cs="Wingdings"/>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2z1">
    <w:name w:val="WW8Num82z1"/>
    <w:qFormat/>
    <w:rPr>
      <w:rFonts w:ascii="Courier New" w:hAnsi="Courier New" w:cs="Courier New"/>
    </w:rPr>
  </w:style>
  <w:style w:type="character" w:styleId="WW8Num82z2">
    <w:name w:val="WW8Num82z2"/>
    <w:qFormat/>
    <w:rPr>
      <w:rFonts w:ascii="Wingdings" w:hAnsi="Wingdings" w:cs="Wingdings"/>
    </w:rPr>
  </w:style>
  <w:style w:type="character" w:styleId="WW8Num83z0">
    <w:name w:val="WW8Num83z0"/>
    <w:qFormat/>
    <w:rPr>
      <w:rFonts w:ascii="Symbol" w:hAnsi="Symbol" w:cs="Symbol"/>
    </w:rPr>
  </w:style>
  <w:style w:type="character" w:styleId="WW8Num84z0">
    <w:name w:val="WW8Num84z0"/>
    <w:qFormat/>
    <w:rPr>
      <w:rFonts w:ascii="Symbol" w:hAnsi="Symbol" w:cs="Symbol"/>
      <w:sz w:val="16"/>
    </w:rPr>
  </w:style>
  <w:style w:type="character" w:styleId="WW8Num85z0">
    <w:name w:val="WW8Num85z0"/>
    <w:qFormat/>
    <w:rPr>
      <w:rFonts w:ascii="Symbol" w:hAnsi="Symbol" w:cs="Symbol"/>
      <w:sz w:val="16"/>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rFonts w:ascii="Symbol" w:hAnsi="Symbol" w:cs="Symbol"/>
      <w:sz w:val="16"/>
    </w:rPr>
  </w:style>
  <w:style w:type="character" w:styleId="WW8Num91z0">
    <w:name w:val="WW8Num91z0"/>
    <w:qFormat/>
    <w:rPr>
      <w:rFonts w:ascii="Symbol" w:hAnsi="Symbol" w:cs="Symbol"/>
    </w:rPr>
  </w:style>
  <w:style w:type="character" w:styleId="WW8Num92z0">
    <w:name w:val="WW8Num92z0"/>
    <w:qFormat/>
    <w:rPr>
      <w:rFonts w:ascii="Times New Roman" w:hAnsi="Times New Roman" w:eastAsia="Times New Roman" w:cs="Times New Roman"/>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Symbol" w:hAnsi="Symbol" w:cs="Symbol"/>
      <w:sz w:val="16"/>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6z0">
    <w:name w:val="WW8Num96z0"/>
    <w:qFormat/>
    <w:rPr>
      <w:rFonts w:ascii="Symbol" w:hAnsi="Symbol" w:cs="Symbol"/>
    </w:rPr>
  </w:style>
  <w:style w:type="character" w:styleId="WW8Num97z0">
    <w:name w:val="WW8Num97z0"/>
    <w:qFormat/>
    <w:rPr>
      <w:rFonts w:ascii="Symbol" w:hAnsi="Symbol" w:cs="Symbol"/>
      <w:sz w:val="16"/>
    </w:rPr>
  </w:style>
  <w:style w:type="character" w:styleId="WW8Num98z0">
    <w:name w:val="WW8Num98z0"/>
    <w:qFormat/>
    <w:rPr>
      <w:rFonts w:ascii="Symbol" w:hAnsi="Symbol" w:cs="Symbol"/>
    </w:rPr>
  </w:style>
  <w:style w:type="character" w:styleId="WW8Num99z0">
    <w:name w:val="WW8Num99z0"/>
    <w:qFormat/>
    <w:rPr>
      <w:rFonts w:ascii="Symbol" w:hAnsi="Symbol" w:cs="Symbol"/>
      <w:sz w:val="16"/>
    </w:rPr>
  </w:style>
  <w:style w:type="character" w:styleId="WW8Num100z0">
    <w:name w:val="WW8Num100z0"/>
    <w:qFormat/>
    <w:rPr>
      <w:rFonts w:ascii="Symbol" w:hAnsi="Symbol" w:cs="Symbol"/>
    </w:rPr>
  </w:style>
  <w:style w:type="character" w:styleId="WW8Num100z1">
    <w:name w:val="WW8Num100z1"/>
    <w:qFormat/>
    <w:rPr>
      <w:rFonts w:ascii="Courier New" w:hAnsi="Courier New" w:cs="Courier New"/>
    </w:rPr>
  </w:style>
  <w:style w:type="character" w:styleId="WW8Num100z2">
    <w:name w:val="WW8Num100z2"/>
    <w:qFormat/>
    <w:rPr>
      <w:rFonts w:ascii="Wingdings" w:hAnsi="Wingdings" w:cs="Wingdings"/>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rFonts w:ascii="Symbol" w:hAnsi="Symbol" w:cs="Symbol"/>
      <w:sz w:val="16"/>
    </w:rPr>
  </w:style>
  <w:style w:type="character" w:styleId="WW8Num104z0">
    <w:name w:val="WW8Num104z0"/>
    <w:qFormat/>
    <w:rPr>
      <w:rFonts w:ascii="Symbol" w:hAnsi="Symbol" w:cs="Symbol"/>
      <w:sz w:val="16"/>
    </w:rPr>
  </w:style>
  <w:style w:type="character" w:styleId="WW8Num105z0">
    <w:name w:val="WW8Num105z0"/>
    <w:qFormat/>
    <w:rPr>
      <w:rFonts w:ascii="Symbol" w:hAnsi="Symbol" w:cs="Symbol"/>
    </w:rPr>
  </w:style>
  <w:style w:type="character" w:styleId="WW8Num106z0">
    <w:name w:val="WW8Num106z0"/>
    <w:qFormat/>
    <w:rPr>
      <w:rFonts w:ascii="Symbol" w:hAnsi="Symbol" w:cs="Symbol"/>
      <w:sz w:val="16"/>
    </w:rPr>
  </w:style>
  <w:style w:type="character" w:styleId="WW8Num107z0">
    <w:name w:val="WW8Num107z0"/>
    <w:qFormat/>
    <w:rPr>
      <w:rFonts w:ascii="Symbol" w:hAnsi="Symbol" w:cs="Symbol"/>
      <w:sz w:val="16"/>
    </w:rPr>
  </w:style>
  <w:style w:type="character" w:styleId="WW8Num108z0">
    <w:name w:val="WW8Num108z0"/>
    <w:qFormat/>
    <w:rPr>
      <w:rFonts w:ascii="Symbol" w:hAnsi="Symbol" w:cs="Symbol"/>
    </w:rPr>
  </w:style>
  <w:style w:type="character" w:styleId="WW8Num109z0">
    <w:name w:val="WW8Num109z0"/>
    <w:qFormat/>
    <w:rPr>
      <w:rFonts w:ascii="Times New Roman" w:hAnsi="Times New Roman" w:cs="Times New Roman"/>
    </w:rPr>
  </w:style>
  <w:style w:type="character" w:styleId="WW8Num110z0">
    <w:name w:val="WW8Num110z0"/>
    <w:qFormat/>
    <w:rPr>
      <w:rFonts w:ascii="Symbol" w:hAnsi="Symbol" w:cs="Symbol"/>
    </w:rPr>
  </w:style>
  <w:style w:type="character" w:styleId="WW8Num111z0">
    <w:name w:val="WW8Num111z0"/>
    <w:qFormat/>
    <w:rPr>
      <w:rFonts w:ascii="Symbol" w:hAnsi="Symbol" w:cs="Symbol"/>
      <w:sz w:val="16"/>
    </w:rPr>
  </w:style>
  <w:style w:type="character" w:styleId="WW8Num112z0">
    <w:name w:val="WW8Num112z0"/>
    <w:qFormat/>
    <w:rPr>
      <w:rFonts w:ascii="Symbol" w:hAnsi="Symbol" w:cs="Symbol"/>
      <w:sz w:val="16"/>
    </w:rPr>
  </w:style>
  <w:style w:type="character" w:styleId="WW8Num113z0">
    <w:name w:val="WW8Num113z0"/>
    <w:qFormat/>
    <w:rPr>
      <w:rFonts w:ascii="Symbol" w:hAnsi="Symbol" w:cs="Symbol"/>
      <w:sz w:val="16"/>
    </w:rPr>
  </w:style>
  <w:style w:type="character" w:styleId="WW8Num114z0">
    <w:name w:val="WW8Num114z0"/>
    <w:qFormat/>
    <w:rPr>
      <w:rFonts w:ascii="Symbol" w:hAnsi="Symbol" w:cs="Symbol"/>
      <w:sz w:val="16"/>
    </w:rPr>
  </w:style>
  <w:style w:type="character" w:styleId="WW8Num115z0">
    <w:name w:val="WW8Num115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sz w:val="16"/>
    </w:rPr>
  </w:style>
  <w:style w:type="character" w:styleId="WW8Num119z0">
    <w:name w:val="WW8Num119z0"/>
    <w:qFormat/>
    <w:rPr/>
  </w:style>
  <w:style w:type="character" w:styleId="WW8Num120z0">
    <w:name w:val="WW8Num120z0"/>
    <w:qFormat/>
    <w:rPr>
      <w:rFonts w:ascii="Wingdings" w:hAnsi="Wingdings" w:cs="Wingdings"/>
    </w:rPr>
  </w:style>
  <w:style w:type="character" w:styleId="WW8Num121z0">
    <w:name w:val="WW8Num121z0"/>
    <w:qFormat/>
    <w:rPr>
      <w:rFonts w:ascii="Symbol" w:hAnsi="Symbol" w:cs="Symbol"/>
    </w:rPr>
  </w:style>
  <w:style w:type="character" w:styleId="WW8Num121z1">
    <w:name w:val="WW8Num121z1"/>
    <w:qFormat/>
    <w:rPr>
      <w:rFonts w:ascii="Courier New" w:hAnsi="Courier New" w:cs="Courier New"/>
    </w:rPr>
  </w:style>
  <w:style w:type="character" w:styleId="WW8Num121z2">
    <w:name w:val="WW8Num121z2"/>
    <w:qFormat/>
    <w:rPr>
      <w:rFonts w:ascii="Wingdings" w:hAnsi="Wingdings" w:cs="Wingdings"/>
    </w:rPr>
  </w:style>
  <w:style w:type="character" w:styleId="WW8Num122z0">
    <w:name w:val="WW8Num122z0"/>
    <w:qFormat/>
    <w:rPr/>
  </w:style>
  <w:style w:type="character" w:styleId="WW8Num123z0">
    <w:name w:val="WW8Num123z0"/>
    <w:qFormat/>
    <w:rPr>
      <w:rFonts w:ascii="Symbol" w:hAnsi="Symbol" w:cs="Symbol"/>
      <w:sz w:val="16"/>
    </w:rPr>
  </w:style>
  <w:style w:type="character" w:styleId="WW8Num124z0">
    <w:name w:val="WW8Num124z0"/>
    <w:qFormat/>
    <w:rPr>
      <w:rFonts w:ascii="Symbol" w:hAnsi="Symbol" w:cs="Symbol"/>
    </w:rPr>
  </w:style>
  <w:style w:type="character" w:styleId="WW8Num125z0">
    <w:name w:val="WW8Num125z0"/>
    <w:qFormat/>
    <w:rPr>
      <w:rFonts w:ascii="Symbol" w:hAnsi="Symbol" w:cs="Symbol"/>
      <w:sz w:val="16"/>
    </w:rPr>
  </w:style>
  <w:style w:type="character" w:styleId="WW8Num127z0">
    <w:name w:val="WW8Num127z0"/>
    <w:qFormat/>
    <w:rPr>
      <w:rFonts w:ascii="Symbol" w:hAnsi="Symbol" w:cs="Symbol"/>
      <w:sz w:val="16"/>
    </w:rPr>
  </w:style>
  <w:style w:type="character" w:styleId="WW8Num128z0">
    <w:name w:val="WW8Num128z0"/>
    <w:qFormat/>
    <w:rPr>
      <w:rFonts w:ascii="Symbol" w:hAnsi="Symbol" w:cs="Symbol"/>
      <w:sz w:val="16"/>
    </w:rPr>
  </w:style>
  <w:style w:type="character" w:styleId="WW8Num129z0">
    <w:name w:val="WW8Num129z0"/>
    <w:qFormat/>
    <w:rPr>
      <w:rFonts w:ascii="Symbol" w:hAnsi="Symbol" w:cs="Symbol"/>
      <w:sz w:val="16"/>
    </w:rPr>
  </w:style>
  <w:style w:type="character" w:styleId="WW8Num130z0">
    <w:name w:val="WW8Num130z0"/>
    <w:qFormat/>
    <w:rPr>
      <w:rFonts w:ascii="Symbol" w:hAnsi="Symbol" w:cs="Symbol"/>
      <w:sz w:val="16"/>
    </w:rPr>
  </w:style>
  <w:style w:type="character" w:styleId="WW8Num131z0">
    <w:name w:val="WW8Num131z0"/>
    <w:qFormat/>
    <w:rPr>
      <w:rFonts w:ascii="Symbol" w:hAnsi="Symbol" w:cs="Symbol"/>
      <w:sz w:val="16"/>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rFonts w:ascii="Symbol" w:hAnsi="Symbol" w:cs="Symbol"/>
      <w:sz w:val="16"/>
    </w:rPr>
  </w:style>
  <w:style w:type="character" w:styleId="WW8Num135z0">
    <w:name w:val="WW8Num135z0"/>
    <w:qFormat/>
    <w:rPr>
      <w:rFonts w:ascii="Symbol" w:hAnsi="Symbol" w:cs="Symbol"/>
      <w:sz w:val="16"/>
    </w:rPr>
  </w:style>
  <w:style w:type="character" w:styleId="WW8Num136z0">
    <w:name w:val="WW8Num136z0"/>
    <w:qFormat/>
    <w:rPr>
      <w:rFonts w:ascii="Symbol" w:hAnsi="Symbol" w:cs="Symbol"/>
      <w:sz w:val="16"/>
    </w:rPr>
  </w:style>
  <w:style w:type="character" w:styleId="WW8Num137z0">
    <w:name w:val="WW8Num137z0"/>
    <w:qFormat/>
    <w:rPr>
      <w:rFonts w:ascii="Symbol" w:hAnsi="Symbol" w:cs="Symbol"/>
    </w:rPr>
  </w:style>
  <w:style w:type="character" w:styleId="WW8Num137z1">
    <w:name w:val="WW8Num137z1"/>
    <w:qFormat/>
    <w:rPr>
      <w:rFonts w:ascii="Courier New" w:hAnsi="Courier New" w:cs="Courier New"/>
    </w:rPr>
  </w:style>
  <w:style w:type="character" w:styleId="WW8Num137z2">
    <w:name w:val="WW8Num137z2"/>
    <w:qFormat/>
    <w:rPr>
      <w:rFonts w:ascii="Wingdings" w:hAnsi="Wingdings" w:cs="Wingdings"/>
    </w:rPr>
  </w:style>
  <w:style w:type="character" w:styleId="WW8Num138z0">
    <w:name w:val="WW8Num138z0"/>
    <w:qFormat/>
    <w:rPr>
      <w:rFonts w:ascii="Symbol" w:hAnsi="Symbol" w:cs="Symbol"/>
      <w:sz w:val="16"/>
    </w:rPr>
  </w:style>
  <w:style w:type="character" w:styleId="WW8Num139z0">
    <w:name w:val="WW8Num139z0"/>
    <w:qFormat/>
    <w:rPr/>
  </w:style>
  <w:style w:type="character" w:styleId="WW8Num140z0">
    <w:name w:val="WW8Num140z0"/>
    <w:qFormat/>
    <w:rPr/>
  </w:style>
  <w:style w:type="character" w:styleId="WW8Num141z0">
    <w:name w:val="WW8Num141z0"/>
    <w:qFormat/>
    <w:rPr>
      <w:rFonts w:ascii="Symbol" w:hAnsi="Symbol" w:cs="Symbol"/>
    </w:rPr>
  </w:style>
  <w:style w:type="character" w:styleId="WW8Num141z1">
    <w:name w:val="WW8Num141z1"/>
    <w:qFormat/>
    <w:rPr>
      <w:rFonts w:ascii="Courier New" w:hAnsi="Courier New" w:cs="Courier New"/>
    </w:rPr>
  </w:style>
  <w:style w:type="character" w:styleId="WW8Num141z2">
    <w:name w:val="WW8Num141z2"/>
    <w:qFormat/>
    <w:rPr>
      <w:rFonts w:ascii="Wingdings" w:hAnsi="Wingdings" w:cs="Wingdings"/>
    </w:rPr>
  </w:style>
  <w:style w:type="character" w:styleId="WW8Num142z0">
    <w:name w:val="WW8Num142z0"/>
    <w:qFormat/>
    <w:rPr>
      <w:rFonts w:ascii="Symbol" w:hAnsi="Symbol" w:cs="Symbol"/>
      <w:sz w:val="16"/>
    </w:rPr>
  </w:style>
  <w:style w:type="character" w:styleId="WW8Num143z0">
    <w:name w:val="WW8Num143z0"/>
    <w:qFormat/>
    <w:rPr>
      <w:rFonts w:ascii="Symbol" w:hAnsi="Symbol" w:cs="Symbol"/>
    </w:rPr>
  </w:style>
  <w:style w:type="character" w:styleId="WW8Num144z0">
    <w:name w:val="WW8Num144z0"/>
    <w:qFormat/>
    <w:rPr>
      <w:rFonts w:ascii="Symbol" w:hAnsi="Symbol" w:cs="Symbol"/>
      <w:sz w:val="16"/>
    </w:rPr>
  </w:style>
  <w:style w:type="character" w:styleId="WW8Num146z0">
    <w:name w:val="WW8Num146z0"/>
    <w:qFormat/>
    <w:rPr>
      <w:rFonts w:ascii="Symbol" w:hAnsi="Symbol" w:cs="Symbol"/>
      <w:sz w:val="16"/>
    </w:rPr>
  </w:style>
  <w:style w:type="character" w:styleId="WW8Num147z0">
    <w:name w:val="WW8Num147z0"/>
    <w:qFormat/>
    <w:rPr>
      <w:rFonts w:ascii="Symbol" w:hAnsi="Symbol" w:cs="Symbol"/>
    </w:rPr>
  </w:style>
  <w:style w:type="character" w:styleId="WW8Num148z0">
    <w:name w:val="WW8Num148z0"/>
    <w:qFormat/>
    <w:rPr>
      <w:rFonts w:ascii="Symbol" w:hAnsi="Symbol" w:cs="Symbol"/>
      <w:sz w:val="16"/>
    </w:rPr>
  </w:style>
  <w:style w:type="character" w:styleId="WW8Num149z0">
    <w:name w:val="WW8Num149z0"/>
    <w:qFormat/>
    <w:rPr>
      <w:rFonts w:ascii="Symbol" w:hAnsi="Symbol" w:cs="Symbol"/>
      <w:sz w:val="16"/>
    </w:rPr>
  </w:style>
  <w:style w:type="character" w:styleId="WW8Num150z0">
    <w:name w:val="WW8Num150z0"/>
    <w:qFormat/>
    <w:rPr>
      <w:rFonts w:ascii="Symbol" w:hAnsi="Symbol" w:cs="Symbol"/>
      <w:sz w:val="16"/>
    </w:rPr>
  </w:style>
  <w:style w:type="character" w:styleId="WW8Num151z0">
    <w:name w:val="WW8Num151z0"/>
    <w:qFormat/>
    <w:rPr>
      <w:rFonts w:ascii="Symbol" w:hAnsi="Symbol" w:cs="Symbol"/>
      <w:sz w:val="16"/>
    </w:rPr>
  </w:style>
  <w:style w:type="character" w:styleId="WW8Num152z0">
    <w:name w:val="WW8Num152z0"/>
    <w:qFormat/>
    <w:rPr>
      <w:rFonts w:ascii="Symbol" w:hAnsi="Symbol" w:cs="Symbol"/>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4z0">
    <w:name w:val="WW8Num154z0"/>
    <w:qFormat/>
    <w:rPr>
      <w:rFonts w:ascii="Times New Roman" w:hAnsi="Times New Roman" w:cs="Times New Roman"/>
    </w:rPr>
  </w:style>
  <w:style w:type="character" w:styleId="WW8Num155z0">
    <w:name w:val="WW8Num155z0"/>
    <w:qFormat/>
    <w:rPr>
      <w:rFonts w:ascii="Symbol" w:hAnsi="Symbol" w:cs="Symbol"/>
      <w:sz w:val="16"/>
    </w:rPr>
  </w:style>
  <w:style w:type="character" w:styleId="WW8Num156z0">
    <w:name w:val="WW8Num156z0"/>
    <w:qFormat/>
    <w:rPr>
      <w:rFonts w:ascii="Symbol" w:hAnsi="Symbol" w:cs="Symbol"/>
      <w:sz w:val="16"/>
    </w:rPr>
  </w:style>
  <w:style w:type="character" w:styleId="WW8Num157z0">
    <w:name w:val="WW8Num157z0"/>
    <w:qFormat/>
    <w:rPr>
      <w:rFonts w:ascii="Symbol" w:hAnsi="Symbol" w:cs="Symbol"/>
      <w:sz w:val="16"/>
    </w:rPr>
  </w:style>
  <w:style w:type="character" w:styleId="WW8Num158z0">
    <w:name w:val="WW8Num158z0"/>
    <w:qFormat/>
    <w:rPr>
      <w:rFonts w:ascii="Symbol" w:hAnsi="Symbol" w:cs="Symbol"/>
      <w:sz w:val="16"/>
    </w:rPr>
  </w:style>
  <w:style w:type="character" w:styleId="WW8Num159z0">
    <w:name w:val="WW8Num159z0"/>
    <w:qFormat/>
    <w:rPr>
      <w:rFonts w:ascii="Symbol" w:hAnsi="Symbol" w:cs="Symbol"/>
    </w:rPr>
  </w:style>
  <w:style w:type="character" w:styleId="WW8Num161z0">
    <w:name w:val="WW8Num161z0"/>
    <w:qFormat/>
    <w:rPr>
      <w:rFonts w:ascii="Symbol" w:hAnsi="Symbol" w:cs="Symbol"/>
      <w:sz w:val="16"/>
    </w:rPr>
  </w:style>
  <w:style w:type="character" w:styleId="WW8Num163z0">
    <w:name w:val="WW8Num163z0"/>
    <w:qFormat/>
    <w:rPr>
      <w:rFonts w:ascii="Symbol" w:hAnsi="Symbol" w:cs="Symbol"/>
      <w:sz w:val="16"/>
    </w:rPr>
  </w:style>
  <w:style w:type="character" w:styleId="WW8Num164z0">
    <w:name w:val="WW8Num164z0"/>
    <w:qFormat/>
    <w:rPr>
      <w:rFonts w:ascii="Symbol" w:hAnsi="Symbol" w:cs="Symbol"/>
      <w:sz w:val="16"/>
    </w:rPr>
  </w:style>
  <w:style w:type="character" w:styleId="WW8Num165z0">
    <w:name w:val="WW8Num165z0"/>
    <w:qFormat/>
    <w:rPr>
      <w:rFonts w:ascii="Symbol" w:hAnsi="Symbol" w:cs="Symbol"/>
      <w:sz w:val="16"/>
    </w:rPr>
  </w:style>
  <w:style w:type="character" w:styleId="WW8Num167z0">
    <w:name w:val="WW8Num167z0"/>
    <w:qFormat/>
    <w:rPr>
      <w:rFonts w:ascii="Symbol" w:hAnsi="Symbol" w:cs="Symbol"/>
      <w:sz w:val="16"/>
    </w:rPr>
  </w:style>
  <w:style w:type="character" w:styleId="WW8Num169z0">
    <w:name w:val="WW8Num169z0"/>
    <w:qFormat/>
    <w:rPr>
      <w:rFonts w:ascii="Symbol" w:hAnsi="Symbol" w:cs="Symbol"/>
      <w:sz w:val="16"/>
    </w:rPr>
  </w:style>
  <w:style w:type="character" w:styleId="WW8Num170z0">
    <w:name w:val="WW8Num170z0"/>
    <w:qFormat/>
    <w:rPr>
      <w:rFonts w:ascii="Symbol" w:hAnsi="Symbol" w:cs="Symbol"/>
    </w:rPr>
  </w:style>
  <w:style w:type="character" w:styleId="WW8Num171z0">
    <w:name w:val="WW8Num171z0"/>
    <w:qFormat/>
    <w:rPr>
      <w:rFonts w:ascii="Symbol" w:hAnsi="Symbol" w:cs="Symbol"/>
      <w:sz w:val="16"/>
    </w:rPr>
  </w:style>
  <w:style w:type="character" w:styleId="WW8Num172z0">
    <w:name w:val="WW8Num172z0"/>
    <w:qFormat/>
    <w:rPr>
      <w:rFonts w:ascii="Symbol" w:hAnsi="Symbol" w:cs="Symbol"/>
    </w:rPr>
  </w:style>
  <w:style w:type="character" w:styleId="WW8Num173z0">
    <w:name w:val="WW8Num173z0"/>
    <w:qFormat/>
    <w:rPr>
      <w:rFonts w:ascii="Symbol" w:hAnsi="Symbol" w:cs="Symbol"/>
      <w:sz w:val="16"/>
    </w:rPr>
  </w:style>
  <w:style w:type="character" w:styleId="WW8Num174z0">
    <w:name w:val="WW8Num174z0"/>
    <w:qFormat/>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sz w:val="16"/>
    </w:rPr>
  </w:style>
  <w:style w:type="character" w:styleId="WW8Num178z0">
    <w:name w:val="WW8Num178z0"/>
    <w:qFormat/>
    <w:rPr>
      <w:rFonts w:ascii="Symbol" w:hAnsi="Symbol" w:cs="Symbol"/>
      <w:sz w:val="16"/>
    </w:rPr>
  </w:style>
  <w:style w:type="character" w:styleId="WW8Num179z0">
    <w:name w:val="WW8Num179z0"/>
    <w:qFormat/>
    <w:rPr>
      <w:rFonts w:ascii="Symbol" w:hAnsi="Symbol" w:cs="Symbol"/>
      <w:sz w:val="16"/>
    </w:rPr>
  </w:style>
  <w:style w:type="character" w:styleId="WW8Num180z0">
    <w:name w:val="WW8Num180z0"/>
    <w:qFormat/>
    <w:rPr>
      <w:rFonts w:ascii="Symbol" w:hAnsi="Symbol" w:cs="Symbol"/>
      <w:sz w:val="16"/>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2z1">
    <w:name w:val="WW8Num182z1"/>
    <w:qFormat/>
    <w:rPr>
      <w:rFonts w:ascii="Courier New" w:hAnsi="Courier New" w:cs="Courier New"/>
    </w:rPr>
  </w:style>
  <w:style w:type="character" w:styleId="WW8Num182z2">
    <w:name w:val="WW8Num182z2"/>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sz w:val="16"/>
    </w:rPr>
  </w:style>
  <w:style w:type="character" w:styleId="WW8Num190z0">
    <w:name w:val="WW8Num190z0"/>
    <w:qFormat/>
    <w:rPr>
      <w:rFonts w:ascii="Symbol" w:hAnsi="Symbol" w:cs="Symbol"/>
      <w:sz w:val="16"/>
    </w:rPr>
  </w:style>
  <w:style w:type="character" w:styleId="WW8Num191z0">
    <w:name w:val="WW8Num191z0"/>
    <w:qFormat/>
    <w:rPr>
      <w:rFonts w:ascii="Symbol" w:hAnsi="Symbol" w:cs="Symbol"/>
      <w:sz w:val="16"/>
    </w:rPr>
  </w:style>
  <w:style w:type="character" w:styleId="WW8Num192z0">
    <w:name w:val="WW8Num192z0"/>
    <w:qFormat/>
    <w:rPr>
      <w:rFonts w:ascii="Symbol" w:hAnsi="Symbol" w:cs="Symbol"/>
      <w:sz w:val="16"/>
    </w:rPr>
  </w:style>
  <w:style w:type="character" w:styleId="WW8Num193z0">
    <w:name w:val="WW8Num193z0"/>
    <w:qFormat/>
    <w:rPr>
      <w:rFonts w:ascii="Times New Roman" w:hAnsi="Times New Roman" w:cs="Times New Roman"/>
    </w:rPr>
  </w:style>
  <w:style w:type="character" w:styleId="WW8Num194z0">
    <w:name w:val="WW8Num194z0"/>
    <w:qFormat/>
    <w:rPr>
      <w:rFonts w:ascii="Symbol" w:hAnsi="Symbol" w:cs="Symbol"/>
    </w:rPr>
  </w:style>
  <w:style w:type="character" w:styleId="WW8Num195z0">
    <w:name w:val="WW8Num195z0"/>
    <w:qFormat/>
    <w:rPr>
      <w:rFonts w:ascii="Symbol" w:hAnsi="Symbol" w:cs="Symbol"/>
      <w:sz w:val="16"/>
    </w:rPr>
  </w:style>
  <w:style w:type="character" w:styleId="WW8Num196z0">
    <w:name w:val="WW8Num196z0"/>
    <w:qFormat/>
    <w:rPr>
      <w:rFonts w:ascii="Symbol" w:hAnsi="Symbol" w:cs="Symbol"/>
    </w:rPr>
  </w:style>
  <w:style w:type="character" w:styleId="WW8Num197z0">
    <w:name w:val="WW8Num197z0"/>
    <w:qFormat/>
    <w:rPr>
      <w:rFonts w:ascii="Symbol" w:hAnsi="Symbol" w:cs="Symbol"/>
      <w:sz w:val="16"/>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3z0">
    <w:name w:val="WW8Num203z0"/>
    <w:qFormat/>
    <w:rPr>
      <w:rFonts w:ascii="Symbol" w:hAnsi="Symbol" w:cs="Symbol"/>
      <w:sz w:val="16"/>
    </w:rPr>
  </w:style>
  <w:style w:type="character" w:styleId="WW8Num205z0">
    <w:name w:val="WW8Num205z0"/>
    <w:qFormat/>
    <w:rPr/>
  </w:style>
  <w:style w:type="character" w:styleId="WW8Num206z0">
    <w:name w:val="WW8Num206z0"/>
    <w:qFormat/>
    <w:rPr>
      <w:rFonts w:ascii="Symbol" w:hAnsi="Symbol" w:cs="Symbol"/>
      <w:sz w:val="16"/>
    </w:rPr>
  </w:style>
  <w:style w:type="character" w:styleId="WW8Num207z0">
    <w:name w:val="WW8Num207z0"/>
    <w:qFormat/>
    <w:rPr>
      <w:rFonts w:ascii="Symbol" w:hAnsi="Symbol" w:cs="Symbol"/>
    </w:rPr>
  </w:style>
  <w:style w:type="character" w:styleId="WW8Num208z0">
    <w:name w:val="WW8Num208z0"/>
    <w:qFormat/>
    <w:rPr>
      <w:rFonts w:ascii="Symbol" w:hAnsi="Symbol" w:cs="Symbol"/>
      <w:sz w:val="16"/>
    </w:rPr>
  </w:style>
  <w:style w:type="character" w:styleId="WW8Num209z0">
    <w:name w:val="WW8Num209z0"/>
    <w:qFormat/>
    <w:rPr>
      <w:rFonts w:ascii="Symbol" w:hAnsi="Symbol" w:cs="Symbol"/>
    </w:rPr>
  </w:style>
  <w:style w:type="character" w:styleId="WW8Num210z0">
    <w:name w:val="WW8Num210z0"/>
    <w:qFormat/>
    <w:rPr/>
  </w:style>
  <w:style w:type="character" w:styleId="WW8Num212z0">
    <w:name w:val="WW8Num212z0"/>
    <w:qFormat/>
    <w:rPr>
      <w:rFonts w:ascii="Symbol" w:hAnsi="Symbol" w:cs="Symbol"/>
      <w:sz w:val="16"/>
    </w:rPr>
  </w:style>
  <w:style w:type="character" w:styleId="WW8Num213z0">
    <w:name w:val="WW8Num213z0"/>
    <w:qFormat/>
    <w:rPr>
      <w:rFonts w:ascii="Symbol" w:hAnsi="Symbol" w:cs="Symbol"/>
      <w:sz w:val="16"/>
    </w:rPr>
  </w:style>
  <w:style w:type="character" w:styleId="WW8NumSt2z0">
    <w:name w:val="WW8NumSt2z0"/>
    <w:qFormat/>
    <w:rPr>
      <w:rFonts w:ascii="Arial" w:hAnsi="Arial" w:cs="Arial"/>
      <w:sz w:val="32"/>
    </w:rPr>
  </w:style>
  <w:style w:type="character" w:styleId="WW8NumSt3z0">
    <w:name w:val="WW8NumSt3z0"/>
    <w:qFormat/>
    <w:rPr>
      <w:rFonts w:ascii="Arial" w:hAnsi="Arial" w:cs="Arial"/>
      <w:sz w:val="32"/>
    </w:rPr>
  </w:style>
  <w:style w:type="character" w:styleId="WW8NumSt5z0">
    <w:name w:val="WW8NumSt5z0"/>
    <w:qFormat/>
    <w:rPr>
      <w:rFonts w:ascii="Arial" w:hAnsi="Arial" w:cs="Arial"/>
      <w:sz w:val="28"/>
    </w:rPr>
  </w:style>
  <w:style w:type="character" w:styleId="WW8NumSt11z0">
    <w:name w:val="WW8NumSt11z0"/>
    <w:qFormat/>
    <w:rPr>
      <w:rFonts w:ascii="Symbol" w:hAnsi="Symbol" w:cs="Symbol"/>
    </w:rPr>
  </w:style>
  <w:style w:type="character" w:styleId="WW8NumSt23z0">
    <w:name w:val="WW8NumSt23z0"/>
    <w:qFormat/>
    <w:rPr>
      <w:rFonts w:ascii="Times New Roman" w:hAnsi="Times New Roman" w:cs="Times New Roman"/>
      <w:sz w:val="64"/>
    </w:rPr>
  </w:style>
  <w:style w:type="character" w:styleId="WW8NumSt24z0">
    <w:name w:val="WW8NumSt24z0"/>
    <w:qFormat/>
    <w:rPr>
      <w:rFonts w:ascii="Times New Roman" w:hAnsi="Times New Roman" w:cs="Times New Roman"/>
      <w:sz w:val="48"/>
    </w:rPr>
  </w:style>
  <w:style w:type="character" w:styleId="WW8NumSt27z0">
    <w:name w:val="WW8NumSt27z0"/>
    <w:qFormat/>
    <w:rPr>
      <w:rFonts w:ascii="Times New Roman" w:hAnsi="Times New Roman" w:cs="Times New Roman"/>
      <w:sz w:val="56"/>
    </w:rPr>
  </w:style>
  <w:style w:type="character" w:styleId="WW8NumSt83z0">
    <w:name w:val="WW8NumSt83z0"/>
    <w:qFormat/>
    <w:rPr>
      <w:rFonts w:ascii="Monotype Sorts" w:hAnsi="Monotype Sorts" w:cs="Monotype Sorts"/>
      <w:sz w:val="30"/>
    </w:rPr>
  </w:style>
  <w:style w:type="character" w:styleId="WW8NumSt85z0">
    <w:name w:val="WW8NumSt85z0"/>
    <w:qFormat/>
    <w:rPr>
      <w:rFonts w:ascii="Arial" w:hAnsi="Arial" w:cs="Arial"/>
      <w:sz w:val="36"/>
    </w:rPr>
  </w:style>
  <w:style w:type="character" w:styleId="WW8NumSt188z0">
    <w:name w:val="WW8NumSt188z0"/>
    <w:qFormat/>
    <w:rPr>
      <w:rFonts w:ascii="Arial" w:hAnsi="Arial" w:cs="Arial"/>
      <w:sz w:val="48"/>
    </w:rPr>
  </w:style>
  <w:style w:type="character" w:styleId="WW8NumSt190z0">
    <w:name w:val="WW8NumSt190z0"/>
    <w:qFormat/>
    <w:rPr>
      <w:rFonts w:ascii="Arial" w:hAnsi="Arial" w:cs="Arial"/>
      <w:sz w:val="4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numPr>
        <w:ilvl w:val="0"/>
        <w:numId w:val="80"/>
      </w:numPr>
      <w:spacing w:before="0" w:after="0"/>
      <w:ind w:hanging="360" w:start="1080" w:end="0"/>
    </w:pPr>
    <w:rPr>
      <w:rFonts w:ascii="Arial" w:hAnsi="Arial" w:cs="Arial"/>
      <w:sz w:val="20"/>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ParaText">
    <w:name w:val="ParaText"/>
    <w:basedOn w:val="Normal"/>
    <w:qFormat/>
    <w:pPr>
      <w:spacing w:lineRule="auto" w:line="300" w:before="0" w:after="240"/>
      <w:jc w:val="both"/>
    </w:pPr>
    <w:rPr>
      <w:rFonts w:ascii="Times New Roman" w:hAnsi="Times New Roman" w:cs="Times New Roman"/>
      <w:sz w:val="20"/>
    </w:rPr>
  </w:style>
  <w:style w:type="paragraph" w:styleId="Style11">
    <w:name w:val="Style1"/>
    <w:basedOn w:val="Normal"/>
    <w:qFormat/>
    <w:pPr/>
    <w:rPr>
      <w:sz w:val="20"/>
    </w:rPr>
  </w:style>
  <w:style w:type="paragraph" w:styleId="1">
    <w:name w:val="1"/>
    <w:basedOn w:val="Normal"/>
    <w:qFormat/>
    <w:pPr>
      <w:numPr>
        <w:ilvl w:val="0"/>
        <w:numId w:val="30"/>
      </w:numPr>
      <w:tabs>
        <w:tab w:val="clear" w:pos="720"/>
        <w:tab w:val="left" w:pos="1800" w:leader="none"/>
        <w:tab w:val="left" w:pos="2160" w:leader="none"/>
        <w:tab w:val="left" w:pos="2520" w:leader="none"/>
        <w:tab w:val="left" w:pos="2880" w:leader="none"/>
      </w:tabs>
      <w:spacing w:lineRule="auto" w:line="300" w:before="0" w:after="240"/>
      <w:jc w:val="both"/>
    </w:pPr>
    <w:rPr>
      <w:rFonts w:ascii="Times New Roman" w:hAnsi="Times New Roman" w:cs="Times New Roman"/>
      <w:sz w:val="20"/>
    </w:rPr>
  </w:style>
  <w:style w:type="paragraph" w:styleId="BodyTextIndent">
    <w:name w:val="Body Text Indent"/>
    <w:basedOn w:val="Normal"/>
    <w:pPr>
      <w:ind w:hanging="0" w:start="-90" w:end="0"/>
      <w:jc w:val="both"/>
    </w:pPr>
    <w:rPr>
      <w:rFonts w:ascii="Arial" w:hAnsi="Arial" w:cs="Arial"/>
      <w:sz w:val="20"/>
    </w:rPr>
  </w:style>
  <w:style w:type="paragraph" w:styleId="Table">
    <w:name w:val="Table"/>
    <w:basedOn w:val="BodyText"/>
    <w:qFormat/>
    <w:pPr>
      <w:spacing w:before="60" w:after="60"/>
    </w:pPr>
    <w:rPr>
      <w:rFonts w:ascii="Arial" w:hAnsi="Arial" w:cs="Arial"/>
      <w:sz w:val="20"/>
    </w:rPr>
  </w:style>
  <w:style w:type="paragraph" w:styleId="BodyText3">
    <w:name w:val="Body Text 3"/>
    <w:basedOn w:val="Normal"/>
    <w:qFormat/>
    <w:pPr/>
    <w:rPr>
      <w:b/>
      <w:sz w:val="20"/>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20" w:end="0"/>
    </w:pPr>
    <w:rPr>
      <w:rFonts w:ascii="Times New Roman" w:hAnsi="Times New Roman" w:cs="Times New Roman"/>
      <w:smallCaps/>
      <w:sz w:val="20"/>
    </w:rPr>
  </w:style>
  <w:style w:type="paragraph" w:styleId="TOC3">
    <w:name w:val="toc 3"/>
    <w:basedOn w:val="Normal"/>
    <w:next w:val="Normal"/>
    <w:pPr>
      <w:ind w:hanging="0" w:start="440" w:end="0"/>
    </w:pPr>
    <w:rPr>
      <w:rFonts w:ascii="Times New Roman" w:hAnsi="Times New Roman" w:cs="Times New Roman"/>
      <w:i/>
      <w:sz w:val="20"/>
    </w:rPr>
  </w:style>
  <w:style w:type="paragraph" w:styleId="TOC4">
    <w:name w:val="toc 4"/>
    <w:basedOn w:val="Normal"/>
    <w:next w:val="Normal"/>
    <w:pPr>
      <w:ind w:hanging="0" w:start="660" w:end="0"/>
    </w:pPr>
    <w:rPr>
      <w:rFonts w:ascii="Times New Roman" w:hAnsi="Times New Roman" w:cs="Times New Roman"/>
      <w:sz w:val="18"/>
    </w:rPr>
  </w:style>
  <w:style w:type="paragraph" w:styleId="TOC5">
    <w:name w:val="toc 5"/>
    <w:basedOn w:val="Normal"/>
    <w:next w:val="Normal"/>
    <w:pPr>
      <w:ind w:hanging="0" w:start="880" w:end="0"/>
    </w:pPr>
    <w:rPr>
      <w:rFonts w:ascii="Times New Roman" w:hAnsi="Times New Roman" w:cs="Times New Roman"/>
      <w:sz w:val="18"/>
    </w:rPr>
  </w:style>
  <w:style w:type="paragraph" w:styleId="TOC6">
    <w:name w:val="toc 6"/>
    <w:basedOn w:val="Normal"/>
    <w:next w:val="Normal"/>
    <w:pPr>
      <w:ind w:hanging="0" w:start="1100" w:end="0"/>
    </w:pPr>
    <w:rPr>
      <w:rFonts w:ascii="Times New Roman" w:hAnsi="Times New Roman" w:cs="Times New Roman"/>
      <w:sz w:val="18"/>
    </w:rPr>
  </w:style>
  <w:style w:type="paragraph" w:styleId="TOC7">
    <w:name w:val="toc 7"/>
    <w:basedOn w:val="Normal"/>
    <w:next w:val="Normal"/>
    <w:pPr>
      <w:ind w:hanging="0" w:start="1320" w:end="0"/>
    </w:pPr>
    <w:rPr>
      <w:rFonts w:ascii="Times New Roman" w:hAnsi="Times New Roman" w:cs="Times New Roman"/>
      <w:sz w:val="18"/>
    </w:rPr>
  </w:style>
  <w:style w:type="paragraph" w:styleId="TOC8">
    <w:name w:val="toc 8"/>
    <w:basedOn w:val="Normal"/>
    <w:next w:val="Normal"/>
    <w:pPr>
      <w:ind w:hanging="0" w:start="1540" w:end="0"/>
    </w:pPr>
    <w:rPr>
      <w:rFonts w:ascii="Times New Roman" w:hAnsi="Times New Roman" w:cs="Times New Roman"/>
      <w:sz w:val="18"/>
    </w:rPr>
  </w:style>
  <w:style w:type="paragraph" w:styleId="TOC9">
    <w:name w:val="toc 9"/>
    <w:basedOn w:val="Normal"/>
    <w:next w:val="Normal"/>
    <w:pPr>
      <w:ind w:hanging="0" w:start="1760" w:end="0"/>
    </w:pPr>
    <w:rPr>
      <w:rFonts w:ascii="Times New Roman" w:hAnsi="Times New Roman" w:cs="Times New Roman"/>
      <w:sz w:val="18"/>
    </w:rPr>
  </w:style>
  <w:style w:type="paragraph" w:styleId="BodyTextIndent2">
    <w:name w:val="Body Text Indent 2"/>
    <w:basedOn w:val="Normal"/>
    <w:qFormat/>
    <w:pPr>
      <w:ind w:hanging="540" w:start="540" w:end="0"/>
    </w:pPr>
    <w:rPr>
      <w:color w:val="000000"/>
      <w:sz w:val="18"/>
    </w:rPr>
  </w:style>
  <w:style w:type="paragraph" w:styleId="BodyTextIndent3">
    <w:name w:val="Body Text Indent 3"/>
    <w:basedOn w:val="Normal"/>
    <w:qFormat/>
    <w:pPr>
      <w:ind w:hanging="540" w:start="540" w:end="0"/>
    </w:pPr>
    <w:rPr>
      <w:i/>
      <w:color w:val="000000"/>
      <w:sz w:val="18"/>
    </w:rPr>
  </w:style>
  <w:style w:type="paragraph" w:styleId="BodyText2">
    <w:name w:val="Body Text 2"/>
    <w:basedOn w:val="Normal"/>
    <w:qFormat/>
    <w:pPr/>
    <w:rPr>
      <w:i/>
      <w:color w:val="000000"/>
      <w:sz w:val="18"/>
    </w:rPr>
  </w:style>
  <w:style w:type="paragraph" w:styleId="05textparagraph">
    <w:name w:val="05 text paragraph"/>
    <w:basedOn w:val="Normal"/>
    <w:qFormat/>
    <w:pPr>
      <w:spacing w:before="0" w:after="120"/>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11terms">
    <w:name w:val="11 terms"/>
    <w:basedOn w:val="Normal"/>
    <w:qFormat/>
    <w:pPr>
      <w:spacing w:before="240" w:after="0"/>
      <w:ind w:hanging="0" w:start="720" w:end="0"/>
    </w:pPr>
    <w:rPr>
      <w:rFonts w:ascii="Times New Roman" w:hAnsi="Times New Roman" w:cs="Times New Roman"/>
      <w:b/>
      <w:sz w:val="24"/>
    </w:rPr>
  </w:style>
  <w:style w:type="paragraph" w:styleId="12termdef">
    <w:name w:val="12 term def"/>
    <w:basedOn w:val="11terms"/>
    <w:qFormat/>
    <w:pPr>
      <w:spacing w:before="0" w:after="0"/>
    </w:pPr>
    <w:rPr>
      <w:b w:val="false"/>
    </w:rPr>
  </w:style>
  <w:style w:type="paragraph" w:styleId="13termslevel2">
    <w:name w:val="13 terms level 2"/>
    <w:basedOn w:val="Normal"/>
    <w:qFormat/>
    <w:pPr>
      <w:ind w:hanging="0" w:start="1440" w:end="0"/>
    </w:pPr>
    <w:rPr>
      <w:rFonts w:ascii="Times New Roman" w:hAnsi="Times New Roman" w:cs="Times New Roman"/>
      <w:b/>
      <w:sz w:val="24"/>
    </w:rPr>
  </w:style>
  <w:style w:type="paragraph" w:styleId="14termdeflevel2">
    <w:name w:val="14 term def level 2"/>
    <w:basedOn w:val="13termslevel2"/>
    <w:qFormat/>
    <w:pPr/>
    <w:rPr>
      <w:b w:val="false"/>
    </w:rPr>
  </w:style>
  <w:style w:type="paragraph" w:styleId="06notes">
    <w:name w:val="06 notes"/>
    <w:basedOn w:val="Normal"/>
    <w:qFormat/>
    <w:pPr>
      <w:pBdr>
        <w:top w:val="single" w:sz="4" w:space="1" w:color="000000"/>
        <w:left w:val="single" w:sz="4" w:space="4" w:color="000000"/>
        <w:bottom w:val="single" w:sz="4" w:space="1" w:color="000000"/>
        <w:right w:val="single" w:sz="4" w:space="4" w:color="000000"/>
      </w:pBdr>
      <w:shd w:fill="FFFFFF" w:val="clear"/>
      <w:spacing w:before="120" w:after="120"/>
      <w:ind w:hanging="0" w:start="720" w:end="720"/>
    </w:pPr>
    <w:rPr>
      <w:rFonts w:ascii="Times New Roman" w:hAnsi="Times New Roman" w:cs="Times New Roman"/>
      <w:sz w:val="24"/>
    </w:rPr>
  </w:style>
  <w:style w:type="paragraph" w:styleId="15acronyms">
    <w:name w:val="15 acronyms"/>
    <w:basedOn w:val="Normal"/>
    <w:qFormat/>
    <w:pPr>
      <w:tabs>
        <w:tab w:val="clear" w:pos="720"/>
        <w:tab w:val="left" w:pos="2160" w:leader="none"/>
      </w:tabs>
      <w:ind w:hanging="0" w:start="720" w:end="0"/>
    </w:pPr>
    <w:rPr>
      <w:rFonts w:ascii="Times New Roman" w:hAnsi="Times New Roman" w:cs="Times New Roman"/>
      <w:sz w:val="24"/>
    </w:rPr>
  </w:style>
  <w:style w:type="paragraph" w:styleId="NormalWeb">
    <w:name w:val="Normal (Web)"/>
    <w:basedOn w:val="Normal"/>
    <w:qFormat/>
    <w:pPr>
      <w:spacing w:before="100" w:after="100"/>
    </w:pPr>
    <w:rPr>
      <w:rFonts w:ascii="Times New Roman" w:hAnsi="Times New Roman" w:cs="Times New Roman"/>
      <w:color w:val="000000"/>
      <w:sz w:val="24"/>
    </w:rPr>
  </w:style>
  <w:style w:type="paragraph" w:styleId="ABLOCKPARA">
    <w:name w:val="A BLOCK PARA"/>
    <w:basedOn w:val="Normal"/>
    <w:qFormat/>
    <w:pPr/>
    <w:rPr/>
  </w:style>
  <w:style w:type="paragraph" w:styleId="FootnoteText">
    <w:name w:val="footnote text"/>
    <w:basedOn w:val="Normal"/>
    <w:pPr/>
    <w:rPr>
      <w:sz w:val="20"/>
    </w:rPr>
  </w:style>
  <w:style w:type="paragraph" w:styleId="Index1">
    <w:name w:val="index 1"/>
    <w:basedOn w:val="Normal"/>
    <w:next w:val="Normal"/>
    <w:pPr>
      <w:tabs>
        <w:tab w:val="clear" w:pos="720"/>
        <w:tab w:val="right" w:pos="2726" w:leader="dot"/>
      </w:tabs>
      <w:ind w:hanging="220" w:start="220" w:end="0"/>
    </w:pPr>
    <w:rPr>
      <w:lang w:val="en-CA" w:eastAsia="en-CA"/>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style>
  <w:style w:type="paragraph" w:styleId="TermTitle">
    <w:name w:val="Term Title"/>
    <w:basedOn w:val="Normal"/>
    <w:qFormat/>
    <w:pPr>
      <w:spacing w:before="120" w:after="0"/>
      <w:ind w:hanging="0" w:start="720" w:end="0"/>
    </w:pPr>
    <w:rPr>
      <w:rFonts w:ascii="Times New Roman" w:hAnsi="Times New Roman" w:cs="Times New Roman"/>
      <w:b/>
      <w:sz w:val="24"/>
    </w:rPr>
  </w:style>
  <w:style w:type="paragraph" w:styleId="TermDefinition">
    <w:name w:val="Term Definition"/>
    <w:basedOn w:val="TermTitle"/>
    <w:qFormat/>
    <w:pPr>
      <w:spacing w:before="0" w:after="60"/>
    </w:pPr>
    <w:rPr>
      <w:b w:val="false"/>
    </w:rPr>
  </w:style>
  <w:style w:type="paragraph" w:styleId="TermList">
    <w:name w:val="Term List"/>
    <w:basedOn w:val="Normal"/>
    <w:qFormat/>
    <w:pPr>
      <w:numPr>
        <w:ilvl w:val="0"/>
        <w:numId w:val="21"/>
      </w:numPr>
      <w:spacing w:before="0" w:after="120"/>
    </w:pPr>
    <w:rPr>
      <w:rFonts w:ascii="Times New Roman" w:hAnsi="Times New Roman" w:cs="Times New Roman"/>
      <w:sz w:val="24"/>
    </w:rPr>
  </w:style>
  <w:style w:type="paragraph" w:styleId="Subterm">
    <w:name w:val="Subterm"/>
    <w:basedOn w:val="Normal"/>
    <w:qFormat/>
    <w:pPr>
      <w:ind w:hanging="0" w:start="1440" w:end="0"/>
    </w:pPr>
    <w:rPr>
      <w:rFonts w:ascii="Times New Roman" w:hAnsi="Times New Roman" w:cs="Times New Roman"/>
      <w:b/>
      <w:sz w:val="24"/>
    </w:rPr>
  </w:style>
  <w:style w:type="paragraph" w:styleId="SubtermDefinition">
    <w:name w:val="Subterm Definition"/>
    <w:basedOn w:val="Subterm"/>
    <w:qFormat/>
    <w:pPr>
      <w:spacing w:before="0" w:after="120"/>
    </w:pPr>
    <w:rPr>
      <w:b w:val="false"/>
    </w:rPr>
  </w:style>
  <w:style w:type="paragraph" w:styleId="Alphabet">
    <w:name w:val="Alphabet"/>
    <w:basedOn w:val="Heading1"/>
    <w:qFormat/>
    <w:pPr>
      <w:spacing w:before="0" w:after="240"/>
    </w:pPr>
    <w:rPr>
      <w:rFonts w:ascii="Times New Roman" w:hAnsi="Times New Roman" w:cs="Times New Roman"/>
      <w:caps/>
      <w:kern w:val="0"/>
      <w:sz w:val="36"/>
    </w:rPr>
  </w:style>
  <w:style w:type="paragraph" w:styleId="Acronym">
    <w:name w:val="Acronym"/>
    <w:basedOn w:val="Normal"/>
    <w:qFormat/>
    <w:pPr>
      <w:tabs>
        <w:tab w:val="clear" w:pos="720"/>
        <w:tab w:val="left" w:pos="2160" w:leader="none"/>
      </w:tabs>
      <w:ind w:hanging="0" w:start="720" w:end="0"/>
    </w:pPr>
    <w:rPr>
      <w:rFonts w:ascii="Times New Roman" w:hAnsi="Times New Roman" w:cs="Times New Roman"/>
      <w:sz w:val="24"/>
    </w:rPr>
  </w:style>
  <w:style w:type="paragraph" w:styleId="BlockText">
    <w:name w:val="Block Text"/>
    <w:basedOn w:val="Normal"/>
    <w:qFormat/>
    <w:pPr>
      <w:spacing w:before="0" w:after="120"/>
      <w:ind w:hanging="0" w:start="1440" w:end="1440"/>
    </w:pPr>
    <w:rPr/>
  </w:style>
  <w:style w:type="paragraph" w:styleId="BodyTextFirstIndent">
    <w:name w:val="Body Text First Indent"/>
    <w:basedOn w:val="BodyText"/>
    <w:qFormat/>
    <w:pPr>
      <w:ind w:firstLine="210" w:start="0" w:end="0"/>
    </w:pPr>
    <w:rPr/>
  </w:style>
  <w:style w:type="paragraph" w:styleId="BodyTextFirstIndent2">
    <w:name w:val="Body Text First Indent 2"/>
    <w:basedOn w:val="BodyTextIndent"/>
    <w:qFormat/>
    <w:pPr>
      <w:spacing w:before="0" w:after="120"/>
      <w:ind w:firstLine="210" w:start="283" w:end="0"/>
      <w:jc w:val="start"/>
    </w:pPr>
    <w:rPr>
      <w:rFonts w:ascii="Book Antiqua" w:hAnsi="Book Antiqua" w:cs="Book Antiqua"/>
      <w:sz w:val="22"/>
    </w:rPr>
  </w:style>
  <w:style w:type="paragraph" w:styleId="Closing">
    <w:name w:val="Closing"/>
    <w:basedOn w:val="Normal"/>
    <w:qFormat/>
    <w:pPr>
      <w:ind w:hanging="0" w:start="4252"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ListBullet2">
    <w:name w:val="List Bullet 2"/>
    <w:basedOn w:val="Normal"/>
    <w:pPr>
      <w:ind w:hanging="283" w:start="566" w:end="0"/>
    </w:pPr>
    <w:rPr/>
  </w:style>
  <w:style w:type="paragraph" w:styleId="ListBullet3">
    <w:name w:val="List Bullet 3"/>
    <w:basedOn w:val="Normal"/>
    <w:pPr>
      <w:ind w:hanging="283" w:start="849" w:end="0"/>
    </w:pPr>
    <w:rPr/>
  </w:style>
  <w:style w:type="paragraph" w:styleId="ListBullet4">
    <w:name w:val="List Bullet 4"/>
    <w:basedOn w:val="Normal"/>
    <w:pPr>
      <w:ind w:hanging="283" w:start="1132" w:end="0"/>
    </w:pPr>
    <w:rPr/>
  </w:style>
  <w:style w:type="paragraph" w:styleId="ListBullet5">
    <w:name w:val="List Bullet 5"/>
    <w:basedOn w:val="Normal"/>
    <w:pPr>
      <w:ind w:hanging="283" w:start="1415"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283" w:end="0"/>
    </w:pPr>
    <w:rPr/>
  </w:style>
  <w:style w:type="paragraph" w:styleId="ListContinue2">
    <w:name w:val="List Continue 2"/>
    <w:basedOn w:val="Normal"/>
    <w:qFormat/>
    <w:pPr>
      <w:spacing w:before="0" w:after="120"/>
      <w:ind w:hanging="0" w:start="566" w:end="0"/>
    </w:pPr>
    <w:rPr/>
  </w:style>
  <w:style w:type="paragraph" w:styleId="ListContinue3">
    <w:name w:val="List Continue 3"/>
    <w:basedOn w:val="Normal"/>
    <w:qFormat/>
    <w:pPr>
      <w:spacing w:before="0" w:after="120"/>
      <w:ind w:hanging="0" w:start="849" w:end="0"/>
    </w:pPr>
    <w:rPr/>
  </w:style>
  <w:style w:type="paragraph" w:styleId="ListContinue4">
    <w:name w:val="List Continue 4"/>
    <w:basedOn w:val="Normal"/>
    <w:qFormat/>
    <w:pPr>
      <w:spacing w:before="0" w:after="120"/>
      <w:ind w:hanging="0" w:start="1132" w:end="0"/>
    </w:pPr>
    <w:rPr/>
  </w:style>
  <w:style w:type="paragraph" w:styleId="ListContinue5">
    <w:name w:val="List Continue 5"/>
    <w:basedOn w:val="Normal"/>
    <w:qFormat/>
    <w:pPr>
      <w:spacing w:before="0" w:after="120"/>
      <w:ind w:hanging="0" w:start="1415"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start="1134"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252"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20" w:start="220" w:end="0"/>
    </w:pPr>
    <w:rPr/>
  </w:style>
  <w:style w:type="paragraph" w:styleId="TableofFigures">
    <w:name w:val="Table of Figures"/>
    <w:basedOn w:val="Normal"/>
    <w:next w:val="Normal"/>
    <w:qFormat/>
    <w:pPr>
      <w:ind w:hanging="440" w:start="440" w:end="0"/>
    </w:pPr>
    <w:rPr/>
  </w:style>
  <w:style w:type="paragraph" w:styleId="TOAHeading">
    <w:name w:val="TOA Heading"/>
    <w:basedOn w:val="Normal"/>
    <w:next w:val="Normal"/>
    <w:qFormat/>
    <w:pPr>
      <w:spacing w:before="120" w:after="0"/>
    </w:pPr>
    <w:rPr>
      <w:rFonts w:ascii="Arial" w:hAnsi="Arial" w:cs="Arial"/>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www.TexasChoiceProgram.com/" TargetMode="External"/><Relationship Id="rId10" Type="http://schemas.openxmlformats.org/officeDocument/2006/relationships/image" Target="media/image2.wmf"/><Relationship Id="rId11" Type="http://schemas.openxmlformats.org/officeDocument/2006/relationships/image" Target="media/image3.wmf"/><Relationship Id="rId12" Type="http://schemas.openxmlformats.org/officeDocument/2006/relationships/hyperlink" Target="http://www.texaschoiceprogram.com/" TargetMode="External"/><Relationship Id="rId13" Type="http://schemas.openxmlformats.org/officeDocument/2006/relationships/image" Target="media/image4.wmf"/><Relationship Id="rId14" Type="http://schemas.openxmlformats.org/officeDocument/2006/relationships/image" Target="media/image5.wmf"/><Relationship Id="rId15" Type="http://schemas.openxmlformats.org/officeDocument/2006/relationships/image" Target="media/image6.wmf"/><Relationship Id="rId16" Type="http://schemas.openxmlformats.org/officeDocument/2006/relationships/image" Target="media/image7.wmf"/><Relationship Id="rId17" Type="http://schemas.openxmlformats.org/officeDocument/2006/relationships/image" Target="media/image7.wmf"/><Relationship Id="rId18" Type="http://schemas.openxmlformats.org/officeDocument/2006/relationships/image" Target="media/image8.wmf"/><Relationship Id="rId19" Type="http://schemas.openxmlformats.org/officeDocument/2006/relationships/image" Target="media/image9.wmf"/><Relationship Id="rId20" Type="http://schemas.openxmlformats.org/officeDocument/2006/relationships/image" Target="media/image9.wmf"/><Relationship Id="rId21" Type="http://schemas.openxmlformats.org/officeDocument/2006/relationships/image" Target="media/image10.wmf"/><Relationship Id="rId22" Type="http://schemas.openxmlformats.org/officeDocument/2006/relationships/image" Target="media/image10.wmf"/><Relationship Id="rId23" Type="http://schemas.openxmlformats.org/officeDocument/2006/relationships/image" Target="media/image9.wmf"/><Relationship Id="rId24" Type="http://schemas.openxmlformats.org/officeDocument/2006/relationships/image" Target="media/image9.wmf"/><Relationship Id="rId25" Type="http://schemas.openxmlformats.org/officeDocument/2006/relationships/image" Target="media/image7.wmf"/><Relationship Id="rId26" Type="http://schemas.openxmlformats.org/officeDocument/2006/relationships/image" Target="media/image7.wmf"/><Relationship Id="rId27" Type="http://schemas.openxmlformats.org/officeDocument/2006/relationships/image" Target="media/image11.wmf"/><Relationship Id="rId28" Type="http://schemas.openxmlformats.org/officeDocument/2006/relationships/image" Target="media/image12.wmf"/><Relationship Id="rId29" Type="http://schemas.openxmlformats.org/officeDocument/2006/relationships/image" Target="media/image13.wmf"/><Relationship Id="rId30" Type="http://schemas.openxmlformats.org/officeDocument/2006/relationships/image" Target="media/image14.wmf"/><Relationship Id="rId31" Type="http://schemas.openxmlformats.org/officeDocument/2006/relationships/image" Target="media/image7.wmf"/><Relationship Id="rId32" Type="http://schemas.openxmlformats.org/officeDocument/2006/relationships/image" Target="media/image7.wmf"/><Relationship Id="rId33" Type="http://schemas.openxmlformats.org/officeDocument/2006/relationships/image" Target="media/image15.wmf"/><Relationship Id="rId34" Type="http://schemas.openxmlformats.org/officeDocument/2006/relationships/image" Target="media/image16.wmf"/><Relationship Id="rId35" Type="http://schemas.openxmlformats.org/officeDocument/2006/relationships/image" Target="media/image17.wmf"/><Relationship Id="rId36" Type="http://schemas.openxmlformats.org/officeDocument/2006/relationships/image" Target="media/image18.wmf"/><Relationship Id="rId37" Type="http://schemas.openxmlformats.org/officeDocument/2006/relationships/hyperlink" Target="http://www.TexasChoiceProgram.com/" TargetMode="External"/><Relationship Id="rId38" Type="http://schemas.openxmlformats.org/officeDocument/2006/relationships/hyperlink" Target="http://www.TexasChoiceProgram.com/" TargetMode="External"/><Relationship Id="rId39" Type="http://schemas.openxmlformats.org/officeDocument/2006/relationships/hyperlink" Target="http://www.TexasChoiceProgram.com/" TargetMode="External"/><Relationship Id="rId40" Type="http://schemas.openxmlformats.org/officeDocument/2006/relationships/header" Target="header4.xml"/><Relationship Id="rId41" Type="http://schemas.openxmlformats.org/officeDocument/2006/relationships/header" Target="header5.xml"/><Relationship Id="rId42" Type="http://schemas.openxmlformats.org/officeDocument/2006/relationships/footer" Target="footer4.xml"/><Relationship Id="rId43" Type="http://schemas.openxmlformats.org/officeDocument/2006/relationships/footer" Target="footer5.xml"/><Relationship Id="rId44" Type="http://schemas.openxmlformats.org/officeDocument/2006/relationships/footnotes" Target="footnotes.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TexasChoiceProgram.com/" TargetMode="External"/>
</Relationships>
</file>

<file path=word/_rels/header4.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2001-03-02T19:51:00Z</dcterms:created>
  <dc:creator>Baljit Salh</dc:creator>
  <dc:description/>
  <dc:language>en-CA</dc:language>
  <cp:lastModifiedBy>Christopher Ahn</cp:lastModifiedBy>
  <cp:lastPrinted>2001-01-24T09:21:00Z</cp:lastPrinted>
  <dcterms:modified xsi:type="dcterms:W3CDTF">2001-03-02T19:51:00Z</dcterms:modified>
  <cp:revision>2</cp:revision>
  <dc:subject/>
  <dc:title/>
</cp:coreProperties>
</file>