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740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Retail Issues 10/25/01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41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7"/>
        <w:gridCol w:w="5491"/>
        <w:gridCol w:w="3780"/>
        <w:gridCol w:w="2880"/>
        <w:gridCol w:w="1260"/>
      </w:tblGrid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Issue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Description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Supporting Docs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Reference #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Status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#1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>Change Controls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All change controls approved for the next release, to be included in Version 1.5 release/ERCOT Phase 3 release as follows.  10 have been approved, 3 impact ERCOT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CC#155*, 170, 175, 179*, 189, 164, 174, 178*, 188, 198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* impact ERCOT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#2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 xml:space="preserve">MIMO Issues </w:t>
            </w:r>
            <w:r>
              <w:rPr>
                <w:rFonts w:cs="Arial" w:ascii="Arial" w:hAnsi="Arial"/>
                <w:b/>
                <w:bCs/>
                <w:sz w:val="20"/>
              </w:rPr>
              <w:t xml:space="preserve">- </w:t>
            </w:r>
            <w:r>
              <w:rPr>
                <w:rFonts w:cs="Arial" w:ascii="Arial" w:hAnsi="Arial"/>
                <w:sz w:val="20"/>
              </w:rPr>
              <w:t>PRIORITY ISSUE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Long-term solutions for stacked move-ins, and move-ins/move-outs with date changes. 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SCR drafted for stacked MIs - - final re-work in progress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SCR drafted for date change - - final re-work in progress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PRR 263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0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RMS Issues List (High Priority/High Impact) Issue #9 – SET CC #158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Priority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#3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 xml:space="preserve">Notification Transaction (814_28/29)  </w:t>
            </w:r>
            <w:r>
              <w:rPr>
                <w:rFonts w:cs="Arial" w:ascii="Arial" w:hAnsi="Arial"/>
                <w:b/>
                <w:bCs/>
                <w:sz w:val="20"/>
              </w:rPr>
              <w:t xml:space="preserve">(ERCOT presentation 10/19) - </w:t>
            </w:r>
            <w:r>
              <w:rPr>
                <w:rFonts w:cs="Arial" w:ascii="Arial" w:hAnsi="Arial"/>
                <w:sz w:val="20"/>
              </w:rPr>
              <w:t>PRIORITY ISSUE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Long term solutions for the automation of the notification of Permit or Unexecutable.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Included in the budget, ERCOT presentation 10/19/01 – is a SCR required?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SCR submitted – needs review?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PRR 258, PRR 259, 260, PRR 261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RMS Issues List (High Priority/High Impact) Issue #1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RMS Issues List (High Priority/High Impact) Issue #5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RMS Issues List (High Priority/High Impact) Issue #6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Priority 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#4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 xml:space="preserve">CR cancel of Switch </w:t>
            </w:r>
            <w:r>
              <w:rPr>
                <w:rFonts w:cs="Arial" w:ascii="Arial" w:hAnsi="Arial"/>
                <w:b/>
                <w:bCs/>
                <w:sz w:val="20"/>
              </w:rPr>
              <w:t xml:space="preserve">- </w:t>
            </w:r>
            <w:r>
              <w:rPr>
                <w:rFonts w:cs="Arial" w:ascii="Arial" w:hAnsi="Arial"/>
                <w:sz w:val="20"/>
              </w:rPr>
              <w:t>PRIORITY ISSUE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 solution that will allow the CRs to cancel switches that they submitted.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Need new SCR – issue for proposal is complete (Odle)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Emergency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#5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 xml:space="preserve">POLR Historical Usage 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The ability to provide the POLR with historically usage at the time that the premise is dropped to the POLR. 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Included in the budget, ERCOT presentation 10/19/01 – is a SCR required?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PIP #101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#6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>Temporary Pole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A method to identify premises that were established for temporary service (i.e. Temporary saw poles).  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Requires a change control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#7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>Ad-hoc Usage Request Process flow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Change the timing of the generation of the 814_27 response.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Requires a SCR – some documentation already drafted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#8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>TDSP date change response/change requested date</w:t>
            </w:r>
          </w:p>
          <w:p>
            <w:pPr>
              <w:pStyle w:val="BodyText"/>
              <w:rPr/>
            </w:pPr>
            <w:r>
              <w:rPr/>
              <w:t>The 814_13 will need a new segment to identify that the TDSP is responding to a date change request with a different date than requested.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Requires a SCR – change requires a new date segment (DTM)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 w:end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SET Issue #12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#9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>Customer Information Segments</w:t>
            </w:r>
          </w:p>
          <w:p>
            <w:pPr>
              <w:pStyle w:val="BodyText"/>
              <w:rPr/>
            </w:pPr>
            <w:r>
              <w:rPr/>
              <w:t>Capture the customer name information from the 814_01 and 814_16 and pass the same on to the TDSPs via the 814_03.</w:t>
            </w:r>
          </w:p>
          <w:p>
            <w:pPr>
              <w:pStyle w:val="Normal"/>
              <w:tabs>
                <w:tab w:val="clear" w:pos="720"/>
                <w:tab w:val="left" w:pos="1000" w:leader="none"/>
              </w:tabs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>Change Control (examples), SCR for ERCOT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  <w:t xml:space="preserve">814_PC/PD change to permanent Customer Maintenance transactions 814_30/31 or part of 814_28/29 </w:t>
            </w:r>
          </w:p>
          <w:p>
            <w:pPr>
              <w:pStyle w:val="Normal"/>
              <w:tabs>
                <w:tab w:val="clear" w:pos="720"/>
                <w:tab w:val="left" w:pos="252" w:leader="none"/>
              </w:tabs>
              <w:ind w:hanging="252" w:start="252" w:end="0"/>
              <w:rPr>
                <w:rFonts w:ascii="Arial" w:hAnsi="Arial" w:cs="Arial"/>
                <w:i/>
                <w:i/>
                <w:iCs/>
                <w:sz w:val="20"/>
              </w:rPr>
            </w:pPr>
            <w:r>
              <w:rPr>
                <w:rFonts w:cs="Arial" w:ascii="Arial" w:hAnsi="Arial"/>
                <w:i/>
                <w:iCs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TX SET #30, CC# 2000-22 (Low Priority, High Impact)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#10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cs="Arial" w:ascii="Arial" w:hAnsi="Arial"/>
                <w:b/>
                <w:bCs/>
                <w:sz w:val="20"/>
                <w:u w:val="single"/>
              </w:rPr>
              <w:t>Premise Info Rejects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ERCOT forward to the CR, the 814_04 Premise Info Reject (by the TDSP)</w:t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Emergency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#11</w:t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54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  <w:t>Included in September 1 published protocols: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PRR 262 - CSA CR Continuity of Service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PRR 266 - Concurrent Processing </w:t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  <w:t>Effective Jan 2002 – already approved: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PRR 263 – Update Move-in Reject reasons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PRR 264 – Move-In Without Meter Installed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PRR 265 – Priority Move-In</w:t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  <w:t>Effective June 2002 – pending final approval 10/16: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PRR 258 – Permit Required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PRR 259 – Move-in Unexecutable</w:t>
      </w:r>
    </w:p>
    <w:p>
      <w:pPr>
        <w:pStyle w:val="Normal"/>
        <w:rPr>
          <w:rFonts w:ascii="Arial" w:hAnsi="Arial" w:cs="Arial"/>
          <w:vanish/>
          <w:sz w:val="20"/>
          <w:szCs w:val="28"/>
        </w:rPr>
      </w:pPr>
      <w:r>
        <w:rPr>
          <w:rFonts w:cs="Arial" w:ascii="Arial" w:hAnsi="Arial"/>
          <w:sz w:val="20"/>
        </w:rPr>
        <w:t>PRR 260 – Purge if Permit not received</w:t>
      </w:r>
    </w:p>
    <w:p>
      <w:pPr>
        <w:pStyle w:val="Normal"/>
        <w:rPr>
          <w:rFonts w:ascii="Arial" w:hAnsi="Arial" w:cs="Arial"/>
          <w:vanish/>
          <w:sz w:val="20"/>
          <w:szCs w:val="28"/>
        </w:rPr>
      </w:pPr>
      <w:r>
        <w:rPr>
          <w:rFonts w:cs="Arial" w:ascii="Arial" w:hAnsi="Arial"/>
          <w:vanish/>
          <w:sz w:val="20"/>
          <w:szCs w:val="28"/>
        </w:rPr>
      </w:r>
    </w:p>
    <w:p>
      <w:pPr>
        <w:pStyle w:val="Normal"/>
        <w:rPr>
          <w:rFonts w:ascii="Arial" w:hAnsi="Arial" w:cs="Arial"/>
          <w:vanish/>
          <w:sz w:val="20"/>
        </w:rPr>
      </w:pPr>
      <w:r>
        <w:rPr>
          <w:rFonts w:cs="Arial" w:ascii="Arial" w:hAnsi="Arial"/>
          <w:vanish/>
          <w:sz w:val="20"/>
        </w:rPr>
      </w:r>
    </w:p>
    <w:sectPr>
      <w:type w:val="nextPage"/>
      <w:pgSz w:orient="landscape" w:w="15840" w:h="12240"/>
      <w:pgMar w:left="864" w:right="86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2160" w:start="3600" w:end="0"/>
      <w:outlineLvl w:val="5"/>
    </w:pPr>
    <w:rPr>
      <w:rFonts w:ascii="Arial" w:hAnsi="Arial" w:cs="Arial"/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2001-10-27T10:46:00Z</dcterms:created>
  <dc:creator>Heidi.Schrab</dc:creator>
  <dc:description/>
  <dc:language>en-CA</dc:language>
  <cp:lastModifiedBy>Nancy Hetrick</cp:lastModifiedBy>
  <cp:lastPrinted>2001-10-27T08:13:00Z</cp:lastPrinted>
  <dcterms:modified xsi:type="dcterms:W3CDTF">2001-10-27T10:46:00Z</dcterms:modified>
  <cp:revision>2</cp:revision>
  <dc:subject/>
  <dc:title>Retail Issues 10/25/01</dc:title>
</cp:coreProperties>
</file>