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ENRON RESERVE ACQUISITION CORP. </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General Terms and Conditions</w:t>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Applicable to Domestic Crude Oil Sale, Purchase or Exchange Transactions </w:t>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Dated:   March 1, 2001</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t xml:space="preserve">1.  Agreement and Contract Formation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1.1</w:t>
      </w:r>
      <w:r>
        <w:rPr>
          <w:rFonts w:cs="Arial" w:ascii="Arial" w:hAnsi="Arial"/>
          <w:sz w:val="16"/>
        </w:rPr>
        <w:tab/>
        <w:t xml:space="preserve">The term </w:t>
      </w:r>
      <w:r>
        <w:rPr>
          <w:rFonts w:cs="Arial" w:ascii="Arial" w:hAnsi="Arial"/>
          <w:b/>
          <w:sz w:val="16"/>
        </w:rPr>
        <w:t>"Transaction"</w:t>
      </w:r>
      <w:r>
        <w:rPr>
          <w:rFonts w:cs="Arial" w:ascii="Arial" w:hAnsi="Arial"/>
          <w:sz w:val="16"/>
        </w:rPr>
        <w:t xml:space="preserve"> refers to any agreement for the purchase,  sale, or exchange of crude oil, refined petroleum products or petrochemicals (all hereinafter referred to as </w:t>
      </w:r>
      <w:r>
        <w:rPr>
          <w:rFonts w:cs="Arial" w:ascii="Arial" w:hAnsi="Arial"/>
          <w:b/>
          <w:sz w:val="16"/>
        </w:rPr>
        <w:t>"Products"</w:t>
      </w:r>
      <w:r>
        <w:rPr>
          <w:rFonts w:cs="Arial" w:ascii="Arial" w:hAnsi="Arial"/>
          <w:sz w:val="16"/>
        </w:rPr>
        <w:t>) between Enron Reserve Acquisition Corp., or a division thereof (</w:t>
      </w:r>
      <w:r>
        <w:rPr>
          <w:rFonts w:cs="Arial" w:ascii="Arial" w:hAnsi="Arial"/>
          <w:b/>
          <w:sz w:val="16"/>
        </w:rPr>
        <w:t>"ERAC"</w:t>
      </w:r>
      <w:r>
        <w:rPr>
          <w:rFonts w:cs="Arial" w:ascii="Arial" w:hAnsi="Arial"/>
          <w:sz w:val="16"/>
        </w:rPr>
        <w:t xml:space="preserve">) and the </w:t>
      </w:r>
      <w:r>
        <w:rPr>
          <w:rFonts w:cs="Arial" w:ascii="Arial" w:hAnsi="Arial"/>
          <w:b/>
          <w:sz w:val="16"/>
        </w:rPr>
        <w:t>"Counterparty"</w:t>
      </w:r>
      <w:r>
        <w:rPr>
          <w:rFonts w:cs="Arial" w:ascii="Arial" w:hAnsi="Arial"/>
          <w:sz w:val="16"/>
        </w:rPr>
        <w:t xml:space="preserve"> (the party other than ERAC) (each a </w:t>
      </w:r>
      <w:r>
        <w:rPr>
          <w:rFonts w:cs="Arial" w:ascii="Arial" w:hAnsi="Arial"/>
          <w:b/>
          <w:sz w:val="16"/>
        </w:rPr>
        <w:t>"Party"</w:t>
      </w:r>
      <w:r>
        <w:rPr>
          <w:rFonts w:cs="Arial" w:ascii="Arial" w:hAnsi="Arial"/>
          <w:sz w:val="16"/>
        </w:rPr>
        <w:t>).  The special terms and conditions of a particular Transaction for the sale,  purchase, or exchange of Products, including but not limited to, payment terms, price, quantity/tolerance, Products description, specifications, delivery location and delivery window shall be as set forth on this website (</w:t>
      </w:r>
      <w:r>
        <w:rPr>
          <w:rFonts w:cs="Arial" w:ascii="Arial" w:hAnsi="Arial"/>
          <w:b/>
          <w:sz w:val="16"/>
        </w:rPr>
        <w:t>"Special Terms and Conditions"</w:t>
      </w:r>
      <w:r>
        <w:rPr>
          <w:rFonts w:cs="Arial" w:ascii="Arial" w:hAnsi="Arial"/>
          <w:sz w:val="16"/>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6"/>
        </w:rPr>
        <w:t>"this Agreement"</w:t>
      </w:r>
      <w:r>
        <w:rPr>
          <w:rFonts w:cs="Arial" w:ascii="Arial" w:hAnsi="Arial"/>
          <w:sz w:val="16"/>
        </w:rPr>
        <w:t xml:space="preserve"> means the Special Terms and Conditions evidencing a particular Transaction in issue, of which these General Terms and Conditions are a part.  The term </w:t>
      </w:r>
      <w:r>
        <w:rPr>
          <w:rFonts w:cs="Arial" w:ascii="Arial" w:hAnsi="Arial"/>
          <w:b/>
          <w:sz w:val="16"/>
        </w:rPr>
        <w:t>"Other Agreement"</w:t>
      </w:r>
      <w:r>
        <w:rPr>
          <w:rFonts w:cs="Arial" w:ascii="Arial" w:hAnsi="Arial"/>
          <w:sz w:val="16"/>
        </w:rPr>
        <w:t xml:space="preserve"> shall mean Transaction(s) between the Parties other than the Transaction covered by "this Agreement."  The term </w:t>
      </w:r>
      <w:r>
        <w:rPr>
          <w:rFonts w:cs="Arial" w:ascii="Arial" w:hAnsi="Arial"/>
          <w:b/>
          <w:sz w:val="16"/>
        </w:rPr>
        <w:t>"Seller"</w:t>
      </w:r>
      <w:r>
        <w:rPr>
          <w:rFonts w:cs="Arial" w:ascii="Arial" w:hAnsi="Arial"/>
          <w:sz w:val="16"/>
        </w:rPr>
        <w:t xml:space="preserve"> shall mean the Party agreeing to sell and deliver the Products to Buyer, and the term </w:t>
      </w:r>
      <w:r>
        <w:rPr>
          <w:rFonts w:cs="Arial" w:ascii="Arial" w:hAnsi="Arial"/>
          <w:b/>
          <w:sz w:val="16"/>
        </w:rPr>
        <w:t>"Buyer"</w:t>
      </w:r>
      <w:r>
        <w:rPr>
          <w:rFonts w:cs="Arial" w:ascii="Arial" w:hAnsi="Arial"/>
          <w:sz w:val="16"/>
        </w:rPr>
        <w:t xml:space="preserve"> shall mean the Party agreeing to purchase and receive Products from Seller, and in the case of  any agreement where Products are exchanged (an “Exchange Transaction”), all references to “Seller”  shall apply to the Party delivering the Products (the “Delivering Party”) and all references to “Buyer”  shall refer to the Party receiving the Products (the “Receiving Party”).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1.2</w:t>
        <w:tab/>
      </w:r>
      <w:r>
        <w:rPr>
          <w:rFonts w:cs="Arial" w:ascii="Arial" w:hAnsi="Arial"/>
          <w:sz w:val="16"/>
        </w:rPr>
        <w:t>A Transaction will be initiated by Counterparty offering to buy,  sell or exchange Products by clicking on the designated boxes on this website.  This website is not, and shall not be construed as, an offer to buy,  sell or exchange by ERAC.  ERAC may accept or reject Counterparty’s offer at its sole discretion.  A Transaction shall be deemed executed at the time that ERAC first signifies its acceptance of Counterparty’s offer, accessible on this website.  ERAC may also send a written confirmation memorializing the Special Terms and Conditions of a Transaction (the “Confirmation”)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pPr>
      <w:r>
        <w:rPr>
          <w:rFonts w:cs="Arial" w:ascii="Arial" w:hAnsi="Arial"/>
          <w:b/>
          <w:sz w:val="16"/>
        </w:rPr>
        <w:t>1.3</w:t>
      </w:r>
      <w:r>
        <w:rPr>
          <w:rFonts w:cs="Arial" w:ascii="Arial" w:hAnsi="Arial"/>
          <w:sz w:val="16"/>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2.  Payment and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w:t>
      </w:r>
      <w:r>
        <w:rPr>
          <w:rFonts w:cs="Arial" w:ascii="Arial" w:hAnsi="Arial"/>
          <w:sz w:val="16"/>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2.2</w:t>
      </w:r>
      <w:r>
        <w:rPr>
          <w:rFonts w:cs="Arial" w:ascii="Arial" w:hAnsi="Arial"/>
          <w:sz w:val="16"/>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6"/>
        </w:rPr>
        <w:t>"business days"</w:t>
      </w:r>
      <w:r>
        <w:rPr>
          <w:rFonts w:cs="Arial" w:ascii="Arial" w:hAnsi="Arial"/>
          <w:sz w:val="16"/>
        </w:rPr>
        <w:t xml:space="preserve"> (defined as any day on which Federal Reserve member banks in New York City are open for business) prior to the scheduled delivery or book transfer date, in a form acceptable to ERAC,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ERAC,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2.3</w:t>
      </w:r>
      <w:r>
        <w:rPr>
          <w:rFonts w:cs="Arial" w:ascii="Arial" w:hAnsi="Arial"/>
          <w:sz w:val="16"/>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2.4</w:t>
      </w:r>
      <w:r>
        <w:rPr>
          <w:rFonts w:cs="Arial" w:ascii="Arial" w:hAnsi="Arial"/>
          <w:sz w:val="16"/>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2.5</w:t>
      </w:r>
      <w:r>
        <w:rPr>
          <w:rFonts w:cs="Arial" w:ascii="Arial" w:hAnsi="Arial"/>
          <w:sz w:val="16"/>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2.6</w:t>
      </w:r>
      <w:r>
        <w:rPr>
          <w:rFonts w:cs="Arial" w:ascii="Arial" w:hAnsi="Arial"/>
          <w:sz w:val="16"/>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numPr>
          <w:ilvl w:val="1"/>
          <w:numId w:val="1"/>
        </w:numPr>
        <w:tabs>
          <w:tab w:val="left" w:pos="-720" w:leader="none"/>
          <w:tab w:val="left" w:pos="720" w:leader="none"/>
        </w:tabs>
        <w:suppressAutoHyphens w:val="true"/>
        <w:ind w:hanging="720" w:start="0" w:end="0"/>
        <w:jc w:val="both"/>
        <w:rPr>
          <w:rFonts w:ascii="Arial" w:hAnsi="Arial" w:cs="Arial"/>
          <w:sz w:val="16"/>
        </w:rPr>
      </w:pPr>
      <w:r>
        <w:rPr>
          <w:rFonts w:cs="Arial" w:ascii="Arial" w:hAnsi="Arial"/>
          <w:sz w:val="16"/>
        </w:rPr>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Section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bCs/>
          <w:sz w:val="16"/>
        </w:rPr>
        <w:t>2.8</w:t>
      </w:r>
      <w:r>
        <w:rPr>
          <w:rFonts w:cs="Arial" w:ascii="Arial" w:hAnsi="Arial"/>
          <w:sz w:val="16"/>
        </w:rPr>
        <w:tab/>
        <w:t>When the Transaction is an Exchange Transaction, it shall be on a unit volume for unit volume (gallon/ton/barrel) basis without the payment of money by either Party, except as otherwise agreed and except for differential and Taxes.  It is intended that the exchange shall be kept in approximate balance as to volume from month to month during the continuance of the Exchange Transaction.  The parties intend to deliver equal amounts of Product under the Exchange Transaction and during the term hereof shall keep delivered quantities reasonably equal on a monthly basis.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Upon completion of the delivery period under the Exchange Transaction, the difference between the quantities of Product delivered by each Party during the delivery period shall be the "Imbalance," the Party that delivered a greater amount of Product shall be the "Over-Delivering Party" and the Party that delivered a lesser amount of Product shall be the "Under-Delivering Party."  Except as otherwise agreed by the Parties in the Special Terms and Conditions, an Imbalance of less than 1,000 barrels shall be treated as a net sale by the Over-Delivering Party to the Under-Delivering Party (without further physical delivery obligation by the Under-Delivering Party).  Except as otherwise agreed by the Parties in the Special Terms and Conditions, an Imbalance of 1,000 barrels or greater shall be treated as a physical delivery obligation of the Imbalance by the Under-Delivering Party as follows: (a)   Under an Exchange Transaction, each Party shall provide to the other Party, at the close of each month, an exchange statement invoice covering the net difference in price per barrel between Products exchanged by the Parties (the “Exchange Differential”), if any, payable during that month, as set forth in the Special Terms and Conditions.  In the event of a conflict between the exhange statement invoices, all sums attributable to the areas of agreement between the exchange statement invoices shall be paid and the Parties will promptly reconcile all areas of disagreement,  the Over-Delivering Party shall notify the Under-Delivering Party of its intent to receive physical Product due to an Imbalance of 1000 barrels or greater, and (b) the Under-Delivering Party shall deliver to the Over-Delivering Party, a quantity equal to the Imbalance, of the type and at the delivery location of the under delivered Product during the month immediately following the date such notice is received.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2.9</w:t>
      </w:r>
      <w:r>
        <w:rPr>
          <w:rFonts w:cs="Arial" w:ascii="Arial" w:hAnsi="Arial"/>
          <w:sz w:val="16"/>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2.10</w:t>
      </w:r>
      <w:r>
        <w:rPr>
          <w:rFonts w:cs="Arial" w:ascii="Arial" w:hAnsi="Arial"/>
          <w:sz w:val="16"/>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2.11</w:t>
      </w:r>
      <w:r>
        <w:rPr>
          <w:rFonts w:cs="Arial" w:ascii="Arial" w:hAnsi="Arial"/>
          <w:sz w:val="16"/>
        </w:rPr>
        <w:tab/>
        <w:t>Unless otherwise specified in the Special Terms and Conditions of this Agreement, payment including, any Exchange Differential,  will be due on or before the 20</w:t>
      </w:r>
      <w:r>
        <w:rPr>
          <w:rFonts w:cs="Arial" w:ascii="Arial" w:hAnsi="Arial"/>
          <w:sz w:val="16"/>
          <w:vertAlign w:val="superscript"/>
        </w:rPr>
        <w:t>th</w:t>
      </w:r>
      <w:r>
        <w:rPr>
          <w:rFonts w:cs="Arial" w:ascii="Arial" w:hAnsi="Arial"/>
          <w:sz w:val="16"/>
        </w:rPr>
        <w:t xml:space="preserve"> day of the month following the month of delivery.  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3.  Delivery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3.1</w:t>
      </w:r>
      <w:r>
        <w:rPr>
          <w:rFonts w:cs="Arial" w:ascii="Arial" w:hAnsi="Arial"/>
          <w:sz w:val="16"/>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3.3</w:t>
      </w:r>
      <w:r>
        <w:rPr>
          <w:rFonts w:cs="Arial" w:ascii="Arial" w:hAnsi="Arial"/>
          <w:sz w:val="16"/>
        </w:rPr>
        <w:tab/>
        <w:t>If the 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6"/>
        </w:rPr>
        <w:t>.</w:t>
      </w:r>
    </w:p>
    <w:p>
      <w:pPr>
        <w:pStyle w:val="Normal"/>
        <w:tabs>
          <w:tab w:val="clear" w:pos="720"/>
          <w:tab w:val="left" w:pos="-720" w:leader="none"/>
        </w:tabs>
        <w:suppressAutoHyphens w:val="true"/>
        <w:jc w:val="both"/>
        <w:rPr>
          <w:rFonts w:ascii="Arial" w:hAnsi="Arial" w:cs="Arial"/>
          <w:color w:val="000000"/>
          <w:sz w:val="16"/>
          <w:u w:val="single"/>
        </w:rPr>
      </w:pPr>
      <w:r>
        <w:rPr>
          <w:rFonts w:cs="Arial" w:ascii="Arial" w:hAnsi="Arial"/>
          <w:color w:val="000000"/>
          <w:sz w:val="16"/>
          <w:u w:val="single"/>
        </w:rPr>
      </w:r>
    </w:p>
    <w:p>
      <w:pPr>
        <w:pStyle w:val="BodyText2"/>
        <w:numPr>
          <w:ilvl w:val="1"/>
          <w:numId w:val="3"/>
        </w:numPr>
        <w:tabs>
          <w:tab w:val="clear" w:pos="720"/>
          <w:tab w:val="left" w:pos="-90" w:leader="none"/>
        </w:tabs>
        <w:ind w:hanging="0" w:start="0" w:end="0"/>
        <w:rPr>
          <w:color w:val="000000"/>
        </w:rPr>
      </w:pPr>
      <w:r>
        <w:rPr>
          <w:color w:val="000000"/>
        </w:rPr>
        <w:t xml:space="preserve">If the Product is to be delivered via Cushing, Oklahoma USA Arco Pipeline, the Special Terms and Conditions will specify the location basis and the cycle number.  Scheduling will be at a mutually agreeable time, subject to the determination of Cushing, Oklahoma USA Arco Pipeline or any other designated carrier as agreed by the parties, or via mutually acceptable book, stock, or inventory transfer against designated barrels of the originator. </w:t>
      </w:r>
    </w:p>
    <w:p>
      <w:pPr>
        <w:pStyle w:val="BodyText2"/>
        <w:rPr>
          <w:color w:val="000000"/>
        </w:rPr>
      </w:pPr>
      <w:r>
        <w:rPr>
          <w:color w:val="000000"/>
        </w:rPr>
      </w:r>
    </w:p>
    <w:p>
      <w:pPr>
        <w:pStyle w:val="BodyText2"/>
        <w:rPr/>
      </w:pPr>
      <w:r>
        <w:rPr>
          <w:b/>
          <w:color w:val="000000"/>
        </w:rPr>
        <w:t>3.5</w:t>
      </w:r>
      <w:r>
        <w:rPr>
          <w:color w:val="000000"/>
        </w:rPr>
        <w:t xml:space="preserve"> </w:t>
        <w:tab/>
        <w:t xml:space="preserve">If the Product is to be delivered via St. James, Louisiana USA TEPPCO Pipeline, the Special Terms and Conditions will specify the location basis and the cycle number.  Scheduling will be at a mutually agreeable time, subject to the determination of St. James, Louisiana USA TEPPCO Pipeline or any other designated carrier as agreed by the parties, or via mutually acceptable book, stock, or inventory transfer against designated barrels of the originator. </w:t>
      </w:r>
    </w:p>
    <w:p>
      <w:pPr>
        <w:pStyle w:val="Normal"/>
        <w:tabs>
          <w:tab w:val="clear" w:pos="720"/>
          <w:tab w:val="left" w:pos="-720" w:leader="none"/>
        </w:tabs>
        <w:suppressAutoHyphens w:val="true"/>
        <w:jc w:val="both"/>
        <w:rPr>
          <w:rFonts w:ascii="Arial" w:hAnsi="Arial" w:cs="Arial"/>
          <w:color w:val="000000"/>
          <w:sz w:val="16"/>
        </w:rPr>
      </w:pPr>
      <w:r>
        <w:rPr>
          <w:rFonts w:cs="Arial" w:ascii="Arial" w:hAnsi="Arial"/>
          <w:color w:val="000000"/>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4.  Indemnity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 w:val="left" w:pos="0" w:leader="none"/>
          <w:tab w:val="left" w:pos="450" w:leader="none"/>
          <w:tab w:val="left" w:pos="900" w:leader="none"/>
        </w:tabs>
        <w:spacing w:before="0" w:after="64"/>
        <w:jc w:val="both"/>
        <w:rPr>
          <w:rFonts w:ascii="Arial" w:hAnsi="Arial" w:cs="Arial"/>
          <w:sz w:val="16"/>
        </w:rPr>
      </w:pPr>
      <w:r>
        <w:rPr>
          <w:rFonts w:cs="Arial" w:ascii="Arial" w:hAnsi="Arial"/>
          <w:sz w:val="16"/>
        </w:rPr>
        <w:t>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occurring after transfer of title to the Products to Buyer under this Agreement.</w:t>
      </w:r>
    </w:p>
    <w:p>
      <w:pPr>
        <w:pStyle w:val="Normal"/>
        <w:tabs>
          <w:tab w:val="clear" w:pos="720"/>
          <w:tab w:val="left" w:pos="-1440" w:leader="none"/>
          <w:tab w:val="left" w:pos="-720" w:leader="none"/>
        </w:tabs>
        <w:suppressAutoHyphens w:val="true"/>
        <w:jc w:val="both"/>
        <w:rPr>
          <w:rFonts w:ascii="Arial" w:hAnsi="Arial" w:cs="Arial"/>
          <w:b/>
          <w:sz w:val="16"/>
        </w:rPr>
      </w:pPr>
      <w:r>
        <w:rPr>
          <w:rFonts w:cs="Arial" w:ascii="Arial" w:hAnsi="Arial"/>
          <w:b/>
          <w:sz w:val="16"/>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pPr>
      <w:r>
        <w:rPr>
          <w:rFonts w:cs="Arial" w:ascii="Arial" w:hAnsi="Arial"/>
          <w:b/>
          <w:sz w:val="16"/>
        </w:rPr>
        <w:t>5.  Default, Termination and Liquidation</w:t>
      </w:r>
      <w:r>
        <w:rPr>
          <w:rFonts w:cs="Arial" w:ascii="Arial" w:hAnsi="Arial"/>
          <w:sz w:val="16"/>
        </w:rPr>
        <w:t xml:space="preserve">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pPr>
      <w:r>
        <w:rPr>
          <w:rFonts w:cs="Arial" w:ascii="Arial" w:hAnsi="Arial"/>
          <w:b/>
          <w:sz w:val="16"/>
        </w:rPr>
        <w:t>5.1</w:t>
      </w:r>
      <w:r>
        <w:rPr>
          <w:rFonts w:cs="Arial" w:ascii="Arial" w:hAnsi="Arial"/>
          <w:sz w:val="16"/>
        </w:rPr>
        <w:tab/>
        <w:t>Notwithstanding any other provision of this Agreement or of any Other Agreement, a default (</w:t>
      </w:r>
      <w:r>
        <w:rPr>
          <w:rFonts w:cs="Arial" w:ascii="Arial" w:hAnsi="Arial"/>
          <w:b/>
          <w:sz w:val="16"/>
        </w:rPr>
        <w:t>"Default"</w:t>
      </w:r>
      <w:r>
        <w:rPr>
          <w:rFonts w:cs="Arial" w:ascii="Arial" w:hAnsi="Arial"/>
          <w:sz w:val="16"/>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BodyTextIndent2"/>
        <w:ind w:hanging="1440" w:end="0"/>
        <w:rPr/>
      </w:pPr>
      <w:r>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BodyTextIndent2"/>
        <w:ind w:hanging="1440" w:end="0"/>
        <w:rPr/>
      </w:pPr>
      <w:r>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BodyTextIndent2"/>
        <w:ind w:hanging="1440" w:end="0"/>
        <w:rPr/>
      </w:pPr>
      <w:r>
        <w:rPr/>
        <w:tab/>
        <w:t>(d)</w:t>
        <w:tab/>
        <w:t xml:space="preserve">fails or defaults (or the issuer fails to perform or defaults or the guarantor fails to perform any covenant in its guaranty, such guaranty expires, is terminated or ceases to guarantee the obligations of such Party under this Agreement or any Transaction, or such guarantor becomes subject to a bankruptcy proceeding) 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BodyTextIndent2"/>
        <w:ind w:hanging="1440" w:end="0"/>
        <w:rPr/>
      </w:pPr>
      <w:r>
        <w:rPr/>
        <w:tab/>
        <w:t>(e)</w:t>
        <w:tab/>
        <w:t xml:space="preserve">fails to take receipt of any Products sold hereunder or fails to deliver the specified quantity of Product within the specified delivery period or delivers Product that does not conform to the quality specifications set fort in the Special Terms and Conditions, in breach of this Agreement;  </w:t>
      </w:r>
    </w:p>
    <w:p>
      <w:pPr>
        <w:pStyle w:val="Normal"/>
        <w:keepNext w:val="true"/>
        <w:keepLines/>
        <w:tabs>
          <w:tab w:val="left" w:pos="-720" w:leader="none"/>
          <w:tab w:val="left" w:pos="720" w:leader="none"/>
        </w:tabs>
        <w:suppressAutoHyphens w:val="true"/>
        <w:ind w:hanging="720" w:start="1440" w:end="0"/>
        <w:jc w:val="both"/>
        <w:rPr>
          <w:rFonts w:ascii="Arial" w:hAnsi="Arial" w:cs="Arial"/>
          <w:sz w:val="16"/>
        </w:rPr>
      </w:pPr>
      <w:r>
        <w:rPr>
          <w:rFonts w:cs="Arial" w:ascii="Arial" w:hAnsi="Arial"/>
          <w:sz w:val="16"/>
        </w:rPr>
      </w:r>
    </w:p>
    <w:p>
      <w:pPr>
        <w:pStyle w:val="BodyTextIndent2"/>
        <w:ind w:hanging="1440" w:end="0"/>
        <w:rPr/>
      </w:pPr>
      <w:r>
        <w:rPr/>
        <w:tab/>
        <w:t>(f)</w:t>
        <w:tab/>
        <w:t xml:space="preserve">defaults under any Other Agreement (and such default remains uncured after any applicable grace or notice period has lapsed); </w:t>
      </w:r>
    </w:p>
    <w:p>
      <w:pPr>
        <w:pStyle w:val="Normal"/>
        <w:keepNext w:val="true"/>
        <w:keepLines/>
        <w:tabs>
          <w:tab w:val="left" w:pos="-720" w:leader="none"/>
          <w:tab w:val="left" w:pos="720" w:leader="none"/>
        </w:tabs>
        <w:suppressAutoHyphens w:val="true"/>
        <w:ind w:hanging="720" w:start="1440" w:end="0"/>
        <w:jc w:val="both"/>
        <w:rPr>
          <w:rFonts w:ascii="Arial" w:hAnsi="Arial" w:cs="Arial"/>
          <w:sz w:val="16"/>
        </w:rPr>
      </w:pPr>
      <w:r>
        <w:rPr>
          <w:rFonts w:cs="Arial" w:ascii="Arial" w:hAnsi="Arial"/>
          <w:sz w:val="16"/>
        </w:rPr>
      </w:r>
    </w:p>
    <w:p>
      <w:pPr>
        <w:pStyle w:val="BodyTextIndent2"/>
        <w:ind w:hanging="1440" w:end="0"/>
        <w:rPr/>
      </w:pPr>
      <w:r>
        <w:rPr/>
        <w:tab/>
        <w:t>(g)</w:t>
        <w:tab/>
        <w:t>files a petition or otherwise commences or authorizes the commencement of a proceeding under any bankruptcy, insolvency, reorganization or similar law or has any such petition filed or proceeding commenced against it;</w:t>
      </w:r>
    </w:p>
    <w:p>
      <w:pPr>
        <w:pStyle w:val="Normal"/>
        <w:keepNext w:val="true"/>
        <w:keepLines/>
        <w:tabs>
          <w:tab w:val="left" w:pos="-720" w:leader="none"/>
          <w:tab w:val="left" w:pos="720" w:leader="none"/>
        </w:tabs>
        <w:suppressAutoHyphens w:val="true"/>
        <w:ind w:hanging="720" w:start="1440" w:end="0"/>
        <w:jc w:val="both"/>
        <w:rPr>
          <w:rFonts w:ascii="Arial" w:hAnsi="Arial" w:cs="Arial"/>
          <w:sz w:val="16"/>
        </w:rPr>
      </w:pPr>
      <w:r>
        <w:rPr>
          <w:rFonts w:cs="Arial" w:ascii="Arial" w:hAnsi="Arial"/>
          <w:sz w:val="16"/>
        </w:rPr>
      </w:r>
    </w:p>
    <w:p>
      <w:pPr>
        <w:pStyle w:val="BodyTextIndent2"/>
        <w:ind w:hanging="1440" w:end="0"/>
        <w:rPr/>
      </w:pPr>
      <w:r>
        <w:rPr/>
        <w:tab/>
        <w:t>(h)</w:t>
        <w:tab/>
        <w:t>otherwise becomes insolvent (however evidenced) or is unable to pay its debts as they become due; or</w:t>
      </w:r>
    </w:p>
    <w:p>
      <w:pPr>
        <w:pStyle w:val="BodyTextIndent2"/>
        <w:ind w:hanging="1440" w:end="0"/>
        <w:rPr/>
      </w:pPr>
      <w:r>
        <w:rPr/>
      </w:r>
    </w:p>
    <w:p>
      <w:pPr>
        <w:pStyle w:val="BodyTextIndent2"/>
        <w:ind w:hanging="1440" w:end="0"/>
        <w:rPr/>
      </w:pPr>
      <w:r>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5.2</w:t>
      </w:r>
      <w:r>
        <w:rPr>
          <w:rFonts w:cs="Arial" w:ascii="Arial" w:hAnsi="Arial"/>
          <w:sz w:val="16"/>
        </w:rPr>
        <w:tab/>
        <w:t>Notwithstanding any other provision of this Agreement or of any Other Agreement, in the event either Party or its security provider (</w:t>
      </w:r>
      <w:r>
        <w:rPr>
          <w:rFonts w:cs="Arial" w:ascii="Arial" w:hAnsi="Arial"/>
          <w:i/>
          <w:sz w:val="16"/>
        </w:rPr>
        <w:t>i.e.</w:t>
      </w:r>
      <w:r>
        <w:rPr>
          <w:rFonts w:cs="Arial" w:ascii="Arial" w:hAnsi="Arial"/>
          <w:sz w:val="16"/>
        </w:rPr>
        <w:t xml:space="preserve">, guarantor or letter of credit issuer) is in Default (the Party in Default herein referred to as the </w:t>
      </w:r>
      <w:r>
        <w:rPr>
          <w:rFonts w:cs="Arial" w:ascii="Arial" w:hAnsi="Arial"/>
          <w:b/>
          <w:sz w:val="16"/>
        </w:rPr>
        <w:t>"Defaulting Party"</w:t>
      </w:r>
      <w:r>
        <w:rPr>
          <w:rFonts w:cs="Arial" w:ascii="Arial" w:hAnsi="Arial"/>
          <w:sz w:val="16"/>
        </w:rPr>
        <w:t xml:space="preserve">), the other Party (the </w:t>
      </w:r>
      <w:r>
        <w:rPr>
          <w:rFonts w:cs="Arial" w:ascii="Arial" w:hAnsi="Arial"/>
          <w:b/>
          <w:sz w:val="16"/>
        </w:rPr>
        <w:t>"Non</w:t>
        <w:noBreakHyphen/>
        <w:t>Defaulting Party"</w:t>
      </w:r>
      <w:r>
        <w:rPr>
          <w:rFonts w:cs="Arial" w:ascii="Arial" w:hAnsi="Arial"/>
          <w:sz w:val="16"/>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 xml:space="preserve"> 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b/>
        <w:t>and/or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left" w:pos="-720" w:leader="none"/>
          <w:tab w:val="left" w:pos="720" w:leader="none"/>
          <w:tab w:val="left" w:pos="1440" w:leader="none"/>
        </w:tabs>
        <w:suppressAutoHyphens w:val="true"/>
        <w:ind w:hanging="1440" w:start="1440" w:end="0"/>
        <w:jc w:val="both"/>
        <w:rPr>
          <w:rFonts w:ascii="Arial" w:hAnsi="Arial" w:cs="Arial"/>
          <w:sz w:val="16"/>
        </w:rPr>
      </w:pPr>
      <w:r>
        <w:rPr>
          <w:rFonts w:cs="Arial" w:ascii="Arial" w:hAnsi="Arial"/>
          <w:sz w:val="16"/>
        </w:rPr>
        <w:tab/>
        <w:t>(c)</w:t>
        <w:tab/>
        <w:t>liquidate any or all "Forward Contracts"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17.6,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left" w:pos="-720" w:leader="none"/>
        </w:tabs>
        <w:suppressAutoHyphens w:val="true"/>
        <w:jc w:val="both"/>
        <w:rPr/>
      </w:pPr>
      <w:r>
        <w:rPr>
          <w:rFonts w:cs="Arial" w:ascii="Arial" w:hAnsi="Arial"/>
          <w:b/>
          <w:sz w:val="16"/>
        </w:rPr>
        <w:t>5.3</w:t>
      </w:r>
      <w:r>
        <w:rPr>
          <w:rFonts w:cs="Arial" w:ascii="Arial" w:hAnsi="Arial"/>
          <w:sz w:val="16"/>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(a)</w:t>
        <w:tab/>
        <w:t>the Non-Defaulting Party's conclusive and binding calculation of its damages (</w:t>
      </w:r>
      <w:r>
        <w:rPr>
          <w:rFonts w:cs="Arial" w:ascii="Arial" w:hAnsi="Arial"/>
          <w:b/>
          <w:sz w:val="16"/>
        </w:rPr>
        <w:t>"Liquidation Amount"</w:t>
      </w:r>
      <w:r>
        <w:rPr>
          <w:rFonts w:cs="Arial" w:ascii="Arial" w:hAnsi="Arial"/>
          <w:sz w:val="16"/>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(b)</w:t>
        <w:tab/>
        <w:t xml:space="preserve">in appropriate cases, discounting the </w:t>
      </w:r>
      <w:r>
        <w:rPr>
          <w:rFonts w:cs="Arial" w:ascii="Arial" w:hAnsi="Arial"/>
          <w:b/>
          <w:sz w:val="16"/>
        </w:rPr>
        <w:t>Liquidation Amount</w:t>
      </w:r>
      <w:r>
        <w:rPr>
          <w:rFonts w:cs="Arial" w:ascii="Arial" w:hAnsi="Arial"/>
          <w:sz w:val="16"/>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ab/>
        <w:t>(c)</w:t>
        <w:tab/>
        <w:t>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6"/>
        </w:rPr>
        <w:t>"Termination Payment"</w:t>
      </w:r>
      <w:r>
        <w:rPr>
          <w:rFonts w:cs="Arial" w:ascii="Arial" w:hAnsi="Arial"/>
          <w:sz w:val="16"/>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5.4</w:t>
      </w:r>
      <w:r>
        <w:rPr>
          <w:rFonts w:cs="Arial" w:ascii="Arial" w:hAnsi="Arial"/>
          <w:sz w:val="16"/>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5.5</w:t>
      </w:r>
      <w:r>
        <w:rPr>
          <w:rFonts w:cs="Arial" w:ascii="Arial" w:hAnsi="Arial"/>
          <w:sz w:val="16"/>
        </w:rPr>
        <w:tab/>
        <w:t xml:space="preserve">For purposes of this Agreement, </w:t>
      </w:r>
      <w:r>
        <w:rPr>
          <w:rFonts w:cs="Arial" w:ascii="Arial" w:hAnsi="Arial"/>
          <w:b/>
          <w:sz w:val="16"/>
        </w:rPr>
        <w:t>"Forward Contract"</w:t>
      </w:r>
      <w:r>
        <w:rPr>
          <w:rFonts w:cs="Arial" w:ascii="Arial" w:hAnsi="Arial"/>
          <w:sz w:val="16"/>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5.6</w:t>
      </w:r>
      <w:r>
        <w:rPr>
          <w:rFonts w:cs="Arial" w:ascii="Arial" w:hAnsi="Arial"/>
          <w:sz w:val="16"/>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tabs>
          <w:tab w:val="clear" w:pos="720"/>
          <w:tab w:val="center" w:pos="4680" w:leader="none"/>
        </w:tabs>
        <w:suppressAutoHyphens w:val="true"/>
        <w:jc w:val="center"/>
        <w:rPr>
          <w:rFonts w:ascii="Arial" w:hAnsi="Arial" w:cs="Arial"/>
          <w:sz w:val="16"/>
        </w:rPr>
      </w:pPr>
      <w:r>
        <w:rPr>
          <w:rFonts w:cs="Arial" w:ascii="Arial" w:hAnsi="Arial"/>
          <w:b/>
          <w:sz w:val="16"/>
        </w:rPr>
        <w:t>6.  Force Majeure</w:t>
      </w:r>
    </w:p>
    <w:p>
      <w:pPr>
        <w:pStyle w:val="Normal"/>
        <w:keepNext w:val="true"/>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6.1</w:t>
      </w:r>
      <w:r>
        <w:rPr>
          <w:rFonts w:cs="Arial" w:ascii="Arial" w:hAnsi="Arial"/>
          <w:sz w:val="16"/>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6"/>
        </w:rPr>
        <w:t xml:space="preserve"> "Non-Performing Party"</w:t>
      </w:r>
      <w:r>
        <w:rPr>
          <w:rFonts w:cs="Arial" w:ascii="Arial" w:hAnsi="Arial"/>
          <w:sz w:val="16"/>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6.2</w:t>
      </w:r>
      <w:r>
        <w:rPr>
          <w:rFonts w:cs="Arial" w:ascii="Arial" w:hAnsi="Arial"/>
          <w:sz w:val="16"/>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6.3</w:t>
      </w:r>
      <w:r>
        <w:rPr>
          <w:rFonts w:cs="Arial" w:ascii="Arial" w:hAnsi="Arial"/>
          <w:sz w:val="16"/>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6.4</w:t>
      </w:r>
      <w:r>
        <w:rPr>
          <w:rFonts w:cs="Arial" w:ascii="Arial" w:hAnsi="Arial"/>
          <w:sz w:val="16"/>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6"/>
        </w:rPr>
        <w:t>"Governmental Authority"</w:t>
      </w:r>
      <w:r>
        <w:rPr>
          <w:rFonts w:cs="Arial" w:ascii="Arial" w:hAnsi="Arial"/>
          <w:sz w:val="16"/>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7.  Limitation of Liability</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mallCaps/>
          <w:sz w:val="16"/>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6"/>
        </w:rPr>
        <w:t xml:space="preserve">  </w:t>
      </w:r>
    </w:p>
    <w:p>
      <w:pPr>
        <w:pStyle w:val="Normal"/>
        <w:tabs>
          <w:tab w:val="clear" w:pos="720"/>
          <w:tab w:val="left" w:pos="-720" w:leader="none"/>
        </w:tabs>
        <w:suppressAutoHyphens w:val="true"/>
        <w:jc w:val="both"/>
        <w:rPr>
          <w:rFonts w:ascii="Arial" w:hAnsi="Arial" w:cs="Arial"/>
          <w:b/>
          <w:sz w:val="16"/>
        </w:rPr>
      </w:pPr>
      <w:r>
        <w:rPr>
          <w:rFonts w:cs="Arial" w:ascii="Arial" w:hAnsi="Arial"/>
          <w:b/>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8.  Taxes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8.1</w:t>
      </w:r>
      <w:r>
        <w:rPr>
          <w:rFonts w:cs="Arial" w:ascii="Arial" w:hAnsi="Arial"/>
          <w:sz w:val="16"/>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8.2</w:t>
      </w:r>
      <w:r>
        <w:rPr>
          <w:rFonts w:cs="Arial" w:ascii="Arial" w:hAnsi="Arial"/>
          <w:sz w:val="16"/>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numPr>
          <w:ilvl w:val="1"/>
          <w:numId w:val="2"/>
        </w:numPr>
        <w:tabs>
          <w:tab w:val="clear" w:pos="720"/>
          <w:tab w:val="left" w:pos="-720" w:leader="none"/>
          <w:tab w:val="left" w:pos="0" w:leader="none"/>
        </w:tabs>
        <w:suppressAutoHyphens w:val="true"/>
        <w:ind w:hanging="0" w:start="0" w:end="0"/>
        <w:jc w:val="both"/>
        <w:rPr>
          <w:rFonts w:ascii="Arial" w:hAnsi="Arial" w:cs="Arial"/>
          <w:sz w:val="16"/>
        </w:rPr>
      </w:pPr>
      <w:r>
        <w:rPr>
          <w:rFonts w:cs="Arial" w:ascii="Arial" w:hAnsi="Arial"/>
          <w:sz w:val="16"/>
        </w:rPr>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rFonts w:ascii="Arial" w:hAnsi="Arial" w:cs="Arial"/>
          <w:sz w:val="16"/>
        </w:rPr>
      </w:pPr>
      <w:r>
        <w:rPr>
          <w:rFonts w:cs="Arial" w:ascii="Arial" w:hAnsi="Arial"/>
          <w:sz w:val="16"/>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rPr>
          <w:sz w:val="21"/>
        </w:rPr>
      </w:pPr>
      <w:r>
        <w:rPr>
          <w:rFonts w:cs="Arial" w:ascii="Arial" w:hAnsi="Arial"/>
          <w:b/>
          <w:sz w:val="16"/>
        </w:rPr>
        <w:t>8.4</w:t>
      </w:r>
      <w:r>
        <w:rPr>
          <w:rFonts w:cs="Arial" w:ascii="Arial" w:hAnsi="Arial"/>
          <w:sz w:val="16"/>
        </w:rPr>
        <w:tab/>
        <w:t>The price under this agreement includes full reimbursement for, and Seller is liable for and shall pay, cause to be paid or reimburse Buyer if Buyer has paid, any ad valorem, property, occupation, severance, production, extraction, first use, first or subsequent purchaser, conservation, gathering, pipeline, utility, gross production, gross receipts, gross income, oil revenue, oil import, privilege, sales, use, excise, lease, transaction and any other taxes, governmental charges, assessments, licenses, fees or permits, or increase thereon, other than taxes based on net income or net worth (collectively, "Taxes") applicable to the Crude Oil sold hereunder upstream of the Delivery Location.  Seller shall indemnify, defend and hold Buyer harmless from any liability against all such Taxes.  The Price does not include reimbursement for, and the Buyer is liable for and shall pay, cause to be paid or reimburse Seller if Seller has paid, any Taxes applicable to the Crude Oil sold hereunder at and downstream of the Delivery Location, except as provided hereinbelow.  Buyer shall indemnify, defend and hold Seller harmless from any liability against all such Taxes.  If either party becomes subject to any federal Btu, energy, environmental, or consumption Tax enacted after the date of this agreement, then, notwithstanding anything to the contrary contained herein, (i) either party may terminate this agreement by notice in writing to the other party and (ii) in the event neither party elects to terminate this agreement, the Buyer shall assume responsibility for payment of such tax on the Crude Oil purchased by such Buyer hereunder.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1"/>
        </w:rPr>
      </w:pPr>
      <w:r>
        <w:rPr>
          <w:sz w:val="21"/>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Both parties shall use reasonable efforts to administer this agreement and implement the provisions thereof in accordance with their intent to minimize or reduce Taxes.  Upon request, a party shall provide the other party a certificate of exemption or other reasonably satisfactory evidence of exemption from any Taxes, and each party agrees to cooperate with the other party in obtaining any such exemption.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b/>
          <w:sz w:val="16"/>
        </w:rPr>
      </w:pPr>
      <w:r>
        <w:rPr>
          <w:rFonts w:cs="Arial" w:ascii="Arial" w:hAnsi="Arial"/>
          <w:b/>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9.  No Waiver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10.  Warranties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sz w:val="16"/>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6"/>
        </w:rPr>
        <w:t>HOWEVER, SELLER MAKES NO WARRANTY AGAINST INFRINGEMENT OF ANY PATENT, TRADEMARK OR COPYRIGHT.</w:t>
      </w:r>
      <w:r>
        <w:rPr>
          <w:rFonts w:cs="Arial" w:ascii="Arial" w:hAnsi="Arial"/>
          <w:sz w:val="16"/>
        </w:rPr>
        <w:t xml:space="preserve">  </w:t>
      </w:r>
      <w:r>
        <w:rPr>
          <w:rFonts w:cs="Arial" w:ascii="Arial" w:hAnsi="Arial"/>
          <w:b/>
          <w:sz w:val="16"/>
        </w:rPr>
        <w:t xml:space="preserve">FURTHER, </w:t>
      </w:r>
      <w:r>
        <w:rPr>
          <w:rFonts w:cs="Arial" w:ascii="Arial" w:hAnsi="Arial"/>
          <w:b/>
          <w:smallCaps/>
          <w:sz w:val="16"/>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b/>
          <w:smallCaps/>
          <w:sz w:val="16"/>
        </w:rPr>
      </w:pPr>
      <w:r>
        <w:rPr>
          <w:rFonts w:cs="Arial" w:ascii="Arial" w:hAnsi="Arial"/>
          <w:b/>
          <w:smallCaps/>
          <w:sz w:val="16"/>
        </w:rPr>
      </w:r>
    </w:p>
    <w:p>
      <w:pPr>
        <w:pStyle w:val="Normal"/>
        <w:tabs>
          <w:tab w:val="clear" w:pos="720"/>
          <w:tab w:val="left" w:pos="-720" w:leader="none"/>
        </w:tabs>
        <w:suppressAutoHyphens w:val="true"/>
        <w:jc w:val="both"/>
        <w:rPr>
          <w:rFonts w:ascii="Arial" w:hAnsi="Arial" w:cs="Arial"/>
          <w:b/>
          <w:smallCaps/>
          <w:sz w:val="16"/>
        </w:rPr>
      </w:pPr>
      <w:r>
        <w:rPr>
          <w:rFonts w:cs="Arial" w:ascii="Arial" w:hAnsi="Arial"/>
          <w:b/>
          <w:smallCaps/>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Seller further warrants that the crude oil delivered shall not be contaminated by chemicals foreign to virgin crude oil including, but not limited to chlorinated and/or oxygenated hydrocarbons and lead.  Buyer shall have the right, without prejudice to any other remedy available to Buyer, to reject and return to Seller any quantities of crude oil, which are found to be so contaminated, even after delivery to Buyer.</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11.  Representation</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rFonts w:ascii="Arial" w:hAnsi="Arial" w:cs="Arial"/>
          <w:sz w:val="16"/>
        </w:rPr>
      </w:pPr>
      <w:r>
        <w:rPr>
          <w:rFonts w:cs="Arial" w:ascii="Arial" w:hAnsi="Arial"/>
          <w:sz w:val="16"/>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12.  Governing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12.1</w:t>
      </w:r>
      <w:r>
        <w:rPr>
          <w:rFonts w:cs="Arial" w:ascii="Arial" w:hAnsi="Arial"/>
          <w:sz w:val="16"/>
        </w:rPr>
        <w:tab/>
        <w:t xml:space="preserve">This Agreement shall be governed by, and construed, enforced and performed in accordance with Texas law and to the exclusion of the laws of any other legal system.  The parties agree that this Agreement shall be deemed to have been made in Texas.  The parties agree that the United Nations Convention on Contracts for the International Sale of Goods 1980 shall not apply to, or govern, this Agreement.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12.2</w:t>
      </w:r>
      <w:r>
        <w:rPr>
          <w:rFonts w:cs="Arial" w:ascii="Arial" w:hAnsi="Arial"/>
          <w:sz w:val="16"/>
        </w:rPr>
        <w:t xml:space="preserve">  </w:t>
        <w:tab/>
        <w:t>Notwithstanding the submission herein of each party to the personal jurisdiction of the courts as provided below, any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w:t>
      </w:r>
      <w:r>
        <w:rPr>
          <w:rFonts w:cs="Arial" w:ascii="Arial" w:hAnsi="Arial"/>
          <w:b/>
          <w:sz w:val="16"/>
        </w:rPr>
        <w:t xml:space="preserve"> the parties hereby waiving their rights, if any, to recover attorneys' fees and consequential, special, indirect, treble, exemplary and punitive damages with respect to this Agreement</w:t>
      </w:r>
      <w:r>
        <w:rPr>
          <w:rFonts w:cs="Arial" w:ascii="Arial" w:hAnsi="Arial"/>
          <w:sz w:val="16"/>
        </w:rPr>
        <w:t>.</w:t>
      </w:r>
      <w:r>
        <w:rPr>
          <w:rFonts w:cs="Arial" w:ascii="Arial" w:hAnsi="Arial"/>
          <w:b/>
          <w:sz w:val="16"/>
        </w:rPr>
        <w:t xml:space="preserve">  </w:t>
      </w:r>
      <w:r>
        <w:rPr>
          <w:rFonts w:cs="Arial" w:ascii="Arial" w:hAnsi="Arial"/>
          <w:sz w:val="16"/>
        </w:rPr>
        <w:t xml:space="preserve">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 </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12.3</w:t>
        <w:tab/>
      </w:r>
      <w:r>
        <w:rPr>
          <w:rFonts w:cs="Arial" w:ascii="Arial" w:hAnsi="Arial"/>
          <w:sz w:val="16"/>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Normal"/>
        <w:jc w:val="both"/>
        <w:rPr>
          <w:rFonts w:ascii="Arial" w:hAnsi="Arial" w:cs="Arial"/>
          <w:sz w:val="16"/>
        </w:rPr>
      </w:pPr>
      <w:r>
        <w:rPr>
          <w:rFonts w:cs="Arial" w:ascii="Arial" w:hAnsi="Arial"/>
          <w:sz w:val="16"/>
        </w:rPr>
      </w:r>
    </w:p>
    <w:p>
      <w:pPr>
        <w:pStyle w:val="Normal"/>
        <w:ind w:start="1440" w:end="0"/>
        <w:jc w:val="both"/>
        <w:rPr>
          <w:rFonts w:ascii="Arial" w:hAnsi="Arial" w:cs="Arial"/>
          <w:sz w:val="16"/>
        </w:rPr>
      </w:pPr>
      <w:r>
        <w:rPr>
          <w:rFonts w:cs="Arial" w:ascii="Arial" w:hAnsi="Arial"/>
          <w:sz w:val="16"/>
        </w:rPr>
        <w:t>(i)</w:t>
        <w:tab/>
        <w:t>consents to the exclusive personal jurisdiction of the courts located in Harris County, Texas, USA;</w:t>
      </w:r>
    </w:p>
    <w:p>
      <w:pPr>
        <w:pStyle w:val="Normal"/>
        <w:ind w:hanging="720" w:start="1440" w:end="0"/>
        <w:jc w:val="both"/>
        <w:rPr>
          <w:rFonts w:ascii="Arial" w:hAnsi="Arial" w:cs="Arial"/>
          <w:sz w:val="16"/>
        </w:rPr>
      </w:pPr>
      <w:r>
        <w:rPr>
          <w:rFonts w:cs="Arial" w:ascii="Arial" w:hAnsi="Arial"/>
          <w:sz w:val="16"/>
        </w:rPr>
      </w:r>
    </w:p>
    <w:p>
      <w:pPr>
        <w:pStyle w:val="Normal"/>
        <w:ind w:start="1440" w:end="0"/>
        <w:jc w:val="both"/>
        <w:rPr>
          <w:rFonts w:ascii="Arial" w:hAnsi="Arial" w:cs="Arial"/>
          <w:sz w:val="16"/>
        </w:rPr>
      </w:pPr>
      <w:r>
        <w:rPr>
          <w:rFonts w:cs="Arial" w:ascii="Arial" w:hAnsi="Arial"/>
          <w:sz w:val="16"/>
        </w:rPr>
        <w:t>(ii)</w:t>
        <w:tab/>
        <w:t>agrees that venue properly lies in the above-designated jurisdiction; and</w:t>
      </w:r>
    </w:p>
    <w:p>
      <w:pPr>
        <w:pStyle w:val="Normal"/>
        <w:ind w:hanging="720" w:start="1440" w:end="0"/>
        <w:jc w:val="both"/>
        <w:rPr>
          <w:rFonts w:ascii="Arial" w:hAnsi="Arial" w:cs="Arial"/>
          <w:sz w:val="16"/>
        </w:rPr>
      </w:pPr>
      <w:r>
        <w:rPr>
          <w:rFonts w:cs="Arial" w:ascii="Arial" w:hAnsi="Arial"/>
          <w:sz w:val="16"/>
        </w:rPr>
      </w:r>
    </w:p>
    <w:p>
      <w:pPr>
        <w:pStyle w:val="Normal"/>
        <w:ind w:hanging="720" w:start="2160" w:end="0"/>
        <w:jc w:val="both"/>
        <w:rPr>
          <w:rFonts w:ascii="Arial" w:hAnsi="Arial" w:cs="Arial"/>
          <w:sz w:val="16"/>
        </w:rPr>
      </w:pPr>
      <w:r>
        <w:rPr>
          <w:rFonts w:cs="Arial" w:ascii="Arial" w:hAnsi="Arial"/>
          <w:sz w:val="16"/>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Normal"/>
        <w:jc w:val="both"/>
        <w:rPr>
          <w:rFonts w:ascii="Arial" w:hAnsi="Arial" w:cs="Arial"/>
          <w:sz w:val="16"/>
        </w:rPr>
      </w:pPr>
      <w:r>
        <w:rPr>
          <w:rFonts w:cs="Arial" w:ascii="Arial" w:hAnsi="Arial"/>
          <w:sz w:val="16"/>
        </w:rPr>
      </w:r>
    </w:p>
    <w:p>
      <w:pPr>
        <w:pStyle w:val="BodyTextIndent"/>
        <w:rPr/>
      </w:pPr>
      <w:r>
        <w:rPr/>
        <w:t>(b)</w:t>
        <w:tab/>
        <w:t>The parties agree that a final judgment by any court in the above-designated jurisdiction covered by this Agreement shall be conclusive and may be enforced in other jurisdictions in any manner provided by law.</w:t>
      </w:r>
    </w:p>
    <w:p>
      <w:pPr>
        <w:pStyle w:val="Normal"/>
        <w:ind w:hanging="720" w:start="720" w:end="0"/>
        <w:jc w:val="both"/>
        <w:rPr>
          <w:rFonts w:ascii="Arial" w:hAnsi="Arial" w:cs="Arial"/>
          <w:sz w:val="16"/>
        </w:rPr>
      </w:pPr>
      <w:r>
        <w:rPr>
          <w:rFonts w:cs="Arial" w:ascii="Arial" w:hAnsi="Arial"/>
          <w:sz w:val="16"/>
        </w:rPr>
      </w:r>
    </w:p>
    <w:p>
      <w:pPr>
        <w:pStyle w:val="Normal"/>
        <w:ind w:start="720" w:end="0"/>
        <w:jc w:val="both"/>
        <w:rPr>
          <w:rFonts w:ascii="Arial" w:hAnsi="Arial" w:cs="Arial"/>
          <w:sz w:val="16"/>
        </w:rPr>
      </w:pPr>
      <w:r>
        <w:rPr>
          <w:rFonts w:cs="Arial" w:ascii="Arial" w:hAnsi="Arial"/>
          <w:sz w:val="16"/>
        </w:rPr>
        <w:t>(c)</w:t>
        <w:tab/>
        <w:t>The parties hereby waive any claim that a judgment obtained in the above-designated jurisdiction is invalid or unenforceable.</w:t>
      </w:r>
    </w:p>
    <w:p>
      <w:pPr>
        <w:pStyle w:val="Normal"/>
        <w:ind w:hanging="720" w:start="720" w:end="0"/>
        <w:jc w:val="both"/>
        <w:rPr>
          <w:rFonts w:ascii="Arial" w:hAnsi="Arial" w:cs="Arial"/>
          <w:sz w:val="16"/>
        </w:rPr>
      </w:pPr>
      <w:r>
        <w:rPr>
          <w:rFonts w:cs="Arial" w:ascii="Arial" w:hAnsi="Arial"/>
          <w:sz w:val="16"/>
        </w:rPr>
      </w:r>
    </w:p>
    <w:p>
      <w:pPr>
        <w:pStyle w:val="Normal"/>
        <w:ind w:firstLine="720" w:end="0"/>
        <w:jc w:val="both"/>
        <w:rPr>
          <w:rFonts w:ascii="Arial" w:hAnsi="Arial" w:cs="Arial"/>
          <w:sz w:val="16"/>
        </w:rPr>
      </w:pPr>
      <w:r>
        <w:rPr>
          <w:rFonts w:cs="Arial" w:ascii="Arial" w:hAnsi="Arial"/>
          <w:sz w:val="16"/>
        </w:rPr>
        <w:t>(d)</w:t>
        <w:tab/>
        <w:t>Service of process upon a party may be effected by delivery (verified by a receipt signed by a representative of the party served) to the address for notices to that party set forth elsewhere in this document.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Normal"/>
        <w:ind w:hanging="720" w:start="720" w:end="0"/>
        <w:jc w:val="both"/>
        <w:rPr>
          <w:rFonts w:ascii="Arial" w:hAnsi="Arial" w:cs="Arial"/>
          <w:sz w:val="16"/>
        </w:rPr>
      </w:pPr>
      <w:r>
        <w:rPr>
          <w:rFonts w:cs="Arial" w:ascii="Arial" w:hAnsi="Arial"/>
          <w:sz w:val="16"/>
        </w:rPr>
      </w:r>
    </w:p>
    <w:p>
      <w:pPr>
        <w:pStyle w:val="BodyText3"/>
        <w:rPr/>
      </w:pPr>
      <w:r>
        <w:rPr/>
        <w:tab/>
        <w:t>(e)</w:t>
        <w:tab/>
        <w:t>To the extent that either party may, in any jurisdiction, now or hereafter, claim or acquire for itself or its assets, immunity from suit, execution, attachment (whether in aid of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13.  New or Changed Laws and Regulations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13.1</w:t>
      </w:r>
      <w:r>
        <w:rPr>
          <w:rFonts w:cs="Arial" w:ascii="Arial" w:hAnsi="Arial"/>
          <w:sz w:val="16"/>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6"/>
          <w:u w:val="single"/>
        </w:rPr>
        <w:t xml:space="preserve"> </w:t>
      </w:r>
      <w:r>
        <w:rPr>
          <w:rFonts w:cs="Arial" w:ascii="Arial" w:hAnsi="Arial"/>
          <w:sz w:val="16"/>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13.2</w:t>
      </w:r>
      <w:r>
        <w:rPr>
          <w:rFonts w:cs="Arial" w:ascii="Arial" w:hAnsi="Arial"/>
          <w:sz w:val="16"/>
        </w:rPr>
        <w:tab/>
        <w:t xml:space="preserve">For the purpose of this Agreement, the term </w:t>
      </w:r>
      <w:r>
        <w:rPr>
          <w:rFonts w:cs="Arial" w:ascii="Arial" w:hAnsi="Arial"/>
          <w:b/>
          <w:sz w:val="16"/>
        </w:rPr>
        <w:t>"Laws and Regulations"</w:t>
      </w:r>
      <w:r>
        <w:rPr>
          <w:rFonts w:cs="Arial" w:ascii="Arial" w:hAnsi="Arial"/>
          <w:sz w:val="16"/>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14.  Waiver of Sovereign Immunity</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15.  Inconsistency of Terms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15.1</w:t>
      </w:r>
      <w:r>
        <w:rPr>
          <w:rFonts w:cs="Arial" w:ascii="Arial" w:hAnsi="Arial"/>
          <w:sz w:val="16"/>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15.2</w:t>
      </w:r>
      <w:r>
        <w:rPr>
          <w:rFonts w:cs="Arial" w:ascii="Arial" w:hAnsi="Arial"/>
          <w:sz w:val="16"/>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rFonts w:ascii="Arial" w:hAnsi="Arial" w:cs="Arial"/>
          <w:sz w:val="16"/>
        </w:rPr>
      </w:pPr>
      <w:r>
        <w:rPr>
          <w:rFonts w:cs="Arial" w:ascii="Arial" w:hAnsi="Arial"/>
          <w:b/>
          <w:sz w:val="16"/>
        </w:rPr>
        <w:t>16.  Notices</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center"/>
        <w:rPr>
          <w:rFonts w:ascii="Arial" w:hAnsi="Arial" w:cs="Arial"/>
          <w:sz w:val="16"/>
        </w:rPr>
      </w:pPr>
      <w:r>
        <w:rPr>
          <w:rFonts w:cs="Arial" w:ascii="Arial" w:hAnsi="Arial"/>
          <w:b/>
          <w:sz w:val="16"/>
        </w:rPr>
        <w:t>17.  Measurement and Sampling</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17.1</w:t>
      </w:r>
      <w:r>
        <w:rPr>
          <w:rFonts w:cs="Arial" w:ascii="Arial" w:hAnsi="Arial"/>
          <w:sz w:val="16"/>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17.2</w:t>
        <w:tab/>
      </w:r>
      <w:r>
        <w:rPr>
          <w:rFonts w:cs="Arial" w:ascii="Arial" w:hAnsi="Arial"/>
          <w:sz w:val="16"/>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6"/>
        </w:rPr>
        <w:t>“Delivery Facility”</w:t>
      </w:r>
      <w:r>
        <w:rPr>
          <w:rFonts w:cs="Arial" w:ascii="Arial" w:hAnsi="Arial"/>
          <w:sz w:val="16"/>
        </w:rPr>
        <w:t>) at the time of delivery, unless otherwise provided for specifically in the Special Terms and Conditions.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17.3</w:t>
      </w:r>
      <w:r>
        <w:rPr>
          <w:rFonts w:cs="Arial" w:ascii="Arial" w:hAnsi="Arial"/>
          <w:sz w:val="16"/>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For ethane, E-P, and raw make mixtures, volumes of the component Products shall be determined (where practical) on a mass (pound) measurement basis in accordance with the latest edition of </w:t>
      </w:r>
      <w:r>
        <w:rPr>
          <w:rFonts w:cs="Arial" w:ascii="Arial" w:hAnsi="Arial"/>
          <w:sz w:val="16"/>
          <w:u w:val="single"/>
        </w:rPr>
        <w:t>GPA Publications 8173 and 8182</w:t>
      </w:r>
      <w:r>
        <w:rPr>
          <w:rFonts w:cs="Arial" w:ascii="Arial" w:hAnsi="Arial"/>
          <w:sz w:val="16"/>
        </w:rPr>
        <w:t>.</w:t>
      </w:r>
    </w:p>
    <w:p>
      <w:pPr>
        <w:pStyle w:val="Normal"/>
        <w:jc w:val="both"/>
        <w:rPr>
          <w:rFonts w:ascii="Arial" w:hAnsi="Arial" w:cs="Arial"/>
          <w:sz w:val="16"/>
        </w:rPr>
      </w:pPr>
      <w:r>
        <w:rPr>
          <w:rFonts w:cs="Arial" w:ascii="Arial" w:hAnsi="Arial"/>
          <w:sz w:val="16"/>
        </w:rPr>
      </w:r>
    </w:p>
    <w:p>
      <w:pPr>
        <w:pStyle w:val="BodyTextIndent"/>
        <w:rPr/>
      </w:pPr>
      <w:r>
        <w:rPr/>
        <w:t>For crude oil, all measurements hereunder shall be made from static tank gauges on 100 percent tank table basis or by positive displacement meters.  All measurements and tests shall be made in accordance with the latest ASTM or ASME-API (Petroleum PD Meter Code) published methods then in effect, whichever apply.  Volume and gravity shall be adjusted to 60 degrees Fahrenheit by the use of Table 6A and 5A of the Petroleum Measurement Tables ASTM Designation D1250 in their latest revision.  The crude oil delivered hereunder shall be marketable and acceptable in the applicable common or segregated stream of the carriers involved but not to exceed 1% S&amp;W.  Full deduction for all free water and S&amp;W content shall be made according to the API/ASTM Standard Method then in effect.  Either party shall have the right to have a representative witness all gauges, tests and measurements.  In the absence of the other party's representative, such gauges, tests and measurements shall be deemed to be correct.</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17.4</w:t>
      </w:r>
      <w:r>
        <w:rPr>
          <w:rFonts w:cs="Arial" w:ascii="Arial" w:hAnsi="Arial"/>
          <w:sz w:val="16"/>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17.5</w:t>
      </w:r>
      <w:r>
        <w:rPr>
          <w:rFonts w:cs="Arial" w:ascii="Arial" w:hAnsi="Arial"/>
          <w:sz w:val="16"/>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6"/>
        </w:rPr>
      </w:pPr>
      <w:r>
        <w:rPr>
          <w:rFonts w:cs="Arial" w:ascii="Arial" w:hAnsi="Arial"/>
          <w:sz w:val="16"/>
        </w:rPr>
      </w:r>
    </w:p>
    <w:p>
      <w:pPr>
        <w:pStyle w:val="Normal"/>
        <w:jc w:val="both"/>
        <w:rPr/>
      </w:pPr>
      <w:r>
        <w:rPr>
          <w:rFonts w:cs="Arial" w:ascii="Arial" w:hAnsi="Arial"/>
          <w:b/>
          <w:sz w:val="16"/>
        </w:rPr>
        <w:t>17.6</w:t>
      </w:r>
      <w:r>
        <w:rPr>
          <w:rFonts w:cs="Arial" w:ascii="Arial" w:hAnsi="Arial"/>
          <w:sz w:val="16"/>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r>
    </w:p>
    <w:p>
      <w:pPr>
        <w:pStyle w:val="Normal"/>
        <w:keepNext w:val="true"/>
        <w:keepLines/>
        <w:tabs>
          <w:tab w:val="clear" w:pos="720"/>
          <w:tab w:val="center" w:pos="4680" w:leader="none"/>
        </w:tabs>
        <w:suppressAutoHyphens w:val="true"/>
        <w:jc w:val="center"/>
        <w:rPr>
          <w:rFonts w:ascii="Arial" w:hAnsi="Arial" w:cs="Arial"/>
          <w:sz w:val="16"/>
        </w:rPr>
      </w:pPr>
      <w:r>
        <w:rPr>
          <w:rFonts w:cs="Arial" w:ascii="Arial" w:hAnsi="Arial"/>
          <w:b/>
          <w:sz w:val="16"/>
        </w:rPr>
        <w:t>18.  Other</w:t>
      </w:r>
    </w:p>
    <w:p>
      <w:pPr>
        <w:pStyle w:val="Normal"/>
        <w:keepNext w:val="true"/>
        <w:keepLines/>
        <w:tabs>
          <w:tab w:val="clear" w:pos="720"/>
          <w:tab w:val="left" w:pos="-720" w:leader="none"/>
        </w:tabs>
        <w:suppressAutoHyphens w:val="true"/>
        <w:jc w:val="both"/>
        <w:rPr>
          <w:rFonts w:ascii="Arial" w:hAnsi="Arial" w:cs="Arial"/>
          <w:sz w:val="16"/>
        </w:rPr>
      </w:pPr>
      <w:r>
        <w:rPr>
          <w:rFonts w:cs="Arial" w:ascii="Arial" w:hAnsi="Arial"/>
          <w:sz w:val="16"/>
        </w:rPr>
      </w:r>
    </w:p>
    <w:p>
      <w:pPr>
        <w:pStyle w:val="Normal"/>
        <w:keepLines/>
        <w:tabs>
          <w:tab w:val="clear" w:pos="720"/>
          <w:tab w:val="left" w:pos="-720" w:leader="none"/>
        </w:tabs>
        <w:suppressAutoHyphens w:val="true"/>
        <w:jc w:val="both"/>
        <w:rPr/>
      </w:pPr>
      <w:r>
        <w:rPr>
          <w:rFonts w:cs="Arial" w:ascii="Arial" w:hAnsi="Arial"/>
          <w:b/>
          <w:sz w:val="16"/>
        </w:rPr>
        <w:t>18.1</w:t>
      </w:r>
      <w:r>
        <w:rPr>
          <w:rFonts w:cs="Arial" w:ascii="Arial" w:hAnsi="Arial"/>
          <w:sz w:val="16"/>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18.2</w:t>
      </w:r>
      <w:r>
        <w:rPr>
          <w:rFonts w:cs="Arial" w:ascii="Arial" w:hAnsi="Arial"/>
          <w:sz w:val="16"/>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18.3</w:t>
      </w:r>
      <w:r>
        <w:rPr>
          <w:rFonts w:cs="Arial" w:ascii="Arial" w:hAnsi="Arial"/>
          <w:sz w:val="16"/>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jc w:val="both"/>
        <w:rPr/>
      </w:pPr>
      <w:r>
        <w:rPr>
          <w:rFonts w:cs="Arial" w:ascii="Arial" w:hAnsi="Arial"/>
          <w:b/>
          <w:sz w:val="16"/>
        </w:rPr>
        <w:t>18.4</w:t>
      </w:r>
      <w:r>
        <w:rPr>
          <w:rFonts w:cs="Arial" w:ascii="Arial" w:hAnsi="Arial"/>
          <w:sz w:val="16"/>
        </w:rPr>
        <w:tab/>
        <w:t xml:space="preserve">Each Party shall, in the performance of this Agreement, comply with all applicable Laws and Regulations (defined in Section 13.2), including all applicable federal, state and local environmental laws and regulations,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The Parties agree to cooperate and conduct their businesses and activities pursuant to this Agreement in such a manner so as to ensure that neither Party nor any of its Affiliates is placed in a position of noncompliance with U.S. Laws and Regulations, including but not limited to, any reporting requirements and any such laws and regulations pertaining to trade sanctions.  If ERAC is Buyer, Seller shall, if requested by ERAC, provide ERAC a certificate of origin for the Product. IF ERAC is Seller, at ERAC’s request, Buyer shall notify ERAC of the final destination of the Product and provide ERAC with relevant documentation adequate to verify such destination. </w:t>
      </w:r>
      <w:r>
        <w:rPr>
          <w:rFonts w:cs="Arial" w:ascii="Arial" w:hAnsi="Arial"/>
          <w:color w:val="000000"/>
          <w:sz w:val="16"/>
        </w:rPr>
        <w:t>It is a condition of this Agreement that the Seller complies with its obligations under this clause. In the event that the Seller is in breach of its obligations hereunder in whole or in part ERAC shall be entitled to reject the Product and claim damages.</w:t>
      </w:r>
    </w:p>
    <w:p>
      <w:pPr>
        <w:pStyle w:val="Normal"/>
        <w:tabs>
          <w:tab w:val="clear" w:pos="720"/>
          <w:tab w:val="left" w:pos="-720" w:leader="none"/>
        </w:tabs>
        <w:suppressAutoHyphens w:val="true"/>
        <w:jc w:val="both"/>
        <w:rPr>
          <w:rFonts w:ascii="Arial" w:hAnsi="Arial" w:eastAsia="Arial" w:cs="Arial"/>
          <w:sz w:val="16"/>
        </w:rPr>
      </w:pPr>
      <w:r>
        <w:rPr>
          <w:rFonts w:eastAsia="Arial" w:cs="Arial" w:ascii="Arial" w:hAnsi="Arial"/>
          <w:sz w:val="16"/>
        </w:rPr>
        <w:t xml:space="preserve"> </w:t>
      </w:r>
    </w:p>
    <w:p>
      <w:pPr>
        <w:pStyle w:val="BodyText"/>
        <w:spacing w:lineRule="auto" w:line="240"/>
        <w:rPr/>
      </w:pPr>
      <w:r>
        <w:rPr>
          <w:b/>
          <w:sz w:val="16"/>
        </w:rPr>
        <w:t>18.5</w:t>
      </w:r>
      <w:r>
        <w:rPr>
          <w:sz w:val="16"/>
        </w:rPr>
        <w:tab/>
        <w:t>Each Party shall maintain the records required to be maintained by the applicable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Products.</w:t>
      </w:r>
    </w:p>
    <w:p>
      <w:pPr>
        <w:pStyle w:val="Normal"/>
        <w:jc w:val="both"/>
        <w:rPr>
          <w:rFonts w:ascii="Arial" w:hAnsi="Arial" w:cs="Arial"/>
          <w:sz w:val="16"/>
          <w:u w:val="single"/>
        </w:rPr>
      </w:pPr>
      <w:r>
        <w:rPr>
          <w:rFonts w:cs="Arial" w:ascii="Arial" w:hAnsi="Arial"/>
          <w:sz w:val="16"/>
          <w:u w:val="single"/>
        </w:rPr>
      </w:r>
    </w:p>
    <w:p>
      <w:pPr>
        <w:pStyle w:val="Normal"/>
        <w:tabs>
          <w:tab w:val="clear" w:pos="720"/>
          <w:tab w:val="left" w:pos="-720" w:leader="none"/>
        </w:tabs>
        <w:suppressAutoHyphens w:val="true"/>
        <w:jc w:val="both"/>
        <w:rPr>
          <w:rFonts w:ascii="Arial" w:hAnsi="Arial" w:cs="Arial"/>
          <w:b/>
          <w:sz w:val="16"/>
          <w:u w:val="single"/>
        </w:rPr>
      </w:pPr>
      <w:r>
        <w:rPr>
          <w:rFonts w:cs="Arial" w:ascii="Arial" w:hAnsi="Arial"/>
          <w:b/>
          <w:sz w:val="16"/>
          <w:u w:val="single"/>
        </w:rPr>
      </w:r>
    </w:p>
    <w:p>
      <w:pPr>
        <w:pStyle w:val="Normal"/>
        <w:tabs>
          <w:tab w:val="clear" w:pos="720"/>
          <w:tab w:val="left" w:pos="-720" w:leader="none"/>
        </w:tabs>
        <w:suppressAutoHyphens w:val="true"/>
        <w:jc w:val="both"/>
        <w:rPr/>
      </w:pPr>
      <w:r>
        <w:rPr>
          <w:rFonts w:cs="Arial" w:ascii="Arial" w:hAnsi="Arial"/>
          <w:b/>
          <w:sz w:val="16"/>
        </w:rPr>
        <w:t>18.6</w:t>
      </w:r>
      <w:r>
        <w:rPr>
          <w:rFonts w:cs="Arial" w:ascii="Arial" w:hAnsi="Arial"/>
          <w:sz w:val="16"/>
        </w:rPr>
        <w:tab/>
        <w:t xml:space="preserve">If any Loss (meaning any loss, spill, discharge or release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18.7</w:t>
      </w:r>
      <w:r>
        <w:rPr>
          <w:rFonts w:cs="Arial" w:ascii="Arial" w:hAnsi="Arial"/>
          <w:sz w:val="16"/>
        </w:rPr>
        <w:tab/>
        <w:t>Upon the expiration of the Parties' sale, purchase or exchange obligations under this Agreement, within sixty (60) days:  (a)  each Party shall pay  the other any monies, costs, expenses or other sums due and owing; (b) any corrections or adjustments to payments previously made to either Party shall be determined; and (c) any refunds due by one Party to other shall be paid.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18.8</w:t>
      </w:r>
      <w:r>
        <w:rPr>
          <w:rFonts w:cs="Arial" w:ascii="Arial" w:hAnsi="Arial"/>
          <w:sz w:val="16"/>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18.9</w:t>
      </w:r>
      <w:r>
        <w:rPr>
          <w:rFonts w:cs="Arial" w:ascii="Arial" w:hAnsi="Arial"/>
          <w:sz w:val="16"/>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spacing w:before="0" w:after="60"/>
        <w:jc w:val="both"/>
        <w:rPr/>
      </w:pPr>
      <w:r>
        <w:rPr>
          <w:rFonts w:cs="Arial" w:ascii="Arial" w:hAnsi="Arial"/>
          <w:b/>
          <w:sz w:val="16"/>
        </w:rPr>
        <w:t>18.10</w:t>
        <w:tab/>
      </w:r>
      <w:r>
        <w:rPr>
          <w:rFonts w:cs="Arial" w:ascii="Arial" w:hAnsi="Arial"/>
          <w:sz w:val="16"/>
        </w:rPr>
        <w:t xml:space="preserve">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rFonts w:cs="Arial" w:ascii="Arial" w:hAnsi="Arial"/>
          <w:i/>
          <w:sz w:val="16"/>
        </w:rPr>
        <w:t xml:space="preserve">provided, however, </w:t>
      </w:r>
      <w:r>
        <w:rPr>
          <w:rFonts w:cs="Arial" w:ascii="Arial" w:hAnsi="Arial"/>
          <w:sz w:val="16"/>
        </w:rPr>
        <w:t>that in each such case any such assignee shall agree in writing to be bound by the terms and conditions hereof and that such assignment complies with these provisions.  “Affiliate” means, with respect to any person, any other person (other than an individual) that directly or indirectly, through one or more intermediaries, controls or is controlled by, or is under common control with, such person.  For this purpose, “</w:t>
      </w:r>
      <w:r>
        <w:rPr>
          <w:rFonts w:cs="Arial" w:ascii="Arial" w:hAnsi="Arial"/>
          <w:sz w:val="16"/>
          <w:u w:val="single"/>
        </w:rPr>
        <w:t>control</w:t>
      </w:r>
      <w:r>
        <w:rPr>
          <w:rFonts w:cs="Arial" w:ascii="Arial" w:hAnsi="Arial"/>
          <w:sz w:val="16"/>
        </w:rPr>
        <w:t>” means the direct or indirect ownership of 50% or more of the outstanding capital stock or other equity interests having ordinary voting power. Any assignment not made in accordance with this Section shall be void.</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18.11</w:t>
        <w:tab/>
      </w:r>
      <w:r>
        <w:rPr>
          <w:rFonts w:cs="Arial" w:ascii="Arial" w:hAnsi="Arial"/>
          <w:sz w:val="16"/>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18.12</w:t>
        <w:tab/>
      </w:r>
      <w:r>
        <w:rPr>
          <w:rFonts w:cs="Arial" w:ascii="Arial" w:hAnsi="Arial"/>
          <w:sz w:val="16"/>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18.13</w:t>
        <w:tab/>
      </w:r>
      <w:r>
        <w:rPr>
          <w:rFonts w:cs="Arial" w:ascii="Arial" w:hAnsi="Arial"/>
          <w:sz w:val="16"/>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left" w:pos="-720" w:leader="none"/>
        </w:tabs>
        <w:suppressAutoHyphens w:val="true"/>
        <w:jc w:val="both"/>
        <w:rPr/>
      </w:pPr>
      <w:r>
        <w:rPr>
          <w:rFonts w:cs="Arial" w:ascii="Arial" w:hAnsi="Arial"/>
          <w:b/>
          <w:sz w:val="16"/>
        </w:rPr>
        <w:t>18.14</w:t>
        <w:tab/>
      </w:r>
      <w:r>
        <w:rPr>
          <w:rFonts w:cs="Arial" w:ascii="Arial" w:hAnsi="Arial"/>
          <w:sz w:val="16"/>
        </w:rPr>
        <w:t>Seller shall provide its Material Safety Data Sheet ("MSDS") to Buyer.  Buyer acknowledges the hazards and risks in handling and using crude oil.  Buyer shall read the MSDS and advise its employees, its affiliates, and third parties, who may purchase or come into contact with such crude oil, about the hazards of crude oil, as well as the precautionary procedures for handling said crude oil, which are set forth in such MSDS and any supplementary MSDS or written warning(s) which Seller may provide to Buyer from time to time.</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18.15</w:t>
      </w:r>
      <w:r>
        <w:rPr>
          <w:rFonts w:cs="Arial" w:ascii="Arial" w:hAnsi="Arial"/>
          <w:sz w:val="16"/>
        </w:rPr>
        <w:tab/>
        <w:t>For pricing purposes only, unless otherwise specified in the Special Provisions, all crude oil delivered hereunder during any calendar month shall be considered to have been delivered in equal daily quantities during such month.</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18.16</w:t>
        <w:tab/>
      </w:r>
      <w:r>
        <w:rPr>
          <w:rFonts w:cs="Arial" w:ascii="Arial" w:hAnsi="Arial"/>
          <w:sz w:val="16"/>
        </w:rPr>
        <w:t>Unless otherwise specified in the Special Provisions, delivery months begin at 7:00 on the first day of the calendar month and ends at 7:00 a.m. on the first day of the following calendar month.</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18.17</w:t>
        <w:tab/>
      </w:r>
      <w:r>
        <w:rPr>
          <w:rFonts w:cs="Arial" w:ascii="Arial" w:hAnsi="Arial"/>
          <w:sz w:val="16"/>
        </w:rPr>
        <w:t>Upon request, each party agrees to furnish all substantiating documents incident to the transaction, including a Delivery Ticket for each volume delivered and an invoice for any month in which the sums are due.</w:t>
      </w:r>
    </w:p>
    <w:p>
      <w:pPr>
        <w:pStyle w:val="Normal"/>
        <w:jc w:val="both"/>
        <w:rPr>
          <w:rFonts w:ascii="Arial" w:hAnsi="Arial" w:cs="Arial"/>
          <w:sz w:val="16"/>
        </w:rPr>
      </w:pPr>
      <w:r>
        <w:rPr>
          <w:rFonts w:cs="Arial" w:ascii="Arial" w:hAnsi="Arial"/>
          <w:sz w:val="16"/>
        </w:rPr>
      </w:r>
    </w:p>
    <w:p>
      <w:pPr>
        <w:pStyle w:val="Normal"/>
        <w:jc w:val="both"/>
        <w:rPr/>
      </w:pPr>
      <w:r>
        <w:rPr>
          <w:rFonts w:cs="Arial" w:ascii="Arial" w:hAnsi="Arial"/>
          <w:b/>
          <w:sz w:val="16"/>
        </w:rPr>
        <w:t>18.18</w:t>
        <w:tab/>
      </w:r>
      <w:r>
        <w:rPr>
          <w:rFonts w:cs="Arial" w:ascii="Arial" w:hAnsi="Arial"/>
          <w:sz w:val="16"/>
        </w:rPr>
        <w:t>Definitions:  when used in this Agreement, the terms listed below have the following meanings:</w:t>
      </w:r>
    </w:p>
    <w:p>
      <w:pPr>
        <w:pStyle w:val="Normal"/>
        <w:ind w:firstLine="720" w:end="0"/>
        <w:jc w:val="both"/>
        <w:rPr>
          <w:rFonts w:ascii="Arial" w:hAnsi="Arial" w:cs="Arial"/>
          <w:sz w:val="16"/>
        </w:rPr>
      </w:pPr>
      <w:r>
        <w:rPr>
          <w:rFonts w:cs="Arial" w:ascii="Arial" w:hAnsi="Arial"/>
          <w:sz w:val="16"/>
        </w:rPr>
        <w:t>"API" means the American Petroleum Institute.</w:t>
      </w:r>
    </w:p>
    <w:p>
      <w:pPr>
        <w:pStyle w:val="Normal"/>
        <w:ind w:firstLine="720" w:end="0"/>
        <w:jc w:val="both"/>
        <w:rPr>
          <w:rFonts w:ascii="Arial" w:hAnsi="Arial" w:cs="Arial"/>
          <w:sz w:val="16"/>
        </w:rPr>
      </w:pPr>
      <w:r>
        <w:rPr>
          <w:rFonts w:cs="Arial" w:ascii="Arial" w:hAnsi="Arial"/>
          <w:sz w:val="16"/>
        </w:rPr>
        <w:t>"ASME" means the American Society of Mechanical Engineers.</w:t>
      </w:r>
    </w:p>
    <w:p>
      <w:pPr>
        <w:pStyle w:val="BodyTextIndent"/>
        <w:rPr/>
      </w:pPr>
      <w:r>
        <w:rPr/>
        <w:t>"ASTM" means the American Society for Testing Materials.</w:t>
      </w:r>
    </w:p>
    <w:p>
      <w:pPr>
        <w:pStyle w:val="Normal"/>
        <w:ind w:firstLine="720" w:end="0"/>
        <w:jc w:val="both"/>
        <w:rPr>
          <w:rFonts w:ascii="Arial" w:hAnsi="Arial" w:cs="Arial"/>
          <w:sz w:val="16"/>
        </w:rPr>
      </w:pPr>
      <w:r>
        <w:rPr>
          <w:rFonts w:cs="Arial" w:ascii="Arial" w:hAnsi="Arial"/>
          <w:sz w:val="16"/>
        </w:rPr>
        <w:t>"Barrel" means 42 U.S. gallons of 231 cubic inches per gallon corrected to 60 degrees Fahrenheit.</w:t>
      </w:r>
    </w:p>
    <w:p>
      <w:pPr>
        <w:pStyle w:val="Normal"/>
        <w:ind w:firstLine="720" w:end="0"/>
        <w:jc w:val="both"/>
        <w:rPr>
          <w:rFonts w:ascii="Arial" w:hAnsi="Arial" w:cs="Arial"/>
          <w:sz w:val="16"/>
        </w:rPr>
      </w:pPr>
      <w:r>
        <w:rPr>
          <w:rFonts w:cs="Arial" w:ascii="Arial" w:hAnsi="Arial"/>
          <w:sz w:val="16"/>
        </w:rPr>
        <w:t>"Carrier" means a pipeline, barge, truck, or other suitable transporter of crude oil.</w:t>
      </w:r>
    </w:p>
    <w:p>
      <w:pPr>
        <w:pStyle w:val="Normal"/>
        <w:ind w:firstLine="720" w:end="0"/>
        <w:jc w:val="both"/>
        <w:rPr>
          <w:rFonts w:ascii="Arial" w:hAnsi="Arial" w:cs="Arial"/>
          <w:sz w:val="16"/>
        </w:rPr>
      </w:pPr>
      <w:r>
        <w:rPr>
          <w:rFonts w:cs="Arial" w:ascii="Arial" w:hAnsi="Arial"/>
          <w:sz w:val="16"/>
        </w:rPr>
        <w:t>"Crude Oil" means crude oil or condensate, as appropriate.</w:t>
      </w:r>
    </w:p>
    <w:p>
      <w:pPr>
        <w:pStyle w:val="Normal"/>
        <w:ind w:firstLine="720" w:end="0"/>
        <w:jc w:val="both"/>
        <w:rPr>
          <w:rFonts w:ascii="Arial" w:hAnsi="Arial" w:cs="Arial"/>
          <w:sz w:val="16"/>
        </w:rPr>
      </w:pPr>
      <w:r>
        <w:rPr>
          <w:rFonts w:cs="Arial" w:ascii="Arial" w:hAnsi="Arial"/>
          <w:sz w:val="16"/>
        </w:rPr>
        <w:t xml:space="preserve">"Day", "month," and "year" mean, respectively, calendar day, calendar month, and calendar year, unless otherwise specified. </w:t>
      </w:r>
    </w:p>
    <w:p>
      <w:pPr>
        <w:pStyle w:val="BodyTextIndent3"/>
        <w:rPr/>
      </w:pPr>
      <w:r>
        <w:rPr/>
        <w:t>"Delivery Ticket" means a shipping/loading document or documents stating the type and quality of crude oil delivered, the volume delivered and method of measurement, the corrected specific gravity, temperature, and S&amp;W content.</w:t>
      </w:r>
    </w:p>
    <w:p>
      <w:pPr>
        <w:pStyle w:val="BodyTextIndent3"/>
        <w:rPr/>
      </w:pPr>
      <w:r>
        <w:rPr/>
        <w:t>"Invoice" means a statement setting forth at least the following information: The date(s) of delivery under the transaction; the location(s) of delivery; the volume(s); price(s); the specific gravity and gravity adjustments to the price(s) (where applicable); and the term(s) of payment.</w:t>
      </w:r>
    </w:p>
    <w:p>
      <w:pPr>
        <w:pStyle w:val="Normal"/>
        <w:ind w:firstLine="720" w:end="0"/>
        <w:jc w:val="both"/>
        <w:rPr>
          <w:rFonts w:ascii="Arial" w:hAnsi="Arial" w:cs="Arial"/>
          <w:sz w:val="16"/>
        </w:rPr>
      </w:pPr>
      <w:r>
        <w:rPr>
          <w:rFonts w:cs="Arial" w:ascii="Arial" w:hAnsi="Arial"/>
          <w:sz w:val="16"/>
        </w:rPr>
        <w:t>"S&amp;W" means sediment and water.</w:t>
      </w:r>
    </w:p>
    <w:p>
      <w:pPr>
        <w:pStyle w:val="Normal"/>
        <w:tabs>
          <w:tab w:val="clear" w:pos="720"/>
          <w:tab w:val="center" w:pos="4680" w:leader="none"/>
        </w:tabs>
        <w:suppressAutoHyphens w:val="true"/>
        <w:jc w:val="center"/>
        <w:rPr>
          <w:rFonts w:ascii="Arial" w:hAnsi="Arial" w:cs="Arial"/>
          <w:sz w:val="16"/>
        </w:rPr>
      </w:pPr>
      <w:r>
        <w:rPr>
          <w:rFonts w:cs="Arial" w:ascii="Arial" w:hAnsi="Arial"/>
          <w:sz w:val="16"/>
        </w:rPr>
        <w:t>*          *          *</w:t>
      </w:r>
    </w:p>
    <w:p>
      <w:pPr>
        <w:pStyle w:val="Normal"/>
        <w:tabs>
          <w:tab w:val="clear" w:pos="720"/>
          <w:tab w:val="left" w:pos="-720" w:leader="none"/>
        </w:tabs>
        <w:suppressAutoHyphens w:val="true"/>
        <w:jc w:val="both"/>
        <w:rPr>
          <w:rFonts w:ascii="Arial" w:hAnsi="Arial" w:cs="Arial"/>
          <w:sz w:val="16"/>
        </w:rPr>
      </w:pPr>
      <w:r>
        <w:rPr>
          <w:rFonts w:cs="Arial" w:ascii="Arial" w:hAnsi="Arial"/>
          <w:sz w:val="16"/>
        </w:rPr>
      </w:r>
    </w:p>
    <w:p>
      <w:pPr>
        <w:pStyle w:val="Normal"/>
        <w:tabs>
          <w:tab w:val="clear" w:pos="720"/>
          <w:tab w:val="center" w:pos="4680" w:leader="none"/>
        </w:tabs>
        <w:suppressAutoHyphens w:val="true"/>
        <w:jc w:val="center"/>
        <w:rPr/>
      </w:pPr>
      <w:r>
        <w:rPr/>
        <w:t>[End of General Terms and Conditions]</w:t>
      </w:r>
    </w:p>
    <w:p>
      <w:pPr>
        <w:sectPr>
          <w:type w:val="continuous"/>
          <w:pgSz w:w="12240" w:h="15840"/>
          <w:pgMar w:left="720" w:right="720" w:gutter="0" w:header="0" w:top="720" w:footer="555" w:bottom="720"/>
          <w:formProt w:val="false"/>
          <w:titlePg/>
          <w:textDirection w:val="lrTb"/>
          <w:docGrid w:type="default" w:linePitch="360" w:charSpace="0"/>
        </w:sectPr>
      </w:pPr>
    </w:p>
    <w:p>
      <w:pPr>
        <w:pStyle w:val="Normal"/>
        <w:rPr>
          <w:rFonts w:ascii="Arial" w:hAnsi="Arial" w:cs="Arial"/>
          <w:sz w:val="16"/>
        </w:rPr>
      </w:pPr>
      <w:r>
        <w:rPr>
          <w:rFonts w:cs="Arial" w:ascii="Arial" w:hAnsi="Arial"/>
          <w:sz w:val="16"/>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fldChar w:fldCharType="begin"/>
    </w:r>
    <w:r>
      <w:rPr>
        <w:sz w:val="10"/>
      </w:rPr>
      <w:instrText xml:space="preserve"> FILENAME \p </w:instrText>
    </w:r>
    <w:r>
      <w:rPr>
        <w:sz w:val="10"/>
      </w:rPr>
      <w:fldChar w:fldCharType="separate"/>
    </w:r>
    <w:r>
      <w:rPr>
        <w:sz w:val="10"/>
      </w:rPr>
      <w:t>/mnt/main-storage/datasets/enron-docs/doc/ERAC_GTCS_3_01rev1.doc</w:t>
    </w:r>
    <w:r>
      <w:rPr>
        <w:sz w:val="10"/>
      </w:rPr>
      <w:fldChar w:fldCharType="end"/>
    </w:r>
  </w:p>
  <w:p>
    <w:pPr>
      <w:pStyle w:val="Normal"/>
      <w:tabs>
        <w:tab w:val="clear" w:pos="720"/>
        <w:tab w:val="center" w:pos="4680" w:leader="none"/>
      </w:tabs>
      <w:suppressAutoHyphens w:val="true"/>
      <w:jc w:val="center"/>
      <w:rPr/>
    </w:pP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8</w:t>
    </w:r>
    <w:r>
      <w:rPr>
        <w:sz w:val="16"/>
        <w:rFonts w:cs="Arial" w:ascii="Arial" w:hAnsi="Arial"/>
      </w:rPr>
      <w:fldChar w:fldCharType="end"/>
    </w:r>
    <w:r>
      <w:rPr>
        <w:rFonts w:cs="Arial" w:ascii="Arial" w:hAnsi="Arial"/>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t>ERAC GTC’s Online 7199 rev (by NF Jan’00)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720"/>
        </w:tabs>
        <w:ind w:start="720" w:hanging="720"/>
      </w:pPr>
      <w:rPr>
        <w:b/>
      </w:rPr>
    </w:lvl>
    <w:lvl w:ilvl="1">
      <w:start w:val="7"/>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2">
    <w:lvl w:ilvl="0">
      <w:start w:val="8"/>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3">
    <w:lvl w:ilvl="0">
      <w:start w:val="3"/>
      <w:numFmt w:val="decimal"/>
      <w:lvlText w:val="%1"/>
      <w:lvlJc w:val="start"/>
      <w:pPr>
        <w:tabs>
          <w:tab w:val="num" w:pos="720"/>
        </w:tabs>
        <w:ind w:start="720" w:hanging="720"/>
      </w:pPr>
      <w:rPr>
        <w:b/>
      </w:rPr>
    </w:lvl>
    <w:lvl w:ilvl="1">
      <w:start w:val="4"/>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080"/>
        </w:tabs>
        <w:ind w:start="1080" w:hanging="1080"/>
      </w:pPr>
      <w:rPr>
        <w:b/>
      </w:rPr>
    </w:lvl>
    <w:lvl w:ilvl="8">
      <w:start w:val="1"/>
      <w:numFmt w:val="decimal"/>
      <w:lvlText w:val="%1.%2.%3.%4.%5.%6.%7.%8.%9"/>
      <w:lvlJc w:val="start"/>
      <w:pPr>
        <w:tabs>
          <w:tab w:val="num" w:pos="1440"/>
        </w:tabs>
        <w:ind w:start="1440" w:hanging="1440"/>
      </w:pPr>
      <w:rPr>
        <w:b/>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b/>
    </w:rPr>
  </w:style>
  <w:style w:type="character" w:styleId="WW8Num7z0">
    <w:name w:val="WW8Num7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paragraph" w:styleId="BodyText2">
    <w:name w:val="Body Text 2"/>
    <w:basedOn w:val="Normal"/>
    <w:qFormat/>
    <w:pPr>
      <w:jc w:val="both"/>
    </w:pPr>
    <w:rPr>
      <w:rFonts w:ascii="Arial" w:hAnsi="Arial" w:cs="Arial"/>
      <w:color w:val="0000FF"/>
      <w:sz w:val="16"/>
    </w:rPr>
  </w:style>
  <w:style w:type="paragraph" w:styleId="BodyTextIndent">
    <w:name w:val="Body Text Indent"/>
    <w:basedOn w:val="Normal"/>
    <w:pPr>
      <w:ind w:firstLine="720" w:start="0" w:end="0"/>
      <w:jc w:val="both"/>
    </w:pPr>
    <w:rPr>
      <w:rFonts w:ascii="Arial" w:hAnsi="Arial" w:cs="Arial"/>
      <w:sz w:val="16"/>
    </w:rPr>
  </w:style>
  <w:style w:type="paragraph" w:styleId="BodyText3">
    <w:name w:val="Body Text 3"/>
    <w:basedOn w:val="Normal"/>
    <w:qFormat/>
    <w:pPr>
      <w:tabs>
        <w:tab w:val="clear" w:pos="720"/>
        <w:tab w:val="left" w:pos="-720" w:leader="none"/>
      </w:tabs>
      <w:suppressAutoHyphens w:val="true"/>
      <w:jc w:val="both"/>
    </w:pPr>
    <w:rPr>
      <w:rFonts w:ascii="Arial" w:hAnsi="Arial" w:cs="Arial"/>
      <w:sz w:val="16"/>
    </w:rPr>
  </w:style>
  <w:style w:type="paragraph" w:styleId="BodyTextIndent2">
    <w:name w:val="Body Text Indent 2"/>
    <w:basedOn w:val="Normal"/>
    <w:qFormat/>
    <w:pPr>
      <w:keepNext w:val="true"/>
      <w:keepLines/>
      <w:tabs>
        <w:tab w:val="left" w:pos="-720" w:leader="none"/>
        <w:tab w:val="left" w:pos="720" w:leader="none"/>
      </w:tabs>
      <w:suppressAutoHyphens w:val="true"/>
      <w:ind w:hanging="720" w:start="1440" w:end="0"/>
      <w:jc w:val="both"/>
    </w:pPr>
    <w:rPr>
      <w:rFonts w:ascii="Arial" w:hAnsi="Arial" w:cs="Arial"/>
      <w:sz w:val="16"/>
    </w:rPr>
  </w:style>
  <w:style w:type="paragraph" w:styleId="BodyTextIndent3">
    <w:name w:val="Body Text Indent 3"/>
    <w:basedOn w:val="Normal"/>
    <w:qFormat/>
    <w:pPr>
      <w:ind w:hanging="0" w:start="720" w:end="0"/>
      <w:jc w:val="both"/>
    </w:pPr>
    <w:rPr>
      <w:rFonts w:ascii="Arial" w:hAnsi="Arial" w:cs="Arial"/>
      <w:sz w:val="16"/>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2001-03-01T15:10:00Z</dcterms:created>
  <dc:creator>jmoore2</dc:creator>
  <dc:description/>
  <dc:language>en-CA</dc:language>
  <cp:lastModifiedBy>nflores</cp:lastModifiedBy>
  <cp:lastPrinted>2001-03-05T09:46:00Z</cp:lastPrinted>
  <dcterms:modified xsi:type="dcterms:W3CDTF">2001-03-05T13:17:00Z</dcterms:modified>
  <cp:revision>9</cp:revision>
  <dc:subject/>
  <dc:title>ENRON LIQUID FUELS, INC</dc:title>
</cp:coreProperties>
</file>