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 xml:space="preserve">AGENCY AGREEMENT </w:t>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t>DATED AS OF __ NOVEMBER 2000</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Normal"/>
        <w:spacing w:lineRule="atLeast" w:line="260"/>
        <w:jc w:val="center"/>
        <w:rPr>
          <w:rFonts w:ascii="Times New Roman" w:hAnsi="Times New Roman" w:cs="Times New Roman"/>
          <w:b/>
        </w:rPr>
      </w:pPr>
      <w:r>
        <w:rPr>
          <w:rFonts w:cs="Times New Roman" w:ascii="Times New Roman" w:hAnsi="Times New Roman"/>
          <w:b/>
        </w:rPr>
        <w:t>BETWEEN</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Normal"/>
        <w:spacing w:lineRule="atLeast" w:line="260"/>
        <w:jc w:val="center"/>
        <w:rPr>
          <w:rFonts w:ascii="Times New Roman" w:hAnsi="Times New Roman" w:cs="Times New Roman"/>
          <w:b/>
        </w:rPr>
      </w:pPr>
      <w:r>
        <w:rPr>
          <w:rFonts w:cs="Times New Roman" w:ascii="Times New Roman" w:hAnsi="Times New Roman"/>
          <w:b/>
        </w:rPr>
        <w:t>ECT INVESTMENTS INC.</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Heading1"/>
        <w:ind w:hanging="0" w:start="0"/>
        <w:rPr>
          <w:rFonts w:ascii="Times New Roman" w:hAnsi="Times New Roman" w:cs="Times New Roman"/>
        </w:rPr>
      </w:pPr>
      <w:r>
        <w:rPr>
          <w:rFonts w:cs="Times New Roman" w:ascii="Times New Roman" w:hAnsi="Times New Roman"/>
        </w:rPr>
        <w:t>AND</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Normal"/>
        <w:spacing w:lineRule="atLeast" w:line="260"/>
        <w:jc w:val="center"/>
        <w:rPr>
          <w:rFonts w:ascii="Times New Roman" w:hAnsi="Times New Roman" w:cs="Times New Roman"/>
          <w:b/>
        </w:rPr>
      </w:pPr>
      <w:r>
        <w:rPr>
          <w:rFonts w:cs="Times New Roman" w:ascii="Times New Roman" w:hAnsi="Times New Roman"/>
          <w:b/>
        </w:rPr>
        <w:t>ENRON INVESTMENT SERVICES LIMITED.</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Normal"/>
        <w:spacing w:lineRule="atLeast" w:line="260"/>
        <w:jc w:val="both"/>
        <w:rPr>
          <w:rFonts w:ascii="Times New Roman" w:hAnsi="Times New Roman" w:cs="Times New Roman"/>
          <w:b/>
        </w:rPr>
      </w:pPr>
      <w:r>
        <w:rPr>
          <w:rFonts w:cs="Times New Roman" w:ascii="Times New Roman" w:hAnsi="Times New Roman"/>
          <w:b/>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Introduction.</w:t>
      </w:r>
      <w:r>
        <w:rPr>
          <w:rFonts w:cs="Times New Roman" w:ascii="Times New Roman" w:hAnsi="Times New Roman"/>
        </w:rPr>
        <w:t xml:space="preserve">  ECT INVESTMENTS INC. (hereafter “ECT”), a company duly registered and existing in accordance with the laws of the State of Delaware with its principal address at: 1400 Smith Street, Houston, Texas 77002 (hereafter the “Principal”), hereby engages the services of ENRON INVESTMENT SERVICES LIMITED, a limited liability company duly registered and existing in accordance with the laws of the United Kingdom with its principal address at: Enron House, 40 Grosvenor Place, SW1X 7EN (hereafter the “Agent”), to provide support in ECT’s activities in the equity markets (including over the counter transactions) on the terms and conditions set forth in this Agreement.</w:t>
      </w:r>
    </w:p>
    <w:p>
      <w:pPr>
        <w:pStyle w:val="Normal"/>
        <w:numPr>
          <w:ilvl w:val="0"/>
          <w:numId w:val="0"/>
        </w:numPr>
        <w:spacing w:lineRule="atLeast" w:line="260"/>
        <w:ind w:hanging="0" w:start="0"/>
        <w:jc w:val="both"/>
        <w:rPr>
          <w:rFonts w:ascii="Times New Roman" w:hAnsi="Times New Roman" w:cs="Times New Roman"/>
          <w:u w:val="single"/>
        </w:rPr>
      </w:pPr>
      <w:r>
        <w:rPr>
          <w:rFonts w:cs="Times New Roman" w:ascii="Times New Roman" w:hAnsi="Times New Roman"/>
          <w:u w:val="single"/>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Appointment of Agent.</w:t>
      </w:r>
      <w:r>
        <w:rPr>
          <w:rFonts w:cs="Times New Roman" w:ascii="Times New Roman" w:hAnsi="Times New Roman"/>
        </w:rPr>
        <w:t xml:space="preserve">  The Principal hereby appoints the Agent to act as its agent in accordance with the terms and conditions set forth in this Agreement and as of the date of this agreement the Agent hereby accepts such appointment as the Principal’s agent.</w:t>
      </w:r>
    </w:p>
    <w:p>
      <w:pPr>
        <w:pStyle w:val="Normal"/>
        <w:tabs>
          <w:tab w:val="left" w:pos="720" w:leader="none"/>
        </w:tabs>
        <w:spacing w:lineRule="atLeast" w:line="260"/>
        <w:jc w:val="both"/>
        <w:rPr>
          <w:rFonts w:ascii="Times New Roman" w:hAnsi="Times New Roman" w:cs="Times New Roman"/>
          <w:u w:val="single"/>
        </w:rPr>
      </w:pPr>
      <w:r>
        <w:rPr>
          <w:rFonts w:cs="Times New Roman" w:ascii="Times New Roman" w:hAnsi="Times New Roman"/>
          <w:u w:val="single"/>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Non-exclusivity</w:t>
      </w:r>
      <w:r>
        <w:rPr>
          <w:rFonts w:cs="Times New Roman" w:ascii="Times New Roman" w:hAnsi="Times New Roman"/>
        </w:rPr>
        <w:t xml:space="preserve">.  The Parties understand and agree that the services to be performed by the Agent shall not be exclusive to Representative, and that the Principal reserves the right to appoint additional representatives to provide the same or similar services in any territory it desires, in each case without thereby incurring any commission, payment or consent obligation </w:t>
      </w:r>
      <w:r>
        <w:rPr/>
        <w:t>(an “Obligation”)</w:t>
      </w:r>
      <w:r>
        <w:rPr>
          <w:sz w:val="24"/>
        </w:rPr>
        <w:t xml:space="preserve"> </w:t>
      </w:r>
      <w:r>
        <w:rPr>
          <w:rFonts w:cs="Times New Roman" w:ascii="Times New Roman" w:hAnsi="Times New Roman"/>
        </w:rPr>
        <w:t xml:space="preserve">to Representative.  Conversely, the Agent may provide the same or similar services to be provided hereunder to persons other than a Principal in any territory without creating an Obligation to such Principal. </w:t>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Nature of Agency and Powers of Agent.</w:t>
      </w:r>
      <w:r>
        <w:rPr>
          <w:rFonts w:cs="Times New Roman" w:ascii="Times New Roman" w:hAnsi="Times New Roman"/>
        </w:rPr>
        <w:t xml:space="preserve">  The Principal retains the Agent to provide advisory services to the Principal as well as to arrange the purchase and/or sale for the account and in the name of the Principal of equities and all manner of derivatives in respect of equities (hereafter the “Assets”).  All such purchases and sales shall be executed through duly licensed brokers designated by the Principal (hereafter the “Brokers”) in the USA, UK or elsewhere in Europe and with which ECT may from time to time have a brokerage relationship.  In performing its obligations hereunder, the Agent shall perform the following services:</w:t>
      </w:r>
    </w:p>
    <w:p>
      <w:pPr>
        <w:pStyle w:val="Normal"/>
        <w:spacing w:lineRule="atLeast" w:line="260"/>
        <w:jc w:val="both"/>
        <w:rPr>
          <w:rFonts w:ascii="Times New Roman" w:hAnsi="Times New Roman" w:cs="Times New Roman"/>
        </w:rPr>
      </w:pPr>
      <w:r>
        <w:rPr>
          <w:rFonts w:cs="Times New Roman" w:ascii="Times New Roman" w:hAnsi="Times New Roman"/>
        </w:rPr>
      </w:r>
    </w:p>
    <w:p>
      <w:pPr>
        <w:pStyle w:val="BodyText2"/>
        <w:numPr>
          <w:ilvl w:val="0"/>
          <w:numId w:val="3"/>
        </w:numPr>
        <w:rPr>
          <w:rFonts w:ascii="Times New Roman" w:hAnsi="Times New Roman" w:cs="Times New Roman"/>
        </w:rPr>
      </w:pPr>
      <w:r>
        <w:rPr>
          <w:rFonts w:cs="Times New Roman" w:ascii="Times New Roman" w:hAnsi="Times New Roman"/>
        </w:rPr>
        <w:t>monitor the dynamics of the market, including quotations for and yields of Assets which may from time to time be of interest to the Principal, through access to such databases as the Agent may deem appropriate;</w:t>
      </w:r>
    </w:p>
    <w:p>
      <w:pPr>
        <w:pStyle w:val="Normal"/>
        <w:spacing w:lineRule="atLeast" w:line="260"/>
        <w:ind w:hanging="360" w:start="360" w:end="0"/>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rPr>
        <w:t>analyze changes in the financial markets and, based on the results of such analysis, make recommendations to the Principal with respect to its purchasing or selling Assets;</w:t>
      </w:r>
    </w:p>
    <w:p>
      <w:pPr>
        <w:pStyle w:val="Normal"/>
        <w:spacing w:lineRule="atLeast" w:line="260"/>
        <w:ind w:hanging="360" w:start="360" w:end="0"/>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rPr>
        <w:t>in accordance with the instructions from the Principal and pursuant to a power of attorney from ECT, give binding instructions to Brokers designated by the Principal with respect to the purchase or sale of particular Assets.  All such transactions shall be entered into by the Brokers pursuant to the instructions from the Agent for the account and in the name of ECT;</w:t>
      </w:r>
    </w:p>
    <w:p>
      <w:pPr>
        <w:pStyle w:val="Normal"/>
        <w:spacing w:lineRule="atLeast" w:line="260"/>
        <w:ind w:hanging="360" w:start="360" w:end="0"/>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rPr>
        <w:t>monitor and control proper and timely execution by the Brokers of the instructions provided for in subsection c) hereof;</w:t>
      </w:r>
    </w:p>
    <w:p>
      <w:pPr>
        <w:pStyle w:val="Normal"/>
        <w:spacing w:lineRule="atLeast" w:line="260"/>
        <w:ind w:hanging="360" w:start="360" w:end="0"/>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rPr>
        <w:t xml:space="preserve">take such other actions as the Agent shall deem appropriate which are auxiliary to the agency functions set forth herein. </w:t>
      </w:r>
    </w:p>
    <w:p>
      <w:pPr>
        <w:pStyle w:val="Normal"/>
        <w:spacing w:lineRule="atLeast" w:line="260"/>
        <w:ind w:hanging="720" w:end="0"/>
        <w:jc w:val="both"/>
        <w:rPr>
          <w:rFonts w:ascii="Times New Roman" w:hAnsi="Times New Roman" w:cs="Times New Roman"/>
        </w:rPr>
      </w:pPr>
      <w:r>
        <w:rPr>
          <w:rFonts w:cs="Times New Roman" w:ascii="Times New Roman" w:hAnsi="Times New Roman"/>
        </w:rPr>
      </w:r>
    </w:p>
    <w:p>
      <w:pPr>
        <w:pStyle w:val="Normal"/>
        <w:numPr>
          <w:ilvl w:val="0"/>
          <w:numId w:val="4"/>
        </w:numPr>
        <w:tabs>
          <w:tab w:val="clear" w:pos="720"/>
          <w:tab w:val="left" w:pos="709"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Accountability.</w:t>
      </w:r>
      <w:r>
        <w:rPr>
          <w:rFonts w:cs="Times New Roman" w:ascii="Times New Roman" w:hAnsi="Times New Roman"/>
        </w:rPr>
        <w:t xml:space="preserve">  In performing its obligations under this Agreement, the Agent shall act at all times subject to the overall direction and supervision of the Principal.  The agent will act in accordance with procedures and position limits established by the Principal on a daily basis.  Due to different time zones, the Principal shall set the strategy to be followed by the Agent at an opening meeting each business day at 7.30am Houston time which will remain in effect until the next strategy meeting unless notice of a change in strategy is given as described herein.  The daily strategy meeting will be between the Principal and the Agent.  The Agent shall record the minutes of each meeting which will be sent to the Principal in Houston.  The Principal shall communicate to the Agent in writing any subsequent change in strategy during the business day.  At the strategy meeting, the Principal shall review and ratify, if appropriate, all the transactions concluded on its behalf by the Brokers during the opening session in London which will be recorded in the daily minutes.  Any transactions not ratified will also be reported in the minutes and reversed as soon as practicable.  The Principal shall review all transactions conducted after the strategy meeting through the real time on line trading system and will advise the agent in the event a position needs to be reversed or a new position is to be taken.</w:t>
      </w:r>
    </w:p>
    <w:p>
      <w:pPr>
        <w:pStyle w:val="Normal"/>
        <w:tabs>
          <w:tab w:val="clear" w:pos="720"/>
          <w:tab w:val="left" w:pos="709" w:leader="none"/>
        </w:tabs>
        <w:spacing w:lineRule="atLeast" w:line="260"/>
        <w:ind w:start="-720" w:end="0"/>
        <w:jc w:val="both"/>
        <w:rPr>
          <w:rFonts w:ascii="Times New Roman" w:hAnsi="Times New Roman" w:cs="Times New Roman"/>
        </w:rPr>
      </w:pPr>
      <w:r>
        <w:rPr>
          <w:rFonts w:cs="Times New Roman" w:ascii="Times New Roman" w:hAnsi="Times New Roman"/>
        </w:rPr>
      </w:r>
    </w:p>
    <w:p>
      <w:pPr>
        <w:pStyle w:val="BodyText"/>
        <w:rPr/>
      </w:pPr>
      <w:r>
        <w:rPr/>
        <w:t>The Agent shall provide to the Principal for each business day for which instructions have been given to Brokers to execute transactions a complete list of these instructions accompanied by all detail that might reasonably be required by the Principal as well as the total revenue or loss generated during such business day.</w:t>
      </w:r>
    </w:p>
    <w:p>
      <w:pPr>
        <w:pStyle w:val="BodyText"/>
        <w:rPr/>
      </w:pPr>
      <w:r>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No General Agency; Independent Contractor Status</w:t>
      </w:r>
      <w:r>
        <w:rPr>
          <w:rFonts w:cs="Times New Roman" w:ascii="Times New Roman" w:hAnsi="Times New Roman"/>
        </w:rPr>
        <w:t>. The Agent’s relationship with Principal shall be that of independent contractor and nothing in this agreement shall be construed as creating the relationship of employer and employee between Principal and officers, employees or agents of the Agent or the relationship of a partnership or joint venture between the parties. The Agent’s power and authority to bind the principal shall extend no further than is expressly stated in this Agreement. Principal shall exercise no control over the manner of performance by Agent of its duties hereunder, except as herein specifically provided, although Agent shall consider adopting any reasonable request regarding its performance hereunder made by the Principal to the extent that it may be done without significant expense or difficulty.</w:t>
      </w:r>
    </w:p>
    <w:p>
      <w:pPr>
        <w:pStyle w:val="Normal"/>
        <w:tabs>
          <w:tab w:val="left" w:pos="720" w:leader="none"/>
        </w:tabs>
        <w:spacing w:lineRule="atLeast" w:line="260"/>
        <w:ind w:start="-720" w:end="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Permanent Establishment</w:t>
      </w:r>
      <w:r>
        <w:rPr>
          <w:rFonts w:cs="Times New Roman" w:ascii="Times New Roman" w:hAnsi="Times New Roman"/>
        </w:rPr>
        <w:t xml:space="preserve">.  Agent shall engage in activity in the UK related to the services hereunder on behalf of a Principal only as instructed and directed in writing by such Principal to so act in a manner not constituting Principal as having a UK Permanent Establishment or similar tax presence (collectively “a Permanent Establishment”).  The Principal acknowledges and agrees that the Principal (and not the Agent) has been responsible for the preparation and review (with tax counsel and otherwise) of the description of services to be provided hereunder. </w:t>
      </w:r>
    </w:p>
    <w:p>
      <w:pPr>
        <w:pStyle w:val="Normal"/>
        <w:tabs>
          <w:tab w:val="left" w:pos="720" w:leader="none"/>
        </w:tabs>
        <w:spacing w:lineRule="atLeast" w:line="260"/>
        <w:jc w:val="both"/>
        <w:rPr>
          <w:rFonts w:ascii="Times New Roman" w:hAnsi="Times New Roman" w:cs="Times New Roman"/>
          <w:u w:val="single"/>
        </w:rPr>
      </w:pPr>
      <w:r>
        <w:rPr>
          <w:rFonts w:cs="Times New Roman" w:ascii="Times New Roman" w:hAnsi="Times New Roman"/>
          <w:u w:val="single"/>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Payments.</w:t>
      </w:r>
      <w:r>
        <w:rPr>
          <w:rFonts w:cs="Times New Roman" w:ascii="Times New Roman" w:hAnsi="Times New Roman"/>
        </w:rPr>
        <w:t xml:space="preserve">  Payments for Assets purchased for the Principal hereunder by the Agent shall be made by the Principal in the manner customary for the market in which the relevant Assets are traded and as agreed between the Principal and the Brokers.  Likewise, payments for Assets sold for the Principal by the Broker shall be made to the Principal in the manner customary for the relevant market and as agreed between the Principal and the Brokers.</w:t>
      </w:r>
      <w:r>
        <w:br w:type="page"/>
      </w:r>
    </w:p>
    <w:p>
      <w:pPr>
        <w:pStyle w:val="Normal"/>
        <w:tabs>
          <w:tab w:val="left" w:pos="720" w:leader="none"/>
        </w:tabs>
        <w:spacing w:lineRule="atLeast" w:line="260"/>
        <w:jc w:val="both"/>
        <w:rPr>
          <w:rFonts w:ascii="Times New Roman" w:hAnsi="Times New Roman" w:cs="Times New Roman"/>
          <w:u w:val="single"/>
        </w:rPr>
      </w:pPr>
      <w:r>
        <w:rPr>
          <w:rFonts w:cs="Times New Roman" w:ascii="Times New Roman" w:hAnsi="Times New Roman"/>
          <w:u w:val="single"/>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u w:val="single"/>
        </w:rPr>
        <w:t>Standard of Care; Indemnification.</w:t>
      </w:r>
      <w:r>
        <w:rPr/>
        <w:t xml:space="preserve">  The Agent shall exercise the same standard of care with respect to its recommendations to the Principal regarding particular Assets and implementation of the Principal’s instructions as a reasonable person would exercise with respect to purchasing or selling similar assets for his own account.</w:t>
      </w:r>
    </w:p>
    <w:p>
      <w:pPr>
        <w:pStyle w:val="Normal"/>
        <w:tabs>
          <w:tab w:val="left" w:pos="720" w:leader="none"/>
        </w:tabs>
        <w:spacing w:lineRule="atLeast" w:line="260"/>
        <w:jc w:val="both"/>
        <w:rPr>
          <w:rFonts w:ascii="Times New Roman" w:hAnsi="Times New Roman" w:cs="Times New Roman"/>
        </w:rPr>
      </w:pPr>
      <w:r>
        <w:rPr>
          <w:rFonts w:cs="Times New Roman" w:ascii="Times New Roman" w:hAnsi="Times New Roman"/>
        </w:rPr>
      </w:r>
    </w:p>
    <w:p>
      <w:pPr>
        <w:pStyle w:val="BodyTextIndent"/>
        <w:tabs>
          <w:tab w:val="clear" w:pos="720"/>
          <w:tab w:val="left" w:pos="0" w:leader="none"/>
        </w:tabs>
        <w:ind w:start="0" w:end="0"/>
        <w:rPr/>
      </w:pPr>
      <w:r>
        <w:rPr/>
        <w:t>The Principal recognizes that the market value of the Assets may be subject to significant changes and that payment of principal, interest, market value, dividends, distributions or other income or payments with respect to the Assets may be highly uncertain, and the Principal assumes the risk of all losses caused by changes in interest rates, currency exchange rates, market value, creditworthiness, restructuring, or delays or defaults in payment with respect to the Assets or otherwise.</w:t>
      </w:r>
    </w:p>
    <w:p>
      <w:pPr>
        <w:pStyle w:val="Normal"/>
        <w:tabs>
          <w:tab w:val="clear" w:pos="720"/>
          <w:tab w:val="left" w:pos="0" w:leader="none"/>
        </w:tabs>
        <w:spacing w:lineRule="atLeast" w:line="26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pacing w:lineRule="atLeast" w:line="260"/>
        <w:jc w:val="both"/>
        <w:rPr>
          <w:rFonts w:ascii="Times New Roman" w:hAnsi="Times New Roman" w:cs="Times New Roman"/>
        </w:rPr>
      </w:pPr>
      <w:r>
        <w:rPr>
          <w:rFonts w:cs="Times New Roman" w:ascii="Times New Roman" w:hAnsi="Times New Roman"/>
        </w:rPr>
        <w:t>The Agent shall not, in the absence of negligence or willful misconduct, be liable to the Principal with respect to any action which the Agent takes or refrains from taking hereunder.  The Principal agrees to indemnify and hold harmless the Agent and its officers and employees from and against any and all claims, losses, liabilities and damages (and expenses relating thereto, including reasonable attorney’s fees) which may be incurred, suffered or asserted in connection with the Agent’s activities hereunder, other than any claim, loss, liability, damage or expense caused by the Agent’s negligence or willful misconduct in the performance of the Agent’s services hereunder.  These indemnities shall survive any termination of this Agreement.</w:t>
      </w:r>
    </w:p>
    <w:p>
      <w:pPr>
        <w:pStyle w:val="Normal"/>
        <w:tabs>
          <w:tab w:val="left" w:pos="720" w:leader="none"/>
        </w:tabs>
        <w:spacing w:lineRule="atLeast" w:line="260"/>
        <w:ind w:start="-720" w:end="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Amendments.</w:t>
      </w:r>
      <w:r>
        <w:rPr>
          <w:rFonts w:cs="Times New Roman" w:ascii="Times New Roman" w:hAnsi="Times New Roman"/>
        </w:rPr>
        <w:t xml:space="preserve">  The terms of this Agreement may be amended at any time by mutual agreement in writing signed by both the Principal and the Agent.</w:t>
      </w:r>
    </w:p>
    <w:p>
      <w:pPr>
        <w:pStyle w:val="Normal"/>
        <w:tabs>
          <w:tab w:val="left" w:pos="720" w:leader="none"/>
        </w:tabs>
        <w:spacing w:lineRule="atLeast" w:line="26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Compensation.</w:t>
      </w:r>
      <w:r>
        <w:rPr>
          <w:rFonts w:cs="Times New Roman" w:ascii="Times New Roman" w:hAnsi="Times New Roman"/>
        </w:rPr>
        <w:t xml:space="preserve">  As compensation for acting as agent hereunder, the Agent shall be entitled to receive a fee per transaction (“commission”) based on the market value on the trade date as follows:</w:t>
      </w:r>
    </w:p>
    <w:p>
      <w:pPr>
        <w:pStyle w:val="Normal"/>
        <w:tabs>
          <w:tab w:val="left" w:pos="720" w:leader="none"/>
        </w:tabs>
        <w:spacing w:lineRule="atLeast" w:line="260"/>
        <w:ind w:start="420" w:end="0"/>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s>
        <w:spacing w:lineRule="atLeast" w:line="260"/>
        <w:ind w:hanging="270" w:start="360" w:end="0"/>
        <w:jc w:val="both"/>
        <w:rPr>
          <w:rFonts w:ascii="Times New Roman" w:hAnsi="Times New Roman" w:cs="Times New Roman"/>
        </w:rPr>
      </w:pPr>
      <w:r>
        <w:rPr>
          <w:rFonts w:cs="Times New Roman" w:ascii="Times New Roman" w:hAnsi="Times New Roman"/>
        </w:rPr>
        <w:t xml:space="preserve">Equities and derivatives thereon (but excluding options): 0.1% </w:t>
      </w:r>
    </w:p>
    <w:p>
      <w:pPr>
        <w:pStyle w:val="Normal"/>
        <w:numPr>
          <w:ilvl w:val="0"/>
          <w:numId w:val="2"/>
        </w:numPr>
        <w:tabs>
          <w:tab w:val="clear" w:pos="720"/>
        </w:tabs>
        <w:spacing w:lineRule="atLeast" w:line="260"/>
        <w:ind w:hanging="270" w:start="360" w:end="0"/>
        <w:jc w:val="both"/>
        <w:rPr>
          <w:rFonts w:ascii="Times New Roman" w:hAnsi="Times New Roman" w:cs="Times New Roman"/>
        </w:rPr>
      </w:pPr>
      <w:r>
        <w:rPr>
          <w:rFonts w:cs="Times New Roman" w:ascii="Times New Roman" w:hAnsi="Times New Roman"/>
        </w:rPr>
        <w:t>Options: $.005 per share</w:t>
      </w:r>
    </w:p>
    <w:p>
      <w:pPr>
        <w:pStyle w:val="Normal"/>
        <w:tabs>
          <w:tab w:val="left" w:pos="720" w:leader="none"/>
        </w:tabs>
        <w:spacing w:lineRule="atLeast" w:line="260"/>
        <w:ind w:start="120" w:end="0"/>
        <w:jc w:val="both"/>
        <w:rPr>
          <w:rFonts w:ascii="Times New Roman" w:hAnsi="Times New Roman" w:cs="Times New Roman"/>
        </w:rPr>
      </w:pPr>
      <w:r>
        <w:rPr>
          <w:rFonts w:cs="Times New Roman" w:ascii="Times New Roman" w:hAnsi="Times New Roman"/>
        </w:rPr>
      </w:r>
    </w:p>
    <w:p>
      <w:pPr>
        <w:pStyle w:val="BodyTextIndent2"/>
        <w:tabs>
          <w:tab w:val="clear" w:pos="720"/>
          <w:tab w:val="left" w:pos="-3060" w:leader="none"/>
        </w:tabs>
        <w:ind w:start="120" w:end="0"/>
        <w:rPr/>
      </w:pPr>
      <w:r>
        <w:rPr/>
        <w:t>In addition, each quarter the Agent shall receive a fee equal to two percent of the US GAAP profits realised by the Principal in respect of the funds managed by the Agent over the preceding quarter (“the performance related fee”) in connection with the performance of its obligations hereunder.</w:t>
      </w:r>
    </w:p>
    <w:p>
      <w:pPr>
        <w:pStyle w:val="BodyTextIndent2"/>
        <w:tabs>
          <w:tab w:val="clear" w:pos="720"/>
          <w:tab w:val="left" w:pos="-3060" w:leader="none"/>
        </w:tabs>
        <w:ind w:start="120" w:end="0"/>
        <w:rPr/>
      </w:pPr>
      <w:r>
        <w:rPr/>
      </w:r>
    </w:p>
    <w:p>
      <w:pPr>
        <w:pStyle w:val="BodyTextIndent2"/>
        <w:tabs>
          <w:tab w:val="clear" w:pos="720"/>
          <w:tab w:val="left" w:pos="-3060" w:leader="none"/>
        </w:tabs>
        <w:ind w:start="120" w:end="0"/>
        <w:rPr/>
      </w:pPr>
      <w:r>
        <w:rPr/>
        <w:t>In any event the Agent’s total compensation (i.e. the sum of the commissions and the performance related fee) will not be less than $350,000 per annum.</w:t>
      </w:r>
    </w:p>
    <w:p>
      <w:pPr>
        <w:pStyle w:val="BodyTextIndent2"/>
        <w:tabs>
          <w:tab w:val="clear" w:pos="720"/>
          <w:tab w:val="left" w:pos="-3060" w:leader="none"/>
        </w:tabs>
        <w:ind w:start="120" w:end="0"/>
        <w:rPr/>
      </w:pPr>
      <w:r>
        <w:rPr/>
      </w:r>
    </w:p>
    <w:p>
      <w:pPr>
        <w:pStyle w:val="BodyTextIndent2"/>
        <w:tabs>
          <w:tab w:val="clear" w:pos="720"/>
          <w:tab w:val="left" w:pos="-3060" w:leader="none"/>
        </w:tabs>
        <w:ind w:start="120" w:end="0"/>
        <w:rPr/>
      </w:pPr>
      <w:r>
        <w:rPr/>
        <w:t>The Agent shall have the right to request and receive advance payments of the fees and expenses set forth in this section which may from time to time be agreed between the parties.  The advances shall be credited against future invoices.</w:t>
      </w:r>
    </w:p>
    <w:p>
      <w:pPr>
        <w:pStyle w:val="Normal"/>
        <w:tabs>
          <w:tab w:val="left" w:pos="720" w:leader="none"/>
        </w:tabs>
        <w:spacing w:lineRule="atLeast" w:line="26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Miscellaneous.</w:t>
      </w:r>
    </w:p>
    <w:p>
      <w:pPr>
        <w:pStyle w:val="Normal"/>
        <w:spacing w:lineRule="atLeast" w:line="260"/>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Termination.</w:t>
      </w:r>
      <w:r>
        <w:rPr>
          <w:rFonts w:cs="Times New Roman" w:ascii="Times New Roman" w:hAnsi="Times New Roman"/>
        </w:rPr>
        <w:t xml:space="preserve">  This Agreement may be terminated by either party at any time by giving to the other party written notice at least thirty days prior to the date on which such termination is to become effective, provided that the provisions concerning indemnification in Section 9 shall survive any termination of this Agreement.</w:t>
      </w:r>
      <w:r>
        <w:br w:type="page"/>
      </w:r>
    </w:p>
    <w:p>
      <w:pPr>
        <w:pStyle w:val="Normal"/>
        <w:numPr>
          <w:ilvl w:val="0"/>
          <w:numId w:val="0"/>
        </w:numPr>
        <w:spacing w:lineRule="atLeast" w:line="260"/>
        <w:ind w:hanging="0" w:start="0"/>
        <w:jc w:val="both"/>
        <w:rPr>
          <w:rFonts w:ascii="Times New Roman" w:hAnsi="Times New Roman" w:cs="Times New Roman"/>
          <w:u w:val="single"/>
        </w:rPr>
      </w:pPr>
      <w:r>
        <w:rPr>
          <w:rFonts w:cs="Times New Roman" w:ascii="Times New Roman" w:hAnsi="Times New Roman"/>
          <w:u w:val="single"/>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Notices.</w:t>
      </w:r>
      <w:r>
        <w:rPr>
          <w:rFonts w:cs="Times New Roman" w:ascii="Times New Roman" w:hAnsi="Times New Roman"/>
        </w:rPr>
        <w:t xml:space="preserve">  Unless otherwise provided, all notices, requests, demands or other communications to or from the parties hereto shall be deemed to have been duly given and made when sent by mail, certified, return receipt requested, by telegram, by telex, telecopy, electronic mail or facsimile transmission (in the case of a telex, telecopy or facsimile, when sent and the appropriate answerback is receive) or by telephone confirmed by any of the other foregoing methods.  Any such notice, request, demand or communication shall be delivered or addressed:</w:t>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t>To the Principal:</w:t>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ECT Investments Inc</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1400 Smith Street</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Houston</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Texas 77002</w:t>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t>To the Agent:</w:t>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Enron Investment Services Limited</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Enron House</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40 Grosvenor Place</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London</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SW1X 7EN</w:t>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Expenses.</w:t>
      </w:r>
      <w:r>
        <w:rPr>
          <w:rFonts w:cs="Times New Roman" w:ascii="Times New Roman" w:hAnsi="Times New Roman"/>
        </w:rPr>
        <w:t xml:space="preserve">  Each party hereto shall pay its own costs and expenses incurred in connection with the negotiation, preparation and execution of this Agreement.</w:t>
      </w:r>
    </w:p>
    <w:p>
      <w:pPr>
        <w:pStyle w:val="Normal"/>
        <w:numPr>
          <w:ilvl w:val="0"/>
          <w:numId w:val="0"/>
        </w:numPr>
        <w:spacing w:lineRule="atLeast" w:line="260"/>
        <w:ind w:hanging="0" w:start="0"/>
        <w:jc w:val="both"/>
        <w:rPr>
          <w:rFonts w:ascii="Times New Roman" w:hAnsi="Times New Roman" w:cs="Times New Roman"/>
          <w:u w:val="single"/>
        </w:rPr>
      </w:pPr>
      <w:r>
        <w:rPr>
          <w:rFonts w:cs="Times New Roman" w:ascii="Times New Roman" w:hAnsi="Times New Roman"/>
          <w:u w:val="single"/>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Assignment.</w:t>
      </w:r>
      <w:r>
        <w:rPr>
          <w:rFonts w:cs="Times New Roman" w:ascii="Times New Roman" w:hAnsi="Times New Roman"/>
        </w:rPr>
        <w:t xml:space="preserve">  Neither party hereto may assign or otherwise transfer its rights and obligations under this Agreement without the prior written consent of the other party hereto.</w:t>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Governing Law.</w:t>
      </w:r>
      <w:r>
        <w:rPr>
          <w:rFonts w:cs="Times New Roman" w:ascii="Times New Roman" w:hAnsi="Times New Roman"/>
        </w:rPr>
        <w:t xml:space="preserve">  The Agreement shall be governed by and construed in accordance with the laws of England &amp; Wales.</w:t>
      </w:r>
    </w:p>
    <w:p>
      <w:pPr>
        <w:pStyle w:val="Normal"/>
        <w:spacing w:lineRule="atLeast" w:line="260"/>
        <w:jc w:val="both"/>
        <w:rPr>
          <w:rFonts w:ascii="Times New Roman" w:hAnsi="Times New Roman" w:cs="Times New Roman"/>
        </w:rPr>
      </w:pPr>
      <w:r>
        <w:rPr>
          <w:rFonts w:cs="Times New Roman" w:ascii="Times New Roman" w:hAnsi="Times New Roman"/>
        </w:rPr>
      </w:r>
    </w:p>
    <w:p>
      <w:pPr>
        <w:pStyle w:val="Normal"/>
        <w:spacing w:lineRule="atLeast" w:line="260"/>
        <w:jc w:val="both"/>
        <w:rPr>
          <w:rFonts w:ascii="Times New Roman" w:hAnsi="Times New Roman" w:cs="Times New Roman"/>
          <w:u w:val="single"/>
        </w:rPr>
      </w:pPr>
      <w:r>
        <w:rPr>
          <w:rFonts w:cs="Times New Roman" w:ascii="Times New Roman" w:hAnsi="Times New Roman"/>
          <w:u w:val="single"/>
        </w:rPr>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t>ENRON INVESTMENT SERVICES LIMITED.</w:t>
        <w:tab/>
        <w:t>ECT INVESTMENTS INC.</w:t>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t>___________________________</w:t>
        <w:tab/>
        <w:t>__________________________________</w:t>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t>Michael Brown</w:t>
        <w:tab/>
        <w:t>Gary Hickerson</w:t>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t>Director</w:t>
        <w:tab/>
        <w:t>Managing Director</w:t>
        <w:tab/>
        <w:tab/>
        <w:tab/>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r>
    </w:p>
    <w:p>
      <w:pPr>
        <w:pStyle w:val="Normal"/>
        <w:spacing w:lineRule="atLeast" w:line="260"/>
        <w:ind w:hanging="4860" w:start="5220" w:end="0"/>
        <w:jc w:val="both"/>
        <w:rPr/>
      </w:pPr>
      <w:r>
        <w:rPr>
          <w:rFonts w:cs="Times New Roman" w:ascii="Times New Roman" w:hAnsi="Times New Roman"/>
        </w:rPr>
        <w:t>Date   ______________________</w:t>
        <w:tab/>
        <w:t>Date  ____________________________</w:t>
      </w:r>
      <w:r>
        <w:rPr/>
        <w:tab/>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420"/>
        </w:tabs>
        <w:ind w:start="420" w:hanging="720"/>
      </w:pPr>
      <w:rPr>
        <w:rFonts w:ascii="Times New Roman" w:hAnsi="Times New Roman" w:cs="Times New Roman" w:hint="default"/>
      </w:rPr>
    </w:lvl>
  </w:abstractNum>
  <w:abstractNum w:abstractNumId="3">
    <w:lvl w:ilvl="0">
      <w:start w:val="1"/>
      <w:numFmt w:val="lowerLetter"/>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720"/>
      </w:pPr>
    </w:lvl>
  </w:abstractNum>
  <w:abstractNum w:abstractNumId="5">
    <w:lvl w:ilvl="0">
      <w:start w:val="1"/>
      <w:numFmt w:val="low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2"/>
      <w:szCs w:val="20"/>
      <w:lang w:val="en-US" w:bidi="ar-SA" w:eastAsia="zh-CN"/>
    </w:rPr>
  </w:style>
  <w:style w:type="paragraph" w:styleId="Heading1">
    <w:name w:val="heading 1"/>
    <w:basedOn w:val="Normal"/>
    <w:next w:val="Normal"/>
    <w:qFormat/>
    <w:pPr>
      <w:keepNext w:val="true"/>
      <w:numPr>
        <w:ilvl w:val="0"/>
        <w:numId w:val="1"/>
      </w:numPr>
      <w:spacing w:lineRule="atLeast" w:line="260"/>
      <w:jc w:val="center"/>
      <w:outlineLvl w:val="0"/>
    </w:pPr>
    <w:rPr>
      <w:b/>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lineRule="atLeast" w:line="260"/>
      <w:jc w:val="center"/>
    </w:pPr>
    <w:rPr>
      <w:b/>
    </w:rPr>
  </w:style>
  <w:style w:type="paragraph" w:styleId="BodyText">
    <w:name w:val="Body Text"/>
    <w:basedOn w:val="Normal"/>
    <w:pPr>
      <w:tabs>
        <w:tab w:val="clear" w:pos="720"/>
        <w:tab w:val="left" w:pos="709" w:leader="none"/>
      </w:tabs>
      <w:spacing w:lineRule="atLeast" w:line="26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AcrobatBookmark">
    <w:name w:val="Acrobat Bookmark"/>
    <w:basedOn w:val="CommentText"/>
    <w:qFormat/>
    <w:pPr/>
    <w:rPr>
      <w:rFonts w:ascii="Arial" w:hAnsi="Arial" w:cs="Arial"/>
      <w:i/>
      <w:sz w:val="16"/>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tLeast" w:line="260"/>
      <w:ind w:hanging="0" w:start="720" w:end="0"/>
      <w:jc w:val="both"/>
    </w:pPr>
    <w:rPr/>
  </w:style>
  <w:style w:type="paragraph" w:styleId="BodyTextIndent">
    <w:name w:val="Body Text Indent"/>
    <w:basedOn w:val="Normal"/>
    <w:pPr>
      <w:tabs>
        <w:tab w:val="left" w:pos="720" w:leader="none"/>
      </w:tabs>
      <w:spacing w:lineRule="atLeast" w:line="260"/>
      <w:ind w:hanging="0" w:start="-720" w:end="0"/>
      <w:jc w:val="both"/>
    </w:pPr>
    <w:rPr/>
  </w:style>
  <w:style w:type="paragraph" w:styleId="BodyTextIndent2">
    <w:name w:val="Body Text Indent 2"/>
    <w:basedOn w:val="Normal"/>
    <w:qFormat/>
    <w:pPr>
      <w:tabs>
        <w:tab w:val="left" w:pos="720" w:leader="none"/>
      </w:tabs>
      <w:spacing w:lineRule="atLeast" w:line="260"/>
      <w:ind w:hanging="0" w:start="-300"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2000-11-07T06:35:00Z</dcterms:created>
  <dc:creator>J.P. Morgan</dc:creator>
  <dc:description/>
  <dc:language>en-CA</dc:language>
  <cp:lastModifiedBy>mlakhani</cp:lastModifiedBy>
  <cp:lastPrinted>2000-11-10T13:32:00Z</cp:lastPrinted>
  <dcterms:modified xsi:type="dcterms:W3CDTF">2000-11-10T12:31:00Z</dcterms:modified>
  <cp:revision>20</cp:revision>
  <dc:subject/>
  <dc:title>AGENCY AGREEMENT</dc:title>
</cp:coreProperties>
</file>