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BodyText3"/>
        <w:spacing w:lineRule="auto" w:line="360"/>
        <w:rPr/>
      </w:pPr>
      <w:r>
        <w:rPr/>
        <w:t>Preliminary Regulatory Review of Independent Thermal Power Plant Development by EPower in Japan</w:t>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jc w:val="center"/>
        <w:rPr>
          <w:rFonts w:eastAsia="ＭＳ 明朝;MS Mincho"/>
          <w:sz w:val="44"/>
        </w:rPr>
      </w:pPr>
      <w:r>
        <w:rPr>
          <w:rFonts w:eastAsia="ＭＳ 明朝;MS Mincho"/>
          <w:sz w:val="44"/>
        </w:rPr>
        <w:t>EXECUTIVE SUMMARY</w:t>
      </w:r>
    </w:p>
    <w:p>
      <w:pPr>
        <w:pStyle w:val="Normal"/>
        <w:rPr>
          <w:rFonts w:eastAsia="ＭＳ 明朝;MS Mincho"/>
          <w:sz w:val="18"/>
        </w:rPr>
      </w:pPr>
      <w:r>
        <w:rPr>
          <w:rFonts w:eastAsia="ＭＳ 明朝;MS Mincho"/>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rPr>
      </w:pPr>
      <w:r>
        <w:rPr>
          <w:sz w:val="18"/>
        </w:rPr>
      </w:r>
    </w:p>
    <w:p>
      <w:pPr>
        <w:pStyle w:val="Normal"/>
        <w:jc w:val="center"/>
        <w:rPr>
          <w:sz w:val="36"/>
        </w:rPr>
      </w:pPr>
      <w:r>
        <w:rPr>
          <w:sz w:val="36"/>
        </w:rPr>
        <w:t>June 15, 2001</w:t>
      </w:r>
    </w:p>
    <w:p>
      <w:pPr>
        <w:pStyle w:val="Normal"/>
        <w:jc w:val="center"/>
        <w:rPr>
          <w:sz w:val="36"/>
          <w:lang w:eastAsia="ja-JP"/>
        </w:rPr>
      </w:pPr>
      <w:r>
        <w:rPr>
          <w:sz w:val="36"/>
        </w:rPr>
        <w:t>Enron Public Affairs Japan</w:t>
      </w:r>
    </w:p>
    <w:p>
      <w:pPr>
        <w:sectPr>
          <w:headerReference w:type="default" r:id="rId2"/>
          <w:footerReference w:type="default" r:id="rId3"/>
          <w:type w:val="nextPage"/>
          <w:pgSz w:w="11906" w:h="16838"/>
          <w:pgMar w:left="1418" w:right="1418" w:gutter="0" w:header="720" w:top="1418" w:footer="720" w:bottom="1418"/>
          <w:pgNumType w:fmt="decimal"/>
          <w:formProt w:val="false"/>
          <w:textDirection w:val="lrTb"/>
          <w:docGrid w:type="default" w:linePitch="360" w:charSpace="0"/>
        </w:sectPr>
        <w:pStyle w:val="Normal"/>
        <w:jc w:val="center"/>
        <w:rPr>
          <w:sz w:val="36"/>
          <w:lang w:eastAsia="ja-JP"/>
        </w:rPr>
      </w:pPr>
      <w:r>
        <w:rPr>
          <w:sz w:val="36"/>
          <w:lang w:eastAsia="ja-JP"/>
        </w:rPr>
      </w:r>
    </w:p>
    <w:p>
      <w:pPr>
        <w:pStyle w:val="Laws"/>
        <w:numPr>
          <w:ilvl w:val="0"/>
          <w:numId w:val="0"/>
        </w:numPr>
        <w:ind w:hanging="0" w:start="0"/>
        <w:jc w:val="center"/>
        <w:rPr>
          <w:sz w:val="36"/>
          <w:lang w:eastAsia="ja-JP"/>
        </w:rPr>
      </w:pPr>
      <w:r>
        <w:rPr>
          <w:sz w:val="36"/>
          <w:lang w:eastAsia="ja-JP"/>
        </w:rPr>
      </w:r>
    </w:p>
    <w:p>
      <w:pPr>
        <w:pStyle w:val="Laws"/>
        <w:numPr>
          <w:ilvl w:val="0"/>
          <w:numId w:val="0"/>
        </w:numPr>
        <w:ind w:hanging="0" w:start="0"/>
        <w:jc w:val="center"/>
        <w:rPr>
          <w:sz w:val="28"/>
        </w:rPr>
      </w:pPr>
      <w:r>
        <w:rPr>
          <w:sz w:val="28"/>
        </w:rPr>
        <w:t>Executive Summary</w:t>
      </w:r>
    </w:p>
    <w:p>
      <w:pPr>
        <w:pStyle w:val="Normalparagraph"/>
        <w:rPr>
          <w:lang w:eastAsia="ja-JP"/>
        </w:rPr>
      </w:pPr>
      <w:r>
        <mc:AlternateContent>
          <mc:Choice Requires="wps">
            <w:drawing>
              <wp:anchor behindDoc="1" distT="0" distB="0" distL="114935" distR="114935" simplePos="0" locked="0" layoutInCell="1" allowOverlap="1" relativeHeight="5">
                <wp:simplePos x="0" y="0"/>
                <wp:positionH relativeFrom="column">
                  <wp:posOffset>-133350</wp:posOffset>
                </wp:positionH>
                <wp:positionV relativeFrom="paragraph">
                  <wp:posOffset>20955</wp:posOffset>
                </wp:positionV>
                <wp:extent cx="6108065" cy="3047365"/>
                <wp:effectExtent l="635" t="635" r="0" b="635"/>
                <wp:wrapNone/>
                <wp:docPr id="1" name=""/>
                <a:graphic xmlns:a="http://schemas.openxmlformats.org/drawingml/2006/main">
                  <a:graphicData uri="http://schemas.microsoft.com/office/word/2010/wordprocessingShape">
                    <wps:wsp>
                      <wps:cNvSpPr/>
                      <wps:spPr>
                        <a:xfrm>
                          <a:off x="0" y="0"/>
                          <a:ext cx="6108120" cy="3047400"/>
                        </a:xfrm>
                        <a:prstGeom prst="roundRect">
                          <a:avLst>
                            <a:gd name="adj" fmla="val 11208"/>
                          </a:avLst>
                        </a:prstGeom>
                        <a:solidFill>
                          <a:srgbClr val="dddddd"/>
                        </a:solidFill>
                        <a:ln w="0">
                          <a:noFill/>
                        </a:ln>
                      </wps:spPr>
                      <wps:style>
                        <a:lnRef idx="0"/>
                        <a:fillRef idx="0"/>
                        <a:effectRef idx="0"/>
                        <a:fontRef idx="minor"/>
                      </wps:style>
                      <wps:bodyPr/>
                    </wps:wsp>
                  </a:graphicData>
                </a:graphic>
              </wp:anchor>
            </w:drawing>
          </mc:Choice>
          <mc:Fallback>
            <w:pict>
              <v:roundrect id="shape_0" fillcolor="#dddddd" stroked="f" o:allowincell="f" style="position:absolute;margin-left:-10.5pt;margin-top:1.65pt;width:480.9pt;height:239.9pt;mso-wrap-style:none;v-text-anchor:middle">
                <v:fill o:detectmouseclick="t" type="solid" color2="#222222"/>
                <v:stroke color="#3465a4" joinstyle="round" endcap="flat"/>
                <w10:wrap type="none"/>
              </v:roundrect>
            </w:pict>
          </mc:Fallback>
        </mc:AlternateContent>
      </w:r>
      <w:r>
        <w:rPr>
          <w:rFonts w:eastAsia="Times New Roman"/>
          <w:lang w:eastAsia="ja-JP"/>
        </w:rPr>
        <w:t xml:space="preserve"> </w:t>
      </w:r>
      <w:r>
        <w:rPr>
          <w:lang w:eastAsia="ja-JP"/>
        </w:rPr>
        <w:t>EPower has used a benchmark of 7.5 years for its plant development schedules in Japan. That time frame assumes that the site has been secured and that all pre-development approvals, such as fisherman’s compensation, are in place. It also assumes that all development approvals can run concurrently with the environmental approval process, and that transmission access will take no more than 3 years.</w:t>
      </w:r>
    </w:p>
    <w:p>
      <w:pPr>
        <w:pStyle w:val="Normalparagraph"/>
        <w:rPr>
          <w:lang w:eastAsia="ja-JP"/>
        </w:rPr>
      </w:pPr>
      <w:r>
        <w:rPr>
          <w:lang w:eastAsia="ja-JP"/>
        </w:rPr>
        <w:t>EPower’s time estimates for plant development in Japan adopt a best- case scenario approach. Already we have seen delays in securing land, potential environmental issues, such as the rare dragonfly, and delays in discussions on transmission access. Further, fisherman’s compensation issues have yet to be fully addressed.</w:t>
      </w:r>
    </w:p>
    <w:p>
      <w:pPr>
        <w:pStyle w:val="Normalparagraph"/>
        <w:rPr/>
      </w:pPr>
      <w:r>
        <w:rPr>
          <w:lang w:eastAsia="ja-JP"/>
        </w:rPr>
        <w:t>Without significant and immediate changes to the current regime for power plant development in Japan, it is highly likely that the entire development process, i</w:t>
      </w:r>
      <w:r>
        <w:rPr>
          <w:lang w:eastAsia="ja-JP"/>
        </w:rPr>
        <w:t xml:space="preserve">ncluding </w:t>
      </w:r>
      <w:r>
        <w:rPr>
          <w:lang w:eastAsia="ja-JP"/>
        </w:rPr>
        <w:t>pre-development approvals and transmission access, could exceed 10 years.</w:t>
      </w:r>
    </w:p>
    <w:p>
      <w:pPr>
        <w:pStyle w:val="Normalparagraph"/>
        <w:rPr>
          <w:lang w:eastAsia="ja-JP"/>
        </w:rPr>
      </w:pPr>
      <w:r>
        <w:rPr>
          <w:lang w:eastAsia="ja-JP"/>
        </w:rPr>
        <w:t xml:space="preserve">We suggest in this paper 9 steps to assist EPower to reduce the time and costs associated with the approval process and transmission access. </w:t>
      </w:r>
    </w:p>
    <w:p>
      <w:pPr>
        <w:pStyle w:val="Normalparagraph"/>
        <w:spacing w:before="0" w:after="0"/>
        <w:rPr>
          <w:b/>
          <w:bCs/>
          <w:lang w:eastAsia="ja-JP"/>
        </w:rPr>
      </w:pPr>
      <w:r>
        <w:rPr>
          <w:b/>
          <w:bCs/>
          <w:lang w:eastAsia="ja-JP"/>
        </w:rPr>
      </w:r>
    </w:p>
    <w:p>
      <w:pPr>
        <w:pStyle w:val="Normalparagraph"/>
        <w:rPr>
          <w:b/>
          <w:bCs/>
          <w:i/>
          <w:i/>
          <w:iCs/>
          <w:sz w:val="28"/>
        </w:rPr>
      </w:pPr>
      <w:r>
        <w:rPr>
          <w:b/>
          <w:bCs/>
          <w:sz w:val="28"/>
        </w:rPr>
        <w:t>Introduction</w:t>
      </w:r>
    </w:p>
    <w:p>
      <w:pPr>
        <w:pStyle w:val="Normalparagraph"/>
        <w:rPr/>
      </w:pPr>
      <w:r>
        <w:rPr/>
        <w:t xml:space="preserve">This paper gives an overview of the regulatory process for development, construction and operation of independent thermal power plants under current regulations in Japan. It describes the official regulatory processes and the separate but important issue of fishing rights. The paper relates these processes to current EPower projects and suggests a strategy for streamlining the regulatory process. </w:t>
      </w:r>
    </w:p>
    <w:p>
      <w:pPr>
        <w:pStyle w:val="Normalparagraph"/>
        <w:rPr/>
      </w:pPr>
      <w:r>
        <w:rPr/>
        <w:t xml:space="preserve">With the exception of the Environmental Assessment Impact Law, timescales are estimates based on EPower </w:t>
      </w:r>
      <w:r>
        <w:rPr/>
        <w:t>data</w:t>
      </w:r>
      <w:r>
        <w:rPr/>
        <w:t>, past experience and additional research. These estimates are based on precedent and not stated in the relevant regulation.</w:t>
      </w:r>
    </w:p>
    <w:p>
      <w:pPr>
        <w:pStyle w:val="Normalparagraph"/>
        <w:spacing w:before="0" w:after="0"/>
        <w:rPr/>
      </w:pPr>
      <w:r>
        <w:rPr/>
      </w:r>
    </w:p>
    <w:p>
      <w:pPr>
        <w:pStyle w:val="Normalparagraph"/>
        <w:spacing w:before="0" w:after="0"/>
        <w:rPr/>
      </w:pPr>
      <w:r>
        <w:rPr/>
        <w:t>The laws and processes described in this paper apply to both greenfield and brownfield development, depending on project content and scale.</w:t>
      </w:r>
    </w:p>
    <w:p>
      <w:pPr>
        <w:pStyle w:val="Normalparagraph"/>
        <w:rPr/>
      </w:pPr>
      <w:r>
        <w:rPr>
          <w:b/>
          <w:bCs/>
        </w:rPr>
        <w:t>Past Policy and Practice.</w:t>
      </w:r>
      <w:r>
        <w:rPr/>
        <w:t xml:space="preserve"> The process of power plant development</w:t>
      </w:r>
      <w:r>
        <w:rPr>
          <w:lang w:eastAsia="ja-JP"/>
        </w:rPr>
        <w:t xml:space="preserve"> in Japan has devel</w:t>
      </w:r>
      <w:r>
        <w:rPr/>
        <w:t>oped over time along with the government’s policy for developing large-scale generating sources. The bulk of large-scale plant development has been carried out by utilities or semi-government bodies in close cooperation with national and local government. As a result, a community-based approach of pre-hearings and negotiations has developed alongside the official regulatory framework. In recent years, the incumbent utilities have exploited this long process to prevent deregulation in generation, stating that a stable, regulated environment is needed to support government objectives and the nation’s welfare.</w:t>
      </w:r>
    </w:p>
    <w:p>
      <w:pPr>
        <w:pStyle w:val="Normalparagraph"/>
        <w:rPr/>
      </w:pPr>
      <w:r>
        <w:rPr>
          <w:b/>
          <w:bCs/>
        </w:rPr>
        <w:t>Local Consensus and Political Influence.</w:t>
      </w:r>
      <w:r>
        <w:rPr/>
        <w:t xml:space="preserve"> To promote these government policies, a practice has developed where all interested parties need to be seen to support the development of a particular plant. Broad local support for large power projects is therefore essential. Politicians at all levels, who have close political ties to specific interests or have personal agendas, exercise a heavy influence on the process. Agreement also needs to be reached with local interest groups, such as fishing cooperatives and environmental groups. Even then, the process can be largely influenced or even derailed by extremist organizations which oppose the project. </w:t>
      </w:r>
    </w:p>
    <w:p>
      <w:pPr>
        <w:pStyle w:val="Normalparagraph"/>
        <w:rPr/>
      </w:pPr>
      <w:r>
        <w:rPr>
          <w:b/>
          <w:bCs/>
        </w:rPr>
        <w:t>Complicated Regulatory Framework.</w:t>
      </w:r>
      <w:r>
        <w:rPr/>
        <w:t xml:space="preserve"> Considerable obstacles </w:t>
      </w:r>
      <w:r>
        <w:rPr>
          <w:lang w:eastAsia="ja-JP"/>
        </w:rPr>
        <w:t>exist</w:t>
      </w:r>
      <w:r>
        <w:rPr>
          <w:lang w:eastAsia="ja-JP"/>
        </w:rPr>
        <w:t xml:space="preserve"> for new entrants in the IPP business</w:t>
      </w:r>
      <w:r>
        <w:rPr>
          <w:lang w:eastAsia="ja-JP"/>
        </w:rPr>
        <w:t xml:space="preserve"> due to the</w:t>
      </w:r>
      <w:r>
        <w:rPr/>
        <w:t xml:space="preserve"> long and complex </w:t>
      </w:r>
      <w:r>
        <w:rPr>
          <w:lang w:eastAsia="ja-JP"/>
        </w:rPr>
        <w:t xml:space="preserve">regulatory </w:t>
      </w:r>
      <w:r>
        <w:rPr/>
        <w:t>process</w:t>
      </w:r>
      <w:r>
        <w:rPr>
          <w:lang w:eastAsia="ja-JP"/>
        </w:rPr>
        <w:t>.</w:t>
      </w:r>
      <w:r>
        <w:rPr>
          <w:lang w:eastAsia="ja-JP"/>
        </w:rPr>
        <w:t xml:space="preserve"> </w:t>
      </w:r>
      <w:r>
        <w:rPr/>
        <w:t>There is no central agency involved and the developer must navigate around 40 separate national laws that can apply when a greenfield power plant is developed. These laws and regulations are administered by a combination of national and local public agencies and their designated representatives, including ministries, bureaus and government branch offices.</w:t>
      </w:r>
    </w:p>
    <w:p>
      <w:pPr>
        <w:pStyle w:val="Normalparagraph"/>
        <w:rPr/>
      </w:pPr>
      <w:r>
        <w:rPr/>
        <w:t>In addition to national regulation, each prefecture has a large number of local ordinances, which provide stricter parameters for environmental assessment land acquisition, emissions, etc.</w:t>
      </w:r>
    </w:p>
    <w:p>
      <w:pPr>
        <w:pStyle w:val="Normal"/>
        <w:jc w:val="both"/>
        <w:rPr/>
      </w:pPr>
      <w:r>
        <w:rPr/>
      </w:r>
    </w:p>
    <w:p>
      <w:pPr>
        <w:pStyle w:val="Normalparagraph"/>
        <w:spacing w:before="0" w:after="0"/>
        <w:rPr/>
      </w:pPr>
      <w:r>
        <w:rPr>
          <w:b/>
          <w:bCs/>
        </w:rPr>
        <w:t>Planning Difficulties.</w:t>
      </w:r>
      <w:r>
        <w:rPr/>
        <w:t xml:space="preserve"> Planning power plant development presents difficulties in estimating times and costs because, except for the recently enacted Environmental Assessment Law,  timelines for the bureaucratic permitting and review processes are not immediately clear. For the most part, therefore, project planning is based on precedent, both of actual development times and regulatory agencies’ behavior.</w:t>
      </w:r>
    </w:p>
    <w:p>
      <w:pPr>
        <w:pStyle w:val="Normalparagraph"/>
        <w:spacing w:before="0" w:after="0"/>
        <w:rPr/>
      </w:pPr>
      <w:r>
        <w:rPr/>
      </w:r>
    </w:p>
    <w:p>
      <w:pPr>
        <w:pStyle w:val="Normalparagraph"/>
        <w:rPr>
          <w:b/>
          <w:bCs/>
          <w:sz w:val="28"/>
        </w:rPr>
      </w:pPr>
      <w:r>
        <w:rPr>
          <w:b/>
          <w:bCs/>
          <w:sz w:val="28"/>
        </w:rPr>
        <w:t>Site Development Permitting</w:t>
      </w:r>
    </w:p>
    <w:p>
      <w:pPr>
        <w:pStyle w:val="Normalparagraph"/>
        <w:rPr>
          <w:lang w:eastAsia="ja-JP"/>
        </w:rPr>
      </w:pPr>
      <w:r>
        <w:rPr/>
        <w:t xml:space="preserve">Much of the difficulty in power plant development lies in the various processes required to  obtain permission to develop a site, even where the site has already undergone significant infrastructure development for purposes of industrial development. Acquisition of land, compensation for fishing rights, </w:t>
      </w:r>
      <w:r>
        <w:rPr>
          <w:lang w:eastAsia="ja-JP"/>
        </w:rPr>
        <w:t xml:space="preserve">and </w:t>
      </w:r>
      <w:r>
        <w:rPr/>
        <w:t>obtaining permission for development and construction of port and inland facilities</w:t>
      </w:r>
      <w:r>
        <w:rPr>
          <w:lang w:eastAsia="ja-JP"/>
        </w:rPr>
        <w:t>,</w:t>
      </w:r>
      <w:r>
        <w:rPr/>
        <w:t xml:space="preserve"> all present difficulties. </w:t>
      </w:r>
    </w:p>
    <w:p>
      <w:pPr>
        <w:pStyle w:val="Normalparagraph"/>
        <w:rPr/>
      </w:pPr>
      <w:r>
        <w:rPr>
          <w:b/>
          <w:bCs/>
        </w:rPr>
        <w:t xml:space="preserve">Procedures for Fishing </w:t>
      </w:r>
      <w:r>
        <w:rPr>
          <w:b/>
          <w:bCs/>
        </w:rPr>
        <w:t xml:space="preserve">Rights </w:t>
      </w:r>
      <w:r>
        <w:rPr>
          <w:b/>
          <w:bCs/>
        </w:rPr>
        <w:t>Compensation</w:t>
      </w:r>
      <w:r>
        <w:rPr>
          <w:b/>
          <w:bCs/>
        </w:rPr>
        <w:t>.</w:t>
      </w:r>
      <w:r>
        <w:rPr/>
        <w:t xml:space="preserve"> Compensation to the local fishermen’s cooperative must be paid if the project curtails fishing rights. The process is opaque, time-consuming and expensive. Huge amounts of compensation have been recorded for recent power plant development and fishermen’s unions have been known to ask for pre-payments. Some people suggest that disclosed amounts do not always reflect actual payments made.</w:t>
      </w:r>
    </w:p>
    <w:p>
      <w:pPr>
        <w:pStyle w:val="Normalparagraph"/>
        <w:rPr/>
      </w:pPr>
      <w:r>
        <w:rPr/>
        <w:t>Without the provisional agreement of the local fishermen’s cooperative, it is very difficult to begin the field study for the environmental assessment process and without their final agreement, a project cannot proceed.</w:t>
      </w:r>
    </w:p>
    <w:p>
      <w:pPr>
        <w:pStyle w:val="Normalparagraph"/>
        <w:rPr/>
      </w:pPr>
      <w:r>
        <w:rPr/>
        <w:t>The time needed to complete the compensation procedure is difficult to predict as it varies depending on the scale of compensation</w:t>
      </w:r>
      <w:r>
        <w:rPr/>
        <w:t>. Government documents</w:t>
      </w:r>
      <w:r>
        <w:rPr/>
        <w:t xml:space="preserve"> </w:t>
      </w:r>
      <w:r>
        <w:rPr/>
        <w:t>state that</w:t>
      </w:r>
      <w:r>
        <w:rPr/>
        <w:t xml:space="preserve"> it is </w:t>
      </w:r>
      <w:r>
        <w:rPr/>
        <w:t>extremely</w:t>
      </w:r>
      <w:r>
        <w:rPr/>
        <w:t xml:space="preserve"> difficult to carry out the procedure </w:t>
      </w:r>
      <w:r>
        <w:rPr/>
        <w:t xml:space="preserve">in less than </w:t>
      </w:r>
      <w:r>
        <w:rPr/>
        <w:t>one year.</w:t>
      </w:r>
    </w:p>
    <w:p>
      <w:pPr>
        <w:pStyle w:val="Normalparagraph"/>
        <w:rPr/>
      </w:pPr>
      <w:r>
        <w:rPr/>
        <w:t>Disclosed payments made in 2000 were 3 billion yen (approx. US$25 million) for a 1,200MW thermal plant and 12.3 billion yen (approx. US$102 million) for a 2,760 MW nuclear plant.</w:t>
      </w:r>
    </w:p>
    <w:p>
      <w:pPr>
        <w:pStyle w:val="Normalparagraph"/>
        <w:rPr/>
      </w:pPr>
      <w:r>
        <w:rPr>
          <w:b/>
          <w:bCs/>
        </w:rPr>
        <w:t>National Regulation.</w:t>
      </w:r>
      <w:r>
        <w:rPr/>
        <w:t xml:space="preserve"> There are fif</w:t>
      </w:r>
      <w:r>
        <w:rPr/>
        <w:t xml:space="preserve">teen laws and related permits </w:t>
      </w:r>
      <w:r>
        <w:rPr/>
        <w:t xml:space="preserve">described </w:t>
      </w:r>
      <w:r>
        <w:rPr/>
        <w:t>that</w:t>
      </w:r>
      <w:r>
        <w:rPr/>
        <w:t xml:space="preserve"> </w:t>
      </w:r>
      <w:r>
        <w:rPr/>
        <w:t>apply to the site development permitting process</w:t>
      </w:r>
      <w:r>
        <w:rPr/>
        <w:t xml:space="preserve">. This paper describes the necessary procedures for complying with the more significant of those </w:t>
      </w:r>
      <w:r>
        <w:rPr/>
        <w:t>laws</w:t>
      </w:r>
      <w:r>
        <w:rPr/>
        <w:t>. P</w:t>
      </w:r>
      <w:r>
        <w:rPr/>
        <w:t>rocedures are not clearly stated in the laws</w:t>
      </w:r>
      <w:r>
        <w:rPr/>
        <w:t xml:space="preserve"> and in </w:t>
      </w:r>
      <w:r>
        <w:rPr/>
        <w:t>nearly all c</w:t>
      </w:r>
      <w:r>
        <w:rPr/>
        <w:t xml:space="preserve">ircumstances it is necessary to undertake </w:t>
      </w:r>
      <w:r>
        <w:rPr/>
        <w:t>preliminary discussions with the local and national authorities</w:t>
      </w:r>
      <w:r>
        <w:rPr/>
        <w:t xml:space="preserve"> prior to submission of documentation, which can take several moths or more.</w:t>
      </w:r>
    </w:p>
    <w:p>
      <w:pPr>
        <w:pStyle w:val="Laws"/>
        <w:numPr>
          <w:ilvl w:val="0"/>
          <w:numId w:val="0"/>
        </w:numPr>
        <w:ind w:hanging="0" w:start="0"/>
        <w:rPr>
          <w:lang w:eastAsia="ja-JP"/>
        </w:rPr>
      </w:pPr>
      <w:r>
        <w:rPr>
          <w:lang w:eastAsia="ja-JP"/>
        </w:rPr>
      </w:r>
    </w:p>
    <w:p>
      <w:pPr>
        <w:pStyle w:val="Normalparagraph"/>
        <w:rPr>
          <w:b/>
          <w:bCs/>
          <w:sz w:val="28"/>
        </w:rPr>
      </w:pPr>
      <w:r>
        <w:rPr>
          <w:b/>
          <w:bCs/>
          <w:sz w:val="28"/>
        </w:rPr>
        <w:t>Construction Permitting</w:t>
      </w:r>
    </w:p>
    <w:p>
      <w:pPr>
        <w:pStyle w:val="Normalparagraph"/>
        <w:rPr/>
      </w:pPr>
      <w:r>
        <w:rPr/>
        <w:t>There are twenty-four</w:t>
      </w:r>
      <w:r>
        <w:rPr/>
        <w:t xml:space="preserve"> </w:t>
      </w:r>
      <w:r>
        <w:rPr/>
        <w:t xml:space="preserve">separate </w:t>
      </w:r>
      <w:r>
        <w:rPr/>
        <w:t xml:space="preserve">laws </w:t>
      </w:r>
      <w:r>
        <w:rPr/>
        <w:t xml:space="preserve">described </w:t>
      </w:r>
      <w:r>
        <w:rPr/>
        <w:t xml:space="preserve">that </w:t>
      </w:r>
      <w:r>
        <w:rPr/>
        <w:t>are relevant to the construction permitting process. In addition, the Electric Utility Industry Law (EUIL) requires additional permitting for imported plant and equipment, since non-Japanese technical standards are generally not accepted.</w:t>
      </w:r>
    </w:p>
    <w:p>
      <w:pPr>
        <w:pStyle w:val="Normalparagraph"/>
        <w:rPr>
          <w:b/>
          <w:bCs/>
          <w:sz w:val="28"/>
        </w:rPr>
      </w:pPr>
      <w:r>
        <w:rPr>
          <w:b/>
          <w:bCs/>
          <w:sz w:val="28"/>
        </w:rPr>
        <w:t>Transmission Access</w:t>
      </w:r>
    </w:p>
    <w:p>
      <w:pPr>
        <w:pStyle w:val="Normalparagraph"/>
        <w:rPr/>
      </w:pPr>
      <w:r>
        <w:rPr/>
        <w:t xml:space="preserve">Access to the transmission grid presents serious difficulties for independent plant developers under the current system. The </w:t>
      </w:r>
      <w:r>
        <w:rPr>
          <w:lang w:eastAsia="ja-JP"/>
        </w:rPr>
        <w:t xml:space="preserve">incumbent utilities </w:t>
      </w:r>
      <w:r>
        <w:rPr/>
        <w:t>have sufficient discretion in their terms and conditions for access to decide the point of transmission access, the construction costs and the time required for construction.</w:t>
      </w:r>
      <w:r>
        <w:rPr>
          <w:lang w:eastAsia="ja-JP"/>
        </w:rPr>
        <w:t xml:space="preserve"> Whether the utilities construct lines as common network lines or as dedicated power plant lines paid for wholly by the developer, the utilities retain ownership of the lines.</w:t>
      </w:r>
    </w:p>
    <w:p>
      <w:pPr>
        <w:pStyle w:val="Normalparagraph"/>
        <w:rPr/>
      </w:pPr>
      <w:r>
        <w:rPr/>
        <w:t xml:space="preserve">Generators may sell electricity through wheeling contracts to end users as </w:t>
      </w:r>
      <w:r>
        <w:rPr>
          <w:lang w:eastAsia="ja-JP"/>
        </w:rPr>
        <w:t>special</w:t>
      </w:r>
      <w:r>
        <w:rPr>
          <w:lang w:eastAsia="ja-JP"/>
        </w:rPr>
        <w:t xml:space="preserve"> scale electric </w:t>
      </w:r>
      <w:r>
        <w:rPr>
          <w:lang w:eastAsia="ja-JP"/>
        </w:rPr>
        <w:t>utility</w:t>
      </w:r>
      <w:r>
        <w:rPr>
          <w:lang w:eastAsia="ja-JP"/>
        </w:rPr>
        <w:t xml:space="preserve"> businesses (</w:t>
      </w:r>
      <w:r>
        <w:rPr/>
        <w:t>SSEUB), or wholesale to marketers and other SSEUB’s. However, under the current regulations, only one wheeling contract is allowed per generation site.</w:t>
      </w:r>
    </w:p>
    <w:p>
      <w:pPr>
        <w:pStyle w:val="Normalparagraph"/>
        <w:rPr/>
      </w:pPr>
      <w:r>
        <w:rPr/>
        <w:t xml:space="preserve">Sales to multiple SSEUB’s/marketers/end-users must be coordinated within a single wheeling contract by a single party for all contracts. In addition, any changes in output or additions/reductions in points of delivery require amendment to the wheeling contract. Access to transmission, therefore, is by no means on terms that are the most rational and beneficial for the grid and the market as a whole. </w:t>
      </w:r>
    </w:p>
    <w:p>
      <w:pPr>
        <w:pStyle w:val="Normalparagraph"/>
        <w:rPr>
          <w:b/>
          <w:bCs/>
          <w:sz w:val="28"/>
        </w:rPr>
      </w:pPr>
      <w:r>
        <w:rPr>
          <w:b/>
          <w:bCs/>
          <w:sz w:val="28"/>
        </w:rPr>
        <w:t>Construction Process</w:t>
      </w:r>
    </w:p>
    <w:p>
      <w:pPr>
        <w:pStyle w:val="Normalparagraph"/>
        <w:rPr/>
      </w:pPr>
      <w:r>
        <w:rPr/>
        <w:t>The main approvals for the construction process center around the Electric Utility Industry Law (EUIL)</w:t>
      </w:r>
      <w:r>
        <w:rPr>
          <w:b/>
          <w:bCs/>
          <w:i/>
          <w:iCs/>
        </w:rPr>
        <w:t xml:space="preserve"> </w:t>
      </w:r>
      <w:r>
        <w:rPr/>
        <w:t xml:space="preserve">and the self-inspection process for welding and pre-operation inspection. There are also safety related laws and 13 other laws which may require notification of completion of construction. </w:t>
      </w:r>
    </w:p>
    <w:p>
      <w:pPr>
        <w:pStyle w:val="Normalparagraph"/>
        <w:rPr>
          <w:b/>
          <w:bCs/>
          <w:sz w:val="28"/>
        </w:rPr>
      </w:pPr>
      <w:r>
        <w:rPr>
          <w:b/>
          <w:bCs/>
          <w:sz w:val="28"/>
        </w:rPr>
        <w:t>Post Start-up Operation</w:t>
      </w:r>
    </w:p>
    <w:p>
      <w:pPr>
        <w:sectPr>
          <w:headerReference w:type="default" r:id="rId4"/>
          <w:headerReference w:type="first" r:id="rId5"/>
          <w:footerReference w:type="default" r:id="rId6"/>
          <w:footerReference w:type="first" r:id="rId7"/>
          <w:type w:val="nextPage"/>
          <w:pgSz w:w="11906" w:h="16838"/>
          <w:pgMar w:left="1418" w:right="1418" w:gutter="0" w:header="720" w:top="1418" w:footer="720" w:bottom="1418"/>
          <w:pgNumType w:start="1" w:fmt="decimal"/>
          <w:formProt w:val="false"/>
          <w:textDirection w:val="lrTb"/>
          <w:docGrid w:type="default" w:linePitch="360" w:charSpace="0"/>
        </w:sectPr>
        <w:pStyle w:val="Normalparagraph"/>
        <w:rPr/>
      </w:pPr>
      <w:r>
        <w:rPr/>
        <w:t>The EUIL requires regular inspections and reporting for generating plant operators. Other laws also have various reporting requirements.</w:t>
      </w:r>
    </w:p>
    <w:p>
      <w:pPr>
        <w:pStyle w:val="Normalparagraph"/>
        <w:rPr>
          <w:b/>
          <w:bCs/>
          <w:sz w:val="28"/>
        </w:rPr>
      </w:pPr>
      <w:r>
        <w:rPr>
          <w:b/>
          <w:bCs/>
          <w:sz w:val="28"/>
        </w:rPr>
        <w:t>Representative Timescales for Development</w:t>
      </w:r>
    </w:p>
    <w:p>
      <w:pPr>
        <w:pStyle w:val="Normalparagraph"/>
        <w:rPr/>
      </w:pPr>
      <w:r>
        <w:rPr/>
        <w:t>Power plant development for a large-scale power plant can be expected to take around 7.5 years. However, this process does not include the early development issues such as negotiations relating to fishing rights and land acquisition.</w:t>
      </w:r>
    </w:p>
    <w:p>
      <w:pPr>
        <w:pStyle w:val="Normalparagraph"/>
        <w:rPr/>
      </w:pPr>
      <w:r>
        <w:rPr/>
        <w:t>Construction of transmission facilities, including acquisition of land, can at a conservative estimate take 5 to 7 years. The construction and acquisition is undertaken by the utilities and there is no guarantee that access can be granted because of the difficulties in acquiring land in Japan. Since the utility is unlikely to buy land or begin construction of the transmission facilities before financial close of the project, 1 to 3 years should be added to the development process.</w:t>
      </w:r>
    </w:p>
    <w:p>
      <w:pPr>
        <w:pStyle w:val="Normalparagraph"/>
        <w:rPr/>
      </w:pPr>
      <w:r>
        <w:rPr/>
        <w:t xml:space="preserve">Aggregating the </w:t>
      </w:r>
      <w:r>
        <w:rPr>
          <w:lang w:eastAsia="ja-JP"/>
        </w:rPr>
        <w:t>time needed for initial development negotiations and procedures</w:t>
      </w:r>
      <w:r>
        <w:rPr>
          <w:lang w:eastAsia="ja-JP"/>
        </w:rPr>
        <w:t xml:space="preserve"> and transmission access</w:t>
      </w:r>
      <w:r>
        <w:rPr>
          <w:lang w:eastAsia="ja-JP"/>
        </w:rPr>
        <w:t>, the</w:t>
      </w:r>
      <w:r>
        <w:rPr>
          <w:lang w:eastAsia="ja-JP"/>
        </w:rPr>
        <w:t xml:space="preserve"> development </w:t>
      </w:r>
      <w:r>
        <w:rPr>
          <w:lang w:eastAsia="ja-JP"/>
        </w:rPr>
        <w:t>process can</w:t>
      </w:r>
      <w:r>
        <w:rPr>
          <w:lang w:eastAsia="ja-JP"/>
        </w:rPr>
        <w:t xml:space="preserve"> </w:t>
      </w:r>
      <w:r>
        <w:rPr>
          <w:lang w:eastAsia="ja-JP"/>
        </w:rPr>
        <w:t xml:space="preserve">exceed </w:t>
      </w:r>
      <w:r>
        <w:rPr>
          <w:lang w:eastAsia="ja-JP"/>
        </w:rPr>
        <w:t xml:space="preserve">10 </w:t>
      </w:r>
      <w:r>
        <w:rPr>
          <w:lang w:eastAsia="ja-JP"/>
        </w:rPr>
        <w:t>years.</w:t>
      </w:r>
    </w:p>
    <w:p>
      <w:pPr>
        <w:pStyle w:val="Normalparagraph"/>
        <w:rPr>
          <w:b/>
          <w:bCs/>
          <w:sz w:val="28"/>
        </w:rPr>
      </w:pPr>
      <w:r>
        <w:rPr>
          <w:b/>
          <w:bCs/>
          <w:sz w:val="28"/>
        </w:rPr>
        <w:t>EPower Project Regulatory Analysis</w:t>
      </w:r>
    </w:p>
    <w:p>
      <w:pPr>
        <w:pStyle w:val="Normalparagraph"/>
        <w:rPr/>
      </w:pPr>
      <w:r>
        <w:rPr>
          <w:b/>
          <w:bCs/>
        </w:rPr>
        <w:t>Initial Development Processes</w:t>
      </w:r>
      <w:r>
        <w:rPr/>
        <w:t>. The major greenfield projects in Aomori and Ube have already experienced delays in the commencement of the environmental assessment process. These delays are related to acquisition of land, transfer of land use, etc. Other early development issues, such as fishing rights have the potential to impact this process further. Exclusivity of land acquisition and initial agreement of the fishermen’s cooperative to carry out the environmental survey have a direct effect on implementation of the environmental assessment process.</w:t>
      </w:r>
    </w:p>
    <w:p>
      <w:pPr>
        <w:pStyle w:val="BodyText"/>
        <w:rPr>
          <w:b/>
          <w:bCs/>
        </w:rPr>
      </w:pPr>
      <w:r>
        <w:rPr>
          <w:b/>
          <w:bCs/>
        </w:rPr>
      </w:r>
    </w:p>
    <w:p>
      <w:pPr>
        <w:pStyle w:val="BodyText"/>
        <w:rPr/>
      </w:pPr>
      <w:r>
        <w:rPr>
          <w:b/>
          <w:bCs/>
        </w:rPr>
        <w:t>Transmission.</w:t>
      </w:r>
      <w:r>
        <w:rPr/>
        <w:t xml:space="preserve"> Transmission access issues need to be addressed at the earliest stages of greenfield project assessment. Access to transmission is dependent on the utilities, and they are able to decide the grid rules and operation standards required, subject to Ministry of (METI) approval and fair trade guidelines.</w:t>
      </w:r>
    </w:p>
    <w:p>
      <w:pPr>
        <w:pStyle w:val="BodyText"/>
        <w:rPr/>
      </w:pPr>
      <w:r>
        <w:rPr/>
      </w:r>
    </w:p>
    <w:p>
      <w:pPr>
        <w:pStyle w:val="BodyText"/>
        <w:rPr/>
      </w:pPr>
      <w:r>
        <w:rPr/>
        <w:t>Ideally, applications for transmission access feasibility studies should be made before plant development decisions or announcements are made. In-house studies that hold true in general may not reflect the reality of the system as permitted in the current rules of access.</w:t>
      </w:r>
    </w:p>
    <w:p>
      <w:pPr>
        <w:pStyle w:val="BodyText"/>
        <w:rPr/>
      </w:pPr>
      <w:r>
        <w:rPr/>
      </w:r>
    </w:p>
    <w:p>
      <w:pPr>
        <w:pStyle w:val="BodyText"/>
        <w:rPr/>
      </w:pPr>
      <w:r>
        <w:rPr>
          <w:b/>
          <w:bCs/>
        </w:rPr>
        <w:t>Environmental Assessment.</w:t>
      </w:r>
      <w:r>
        <w:rPr/>
        <w:t xml:space="preserve"> The target plans that EPower has developed for compliance with the Environmental Assessment Law leave little leeway for potential changes to the process, such as extended field survey at the request of local authorities, and seek to shorten the time required for important preliminary discussion processes relating to the draft assessment by two months. EPower does recognize that these targets are difficult to achieve. </w:t>
      </w:r>
    </w:p>
    <w:p>
      <w:pPr>
        <w:pStyle w:val="BodyText"/>
        <w:rPr/>
      </w:pPr>
      <w:r>
        <w:rPr/>
      </w:r>
    </w:p>
    <w:p>
      <w:pPr>
        <w:pStyle w:val="BodyText"/>
        <w:rPr/>
      </w:pPr>
      <w:r>
        <w:rPr>
          <w:b/>
          <w:bCs/>
        </w:rPr>
        <w:t>Review of EPower time estimates for major projects.</w:t>
      </w:r>
      <w:r>
        <w:rPr/>
        <w:t xml:space="preserve"> The following sets out EPower's time estimates for the Aomori, Ube, Oita, and Teijin projects and provides an evaluation of those time estimates.  </w:t>
      </w:r>
    </w:p>
    <w:p>
      <w:pPr>
        <w:pStyle w:val="BodyText"/>
        <w:rPr/>
      </w:pPr>
      <w:r>
        <w:rPr/>
      </w:r>
    </w:p>
    <w:p>
      <w:pPr>
        <w:pStyle w:val="EPowerNo"/>
        <w:numPr>
          <w:ilvl w:val="0"/>
          <w:numId w:val="0"/>
        </w:numPr>
        <w:ind w:hanging="0" w:start="0"/>
        <w:rPr/>
      </w:pPr>
      <w:r>
        <w:rPr/>
        <w:t>Aomori Project (Apple)</w:t>
      </w:r>
    </w:p>
    <w:p>
      <w:pPr>
        <w:pStyle w:val="EPowerNo"/>
        <w:numPr>
          <w:ilvl w:val="0"/>
          <w:numId w:val="0"/>
        </w:numPr>
        <w:ind w:hanging="0" w:start="0"/>
        <w:rPr/>
      </w:pPr>
      <w:r>
        <w:rPr/>
        <w:t>Issues in EPower’s Current Schedule</w:t>
      </w:r>
    </w:p>
    <w:tbl>
      <w:tblPr>
        <w:tblW w:w="8856" w:type="dxa"/>
        <w:jc w:val="start"/>
        <w:tblInd w:w="0" w:type="dxa"/>
        <w:tblLayout w:type="fixed"/>
        <w:tblCellMar>
          <w:top w:w="0" w:type="dxa"/>
          <w:start w:w="108" w:type="dxa"/>
          <w:bottom w:w="0" w:type="dxa"/>
          <w:end w:w="108" w:type="dxa"/>
        </w:tblCellMar>
      </w:tblPr>
      <w:tblGrid>
        <w:gridCol w:w="1660"/>
        <w:gridCol w:w="7196"/>
      </w:tblGrid>
      <w:tr>
        <w:trPr/>
        <w:tc>
          <w:tcPr>
            <w:tcW w:w="1660" w:type="dxa"/>
            <w:tcBorders>
              <w:top w:val="double" w:sz="4" w:space="0" w:color="000000"/>
              <w:bottom w:val="single" w:sz="4" w:space="0" w:color="000000"/>
            </w:tcBorders>
          </w:tcPr>
          <w:p>
            <w:pPr>
              <w:pStyle w:val="Normal"/>
              <w:rPr>
                <w:b/>
                <w:bCs/>
              </w:rPr>
            </w:pPr>
            <w:r>
              <w:rPr>
                <w:b/>
                <w:bCs/>
              </w:rPr>
              <w:t>Overall Development</w:t>
            </w:r>
          </w:p>
        </w:tc>
        <w:tc>
          <w:tcPr>
            <w:tcW w:w="7196" w:type="dxa"/>
            <w:tcBorders>
              <w:top w:val="double" w:sz="4" w:space="0" w:color="000000"/>
              <w:bottom w:val="single" w:sz="4" w:space="0" w:color="000000"/>
            </w:tcBorders>
          </w:tcPr>
          <w:p>
            <w:pPr>
              <w:pStyle w:val="Normal"/>
              <w:rPr/>
            </w:pPr>
            <w:r>
              <w:rPr/>
              <w:t>7 years and 9 months from beginning of 2001 (Operation by September 2008)</w:t>
            </w:r>
          </w:p>
        </w:tc>
      </w:tr>
      <w:tr>
        <w:trPr/>
        <w:tc>
          <w:tcPr>
            <w:tcW w:w="1660" w:type="dxa"/>
            <w:tcBorders>
              <w:top w:val="single" w:sz="4" w:space="0" w:color="000000"/>
              <w:bottom w:val="single" w:sz="4" w:space="0" w:color="000000"/>
            </w:tcBorders>
          </w:tcPr>
          <w:p>
            <w:pPr>
              <w:pStyle w:val="Normal"/>
              <w:rPr>
                <w:b/>
                <w:bCs/>
              </w:rPr>
            </w:pPr>
            <w:r>
              <w:rPr>
                <w:b/>
                <w:bCs/>
              </w:rPr>
              <w:t>Evaluation</w:t>
            </w:r>
          </w:p>
        </w:tc>
        <w:tc>
          <w:tcPr>
            <w:tcW w:w="7196" w:type="dxa"/>
            <w:tcBorders>
              <w:top w:val="single" w:sz="4" w:space="0" w:color="000000"/>
              <w:bottom w:val="single" w:sz="4" w:space="0" w:color="000000"/>
            </w:tcBorders>
          </w:tcPr>
          <w:p>
            <w:pPr>
              <w:pStyle w:val="Normal"/>
              <w:numPr>
                <w:ilvl w:val="0"/>
                <w:numId w:val="6"/>
              </w:numPr>
              <w:jc w:val="both"/>
              <w:rPr/>
            </w:pPr>
            <w:r>
              <w:rPr/>
              <w:t>Optimistic. The plan assumes a best case scenario - that all processes will go according to plan without any hitches.</w:t>
            </w:r>
          </w:p>
          <w:p>
            <w:pPr>
              <w:pStyle w:val="Normal"/>
              <w:numPr>
                <w:ilvl w:val="0"/>
                <w:numId w:val="6"/>
              </w:numPr>
              <w:jc w:val="both"/>
              <w:rPr/>
            </w:pPr>
            <w:r>
              <w:rPr/>
              <w:t>There is no realistic inclusion of transmission access schedules.</w:t>
            </w:r>
          </w:p>
          <w:p>
            <w:pPr>
              <w:pStyle w:val="Normal"/>
              <w:numPr>
                <w:ilvl w:val="0"/>
                <w:numId w:val="6"/>
              </w:numPr>
              <w:jc w:val="both"/>
              <w:rPr/>
            </w:pPr>
            <w:r>
              <w:rPr/>
              <w:t>Several important issues on initial land acquisition development have yet to be decided. EPower’s plan to cease development activities until the prefectural government is able to coordinate land issues will directly affect development schedules.</w:t>
            </w:r>
          </w:p>
          <w:p>
            <w:pPr>
              <w:pStyle w:val="Normal"/>
              <w:numPr>
                <w:ilvl w:val="0"/>
                <w:numId w:val="6"/>
              </w:numPr>
              <w:jc w:val="both"/>
              <w:rPr/>
            </w:pPr>
            <w:r>
              <w:rPr/>
              <w:t>The Environmental Assessment schedule is too tight.</w:t>
            </w:r>
          </w:p>
          <w:p>
            <w:pPr>
              <w:pStyle w:val="Normal"/>
              <w:numPr>
                <w:ilvl w:val="0"/>
                <w:numId w:val="6"/>
              </w:numPr>
              <w:jc w:val="both"/>
              <w:rPr/>
            </w:pPr>
            <w:r>
              <w:rPr/>
              <w:t>Potential fishing rights issues need further examination.</w:t>
            </w:r>
          </w:p>
        </w:tc>
      </w:tr>
    </w:tbl>
    <w:p>
      <w:pPr>
        <w:pStyle w:val="Normal"/>
        <w:rPr/>
      </w:pPr>
      <w:r>
        <w:rPr/>
      </w:r>
    </w:p>
    <w:p>
      <w:pPr>
        <w:pStyle w:val="Heading5"/>
        <w:ind w:hanging="0" w:start="0"/>
        <w:rPr/>
      </w:pPr>
      <w:r>
        <w:rPr/>
        <w:t>Individual Issues</w:t>
      </w:r>
    </w:p>
    <w:tbl>
      <w:tblPr>
        <w:tblW w:w="8856" w:type="dxa"/>
        <w:jc w:val="start"/>
        <w:tblInd w:w="0" w:type="dxa"/>
        <w:tblLayout w:type="fixed"/>
        <w:tblCellMar>
          <w:top w:w="0" w:type="dxa"/>
          <w:start w:w="108" w:type="dxa"/>
          <w:bottom w:w="0" w:type="dxa"/>
          <w:end w:w="108" w:type="dxa"/>
        </w:tblCellMar>
      </w:tblPr>
      <w:tblGrid>
        <w:gridCol w:w="1645"/>
        <w:gridCol w:w="7211"/>
      </w:tblGrid>
      <w:tr>
        <w:trPr/>
        <w:tc>
          <w:tcPr>
            <w:tcW w:w="1645" w:type="dxa"/>
            <w:tcBorders>
              <w:top w:val="double" w:sz="4" w:space="0" w:color="000000"/>
              <w:bottom w:val="single" w:sz="4" w:space="0" w:color="000000"/>
            </w:tcBorders>
          </w:tcPr>
          <w:p>
            <w:pPr>
              <w:pStyle w:val="Normal"/>
              <w:rPr>
                <w:b/>
                <w:bCs/>
              </w:rPr>
            </w:pPr>
            <w:r>
              <w:rPr>
                <w:b/>
                <w:bCs/>
              </w:rPr>
              <w:t>Land Exclusivity</w:t>
            </w:r>
          </w:p>
        </w:tc>
        <w:tc>
          <w:tcPr>
            <w:tcW w:w="7211" w:type="dxa"/>
            <w:tcBorders>
              <w:top w:val="double" w:sz="4" w:space="0" w:color="000000"/>
              <w:bottom w:val="single" w:sz="4" w:space="0" w:color="000000"/>
            </w:tcBorders>
          </w:tcPr>
          <w:p>
            <w:pPr>
              <w:pStyle w:val="Normal"/>
              <w:rPr/>
            </w:pPr>
            <w:r>
              <w:rPr/>
              <w:t>Basic decision expected June 2001; exclusivity agreement two more months, i.e. August 2001</w:t>
            </w:r>
          </w:p>
        </w:tc>
      </w:tr>
      <w:tr>
        <w:trPr>
          <w:trHeight w:val="169" w:hRule="atLeast"/>
        </w:trPr>
        <w:tc>
          <w:tcPr>
            <w:tcW w:w="1645" w:type="dxa"/>
            <w:tcBorders>
              <w:top w:val="single" w:sz="4" w:space="0" w:color="000000"/>
            </w:tcBorders>
          </w:tcPr>
          <w:p>
            <w:pPr>
              <w:pStyle w:val="Normal"/>
              <w:snapToGrid w:val="false"/>
              <w:spacing w:lineRule="exact" w:line="120"/>
              <w:rPr>
                <w:b/>
                <w:bCs/>
              </w:rPr>
            </w:pPr>
            <w:r>
              <w:rPr>
                <w:b/>
                <w:bCs/>
              </w:rPr>
            </w:r>
          </w:p>
        </w:tc>
        <w:tc>
          <w:tcPr>
            <w:tcW w:w="7211" w:type="dxa"/>
            <w:tcBorders>
              <w:top w:val="single" w:sz="4" w:space="0" w:color="000000"/>
            </w:tcBorders>
          </w:tcPr>
          <w:p>
            <w:pPr>
              <w:pStyle w:val="Normal"/>
              <w:snapToGrid w:val="false"/>
              <w:spacing w:lineRule="exact" w:line="120"/>
              <w:ind w:start="-108" w:end="0"/>
              <w:jc w:val="both"/>
              <w:rPr>
                <w:b/>
                <w:bCs/>
              </w:rPr>
            </w:pPr>
            <w:r>
              <w:rPr>
                <w:b/>
                <w:bCs/>
              </w:rPr>
            </w:r>
          </w:p>
        </w:tc>
      </w:tr>
      <w:tr>
        <w:trPr/>
        <w:tc>
          <w:tcPr>
            <w:tcW w:w="1645" w:type="dxa"/>
            <w:tcBorders/>
          </w:tcPr>
          <w:p>
            <w:pPr>
              <w:pStyle w:val="Normal"/>
              <w:rPr>
                <w:b/>
                <w:bCs/>
              </w:rPr>
            </w:pPr>
            <w:r>
              <w:rPr>
                <w:b/>
                <w:bCs/>
              </w:rPr>
              <w:t>Evaluation</w:t>
            </w:r>
          </w:p>
        </w:tc>
        <w:tc>
          <w:tcPr>
            <w:tcW w:w="7211" w:type="dxa"/>
            <w:tcBorders/>
          </w:tcPr>
          <w:p>
            <w:pPr>
              <w:pStyle w:val="Normal"/>
              <w:numPr>
                <w:ilvl w:val="0"/>
                <w:numId w:val="6"/>
              </w:numPr>
              <w:jc w:val="both"/>
              <w:rPr/>
            </w:pPr>
            <w:r>
              <w:rPr/>
              <w:t>Ambitious time assessment.</w:t>
            </w:r>
          </w:p>
          <w:p>
            <w:pPr>
              <w:pStyle w:val="Normal"/>
              <w:numPr>
                <w:ilvl w:val="0"/>
                <w:numId w:val="6"/>
              </w:numPr>
              <w:jc w:val="both"/>
              <w:rPr/>
            </w:pPr>
            <w:r>
              <w:rPr/>
              <w:t>Discussions with the prefecture have not advanced quickly to date. Process involved creating an exclusivity agreement to transfer land from national to local government and then to EPower. This has proven difficult.</w:t>
            </w:r>
          </w:p>
          <w:p>
            <w:pPr>
              <w:pStyle w:val="Normal"/>
              <w:numPr>
                <w:ilvl w:val="0"/>
                <w:numId w:val="6"/>
              </w:numPr>
              <w:jc w:val="both"/>
              <w:rPr/>
            </w:pPr>
            <w:r>
              <w:rPr/>
              <w:t>EPower proposes sending a letter to the prefectural government stating that further development activities will be ceased until the prefectural government is able to coordinate land acquisition processes for the site. EPower expects this approach to set back development schedules by six months.</w:t>
            </w:r>
          </w:p>
          <w:p>
            <w:pPr>
              <w:pStyle w:val="Normal"/>
              <w:numPr>
                <w:ilvl w:val="0"/>
                <w:numId w:val="6"/>
              </w:numPr>
              <w:jc w:val="both"/>
              <w:rPr/>
            </w:pPr>
            <w:r>
              <w:rPr/>
              <w:t>Delay in this process will set back the environmental assessment procedures.</w:t>
            </w:r>
          </w:p>
        </w:tc>
      </w:tr>
    </w:tbl>
    <w:p>
      <w:pPr>
        <w:pStyle w:val="Normalparagraph"/>
        <w:rPr/>
      </w:pPr>
      <w:r>
        <w:rPr/>
      </w:r>
    </w:p>
    <w:tbl>
      <w:tblPr>
        <w:tblW w:w="8856" w:type="dxa"/>
        <w:jc w:val="start"/>
        <w:tblInd w:w="0" w:type="dxa"/>
        <w:tblLayout w:type="fixed"/>
        <w:tblCellMar>
          <w:top w:w="0" w:type="dxa"/>
          <w:start w:w="108" w:type="dxa"/>
          <w:bottom w:w="0" w:type="dxa"/>
          <w:end w:w="108" w:type="dxa"/>
        </w:tblCellMar>
      </w:tblPr>
      <w:tblGrid>
        <w:gridCol w:w="1663"/>
        <w:gridCol w:w="7193"/>
      </w:tblGrid>
      <w:tr>
        <w:trPr/>
        <w:tc>
          <w:tcPr>
            <w:tcW w:w="1663" w:type="dxa"/>
            <w:tcBorders>
              <w:top w:val="double" w:sz="4" w:space="0" w:color="000000"/>
              <w:bottom w:val="single" w:sz="4" w:space="0" w:color="000000"/>
            </w:tcBorders>
          </w:tcPr>
          <w:p>
            <w:pPr>
              <w:pStyle w:val="Normal"/>
              <w:rPr>
                <w:b/>
                <w:bCs/>
              </w:rPr>
            </w:pPr>
            <w:r>
              <w:rPr>
                <w:b/>
                <w:bCs/>
              </w:rPr>
              <w:t>Transmission Access</w:t>
            </w:r>
          </w:p>
        </w:tc>
        <w:tc>
          <w:tcPr>
            <w:tcW w:w="7193" w:type="dxa"/>
            <w:tcBorders>
              <w:top w:val="double" w:sz="4" w:space="0" w:color="000000"/>
              <w:bottom w:val="single" w:sz="4" w:space="0" w:color="000000"/>
            </w:tcBorders>
          </w:tcPr>
          <w:p>
            <w:pPr>
              <w:pStyle w:val="Normal"/>
              <w:rPr/>
            </w:pPr>
            <w:r>
              <w:rPr/>
              <w:t>3 years construction period (mid 2002 to mid 2005)</w:t>
            </w:r>
          </w:p>
        </w:tc>
      </w:tr>
      <w:tr>
        <w:trPr>
          <w:trHeight w:val="169" w:hRule="atLeast"/>
        </w:trPr>
        <w:tc>
          <w:tcPr>
            <w:tcW w:w="1663" w:type="dxa"/>
            <w:tcBorders>
              <w:top w:val="single" w:sz="4" w:space="0" w:color="000000"/>
            </w:tcBorders>
          </w:tcPr>
          <w:p>
            <w:pPr>
              <w:pStyle w:val="Normal"/>
              <w:snapToGrid w:val="false"/>
              <w:spacing w:lineRule="exact" w:line="120"/>
              <w:rPr>
                <w:b/>
                <w:bCs/>
              </w:rPr>
            </w:pPr>
            <w:r>
              <w:rPr>
                <w:b/>
                <w:bCs/>
              </w:rPr>
            </w:r>
          </w:p>
        </w:tc>
        <w:tc>
          <w:tcPr>
            <w:tcW w:w="7193" w:type="dxa"/>
            <w:tcBorders>
              <w:top w:val="single" w:sz="4" w:space="0" w:color="000000"/>
            </w:tcBorders>
          </w:tcPr>
          <w:p>
            <w:pPr>
              <w:pStyle w:val="Normal"/>
              <w:snapToGrid w:val="false"/>
              <w:spacing w:lineRule="exact" w:line="120"/>
              <w:ind w:start="-108" w:end="0"/>
              <w:jc w:val="both"/>
              <w:rPr>
                <w:b/>
                <w:bCs/>
              </w:rPr>
            </w:pPr>
            <w:r>
              <w:rPr>
                <w:b/>
                <w:bCs/>
              </w:rPr>
            </w:r>
          </w:p>
        </w:tc>
      </w:tr>
      <w:tr>
        <w:trPr/>
        <w:tc>
          <w:tcPr>
            <w:tcW w:w="1663" w:type="dxa"/>
            <w:tcBorders/>
          </w:tcPr>
          <w:p>
            <w:pPr>
              <w:pStyle w:val="Normal"/>
              <w:rPr>
                <w:b/>
                <w:bCs/>
              </w:rPr>
            </w:pPr>
            <w:r>
              <w:rPr>
                <w:b/>
                <w:bCs/>
              </w:rPr>
              <w:t>Evaluation</w:t>
            </w:r>
          </w:p>
        </w:tc>
        <w:tc>
          <w:tcPr>
            <w:tcW w:w="7193" w:type="dxa"/>
            <w:tcBorders/>
          </w:tcPr>
          <w:p>
            <w:pPr>
              <w:pStyle w:val="Normal"/>
              <w:numPr>
                <w:ilvl w:val="0"/>
                <w:numId w:val="6"/>
              </w:numPr>
              <w:jc w:val="both"/>
              <w:rPr/>
            </w:pPr>
            <w:r>
              <w:rPr/>
              <w:t>Conservative estimate of transmission construction process is 3 years for land acquisition and around 4 years for construction (total 7 years) for 22km of transmission lines.</w:t>
            </w:r>
          </w:p>
          <w:p>
            <w:pPr>
              <w:pStyle w:val="Normal"/>
              <w:numPr>
                <w:ilvl w:val="0"/>
                <w:numId w:val="6"/>
              </w:numPr>
              <w:jc w:val="both"/>
              <w:rPr/>
            </w:pPr>
            <w:r>
              <w:rPr/>
              <w:t>If transmission land acquisition process does not start before financial close and provided financial close cannot be achieved by July 2004, completion of transmission lines before 2011 unlikely.</w:t>
            </w:r>
          </w:p>
          <w:p>
            <w:pPr>
              <w:pStyle w:val="Normal"/>
              <w:numPr>
                <w:ilvl w:val="0"/>
                <w:numId w:val="6"/>
              </w:numPr>
              <w:jc w:val="both"/>
              <w:rPr/>
            </w:pPr>
            <w:r>
              <w:rPr/>
              <w:t>Insufficient transmission capacity south of substation to which EPower plans to connect.</w:t>
            </w:r>
          </w:p>
        </w:tc>
      </w:tr>
    </w:tbl>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645"/>
        <w:gridCol w:w="7211"/>
      </w:tblGrid>
      <w:tr>
        <w:trPr/>
        <w:tc>
          <w:tcPr>
            <w:tcW w:w="1645" w:type="dxa"/>
            <w:tcBorders>
              <w:top w:val="double" w:sz="4" w:space="0" w:color="000000"/>
              <w:bottom w:val="single" w:sz="4" w:space="0" w:color="000000"/>
            </w:tcBorders>
          </w:tcPr>
          <w:p>
            <w:pPr>
              <w:pStyle w:val="Normal"/>
              <w:rPr>
                <w:b/>
                <w:bCs/>
              </w:rPr>
            </w:pPr>
            <w:r>
              <w:rPr>
                <w:b/>
                <w:bCs/>
              </w:rPr>
              <w:t xml:space="preserve">Protected Forest </w:t>
            </w:r>
          </w:p>
        </w:tc>
        <w:tc>
          <w:tcPr>
            <w:tcW w:w="7211" w:type="dxa"/>
            <w:tcBorders>
              <w:top w:val="double" w:sz="4" w:space="0" w:color="000000"/>
              <w:bottom w:val="single" w:sz="4" w:space="0" w:color="000000"/>
            </w:tcBorders>
          </w:tcPr>
          <w:p>
            <w:pPr>
              <w:pStyle w:val="Normal"/>
              <w:snapToGrid w:val="false"/>
              <w:rPr>
                <w:b/>
                <w:bCs/>
              </w:rPr>
            </w:pPr>
            <w:r>
              <w:rPr>
                <w:b/>
                <w:bCs/>
              </w:rPr>
            </w:r>
          </w:p>
        </w:tc>
      </w:tr>
      <w:tr>
        <w:trPr>
          <w:trHeight w:val="169" w:hRule="atLeast"/>
        </w:trPr>
        <w:tc>
          <w:tcPr>
            <w:tcW w:w="1645" w:type="dxa"/>
            <w:tcBorders>
              <w:top w:val="single" w:sz="4" w:space="0" w:color="000000"/>
            </w:tcBorders>
          </w:tcPr>
          <w:p>
            <w:pPr>
              <w:pStyle w:val="Normal"/>
              <w:snapToGrid w:val="false"/>
              <w:spacing w:lineRule="exact" w:line="120"/>
              <w:rPr>
                <w:b/>
                <w:bCs/>
              </w:rPr>
            </w:pPr>
            <w:r>
              <w:rPr>
                <w:b/>
                <w:bCs/>
              </w:rPr>
            </w:r>
          </w:p>
        </w:tc>
        <w:tc>
          <w:tcPr>
            <w:tcW w:w="7211" w:type="dxa"/>
            <w:tcBorders>
              <w:top w:val="single" w:sz="4" w:space="0" w:color="000000"/>
            </w:tcBorders>
          </w:tcPr>
          <w:p>
            <w:pPr>
              <w:pStyle w:val="Normal"/>
              <w:snapToGrid w:val="false"/>
              <w:spacing w:lineRule="exact" w:line="120"/>
              <w:ind w:start="-108" w:end="0"/>
              <w:jc w:val="both"/>
              <w:rPr>
                <w:b/>
                <w:bCs/>
              </w:rPr>
            </w:pPr>
            <w:r>
              <w:rPr>
                <w:b/>
                <w:bCs/>
              </w:rPr>
            </w:r>
          </w:p>
        </w:tc>
      </w:tr>
      <w:tr>
        <w:trPr/>
        <w:tc>
          <w:tcPr>
            <w:tcW w:w="1645" w:type="dxa"/>
            <w:tcBorders/>
          </w:tcPr>
          <w:p>
            <w:pPr>
              <w:pStyle w:val="Normal"/>
              <w:rPr>
                <w:b/>
                <w:bCs/>
              </w:rPr>
            </w:pPr>
            <w:r>
              <w:rPr>
                <w:b/>
                <w:bCs/>
              </w:rPr>
              <w:t>Evaluation</w:t>
            </w:r>
          </w:p>
        </w:tc>
        <w:tc>
          <w:tcPr>
            <w:tcW w:w="7211" w:type="dxa"/>
            <w:tcBorders/>
          </w:tcPr>
          <w:p>
            <w:pPr>
              <w:pStyle w:val="Normal"/>
              <w:numPr>
                <w:ilvl w:val="0"/>
                <w:numId w:val="6"/>
              </w:numPr>
              <w:jc w:val="both"/>
              <w:rPr/>
            </w:pPr>
            <w:r>
              <w:rPr/>
              <w:t>Process expected to take around 1.5 years (approx. 1 year of discussions and six months for review of application)</w:t>
            </w:r>
          </w:p>
          <w:p>
            <w:pPr>
              <w:pStyle w:val="Normal"/>
              <w:numPr>
                <w:ilvl w:val="0"/>
                <w:numId w:val="6"/>
              </w:numPr>
              <w:jc w:val="both"/>
              <w:rPr/>
            </w:pPr>
            <w:r>
              <w:rPr/>
              <w:t>No guarantee of success, but if application is accepted, the process can be carried out concurrently with other processes, e.g. environmental access.</w:t>
            </w:r>
          </w:p>
        </w:tc>
      </w:tr>
    </w:tbl>
    <w:p>
      <w:pPr>
        <w:pStyle w:val="Normal"/>
        <w:rPr/>
      </w:pPr>
      <w:r>
        <w:rPr/>
      </w:r>
    </w:p>
    <w:tbl>
      <w:tblPr>
        <w:tblW w:w="8856" w:type="dxa"/>
        <w:jc w:val="start"/>
        <w:tblInd w:w="0" w:type="dxa"/>
        <w:tblLayout w:type="fixed"/>
        <w:tblCellMar>
          <w:top w:w="0" w:type="dxa"/>
          <w:start w:w="108" w:type="dxa"/>
          <w:bottom w:w="0" w:type="dxa"/>
          <w:end w:w="108" w:type="dxa"/>
        </w:tblCellMar>
      </w:tblPr>
      <w:tblGrid>
        <w:gridCol w:w="1645"/>
        <w:gridCol w:w="7211"/>
      </w:tblGrid>
      <w:tr>
        <w:trPr/>
        <w:tc>
          <w:tcPr>
            <w:tcW w:w="1645" w:type="dxa"/>
            <w:tcBorders>
              <w:top w:val="double" w:sz="4" w:space="0" w:color="000000"/>
              <w:bottom w:val="single" w:sz="4" w:space="0" w:color="000000"/>
            </w:tcBorders>
          </w:tcPr>
          <w:p>
            <w:pPr>
              <w:pStyle w:val="Normal"/>
              <w:rPr>
                <w:b/>
                <w:bCs/>
              </w:rPr>
            </w:pPr>
            <w:r>
              <w:rPr>
                <w:b/>
                <w:bCs/>
              </w:rPr>
              <w:t xml:space="preserve">Fishing Rights </w:t>
            </w:r>
          </w:p>
        </w:tc>
        <w:tc>
          <w:tcPr>
            <w:tcW w:w="7211" w:type="dxa"/>
            <w:tcBorders>
              <w:top w:val="double" w:sz="4" w:space="0" w:color="000000"/>
              <w:bottom w:val="single" w:sz="4" w:space="0" w:color="000000"/>
            </w:tcBorders>
          </w:tcPr>
          <w:p>
            <w:pPr>
              <w:pStyle w:val="Normal"/>
              <w:rPr/>
            </w:pPr>
            <w:r>
              <w:rPr/>
              <w:t>Currently no schedule included</w:t>
            </w:r>
          </w:p>
        </w:tc>
      </w:tr>
      <w:tr>
        <w:trPr>
          <w:trHeight w:val="169" w:hRule="atLeast"/>
        </w:trPr>
        <w:tc>
          <w:tcPr>
            <w:tcW w:w="1645" w:type="dxa"/>
            <w:tcBorders>
              <w:top w:val="single" w:sz="4" w:space="0" w:color="000000"/>
            </w:tcBorders>
          </w:tcPr>
          <w:p>
            <w:pPr>
              <w:pStyle w:val="Normal"/>
              <w:snapToGrid w:val="false"/>
              <w:spacing w:lineRule="exact" w:line="120"/>
              <w:rPr>
                <w:b/>
                <w:bCs/>
              </w:rPr>
            </w:pPr>
            <w:r>
              <w:rPr>
                <w:b/>
                <w:bCs/>
              </w:rPr>
            </w:r>
          </w:p>
        </w:tc>
        <w:tc>
          <w:tcPr>
            <w:tcW w:w="7211" w:type="dxa"/>
            <w:tcBorders>
              <w:top w:val="single" w:sz="4" w:space="0" w:color="000000"/>
            </w:tcBorders>
          </w:tcPr>
          <w:p>
            <w:pPr>
              <w:pStyle w:val="Normal"/>
              <w:snapToGrid w:val="false"/>
              <w:spacing w:lineRule="exact" w:line="120"/>
              <w:ind w:start="-108" w:end="0"/>
              <w:jc w:val="both"/>
              <w:rPr>
                <w:b/>
                <w:bCs/>
              </w:rPr>
            </w:pPr>
            <w:r>
              <w:rPr>
                <w:b/>
                <w:bCs/>
              </w:rPr>
            </w:r>
          </w:p>
        </w:tc>
      </w:tr>
      <w:tr>
        <w:trPr/>
        <w:tc>
          <w:tcPr>
            <w:tcW w:w="1645" w:type="dxa"/>
            <w:tcBorders/>
          </w:tcPr>
          <w:p>
            <w:pPr>
              <w:pStyle w:val="Normal"/>
              <w:rPr>
                <w:b/>
                <w:bCs/>
              </w:rPr>
            </w:pPr>
            <w:r>
              <w:rPr>
                <w:b/>
                <w:bCs/>
              </w:rPr>
              <w:t>Evaluation</w:t>
            </w:r>
          </w:p>
        </w:tc>
        <w:tc>
          <w:tcPr>
            <w:tcW w:w="7211" w:type="dxa"/>
            <w:tcBorders/>
          </w:tcPr>
          <w:p>
            <w:pPr>
              <w:pStyle w:val="Normal"/>
              <w:numPr>
                <w:ilvl w:val="0"/>
                <w:numId w:val="6"/>
              </w:numPr>
              <w:jc w:val="both"/>
              <w:rPr/>
            </w:pPr>
            <w:r>
              <w:rPr/>
              <w:t xml:space="preserve">Residual risk of additional compensation exists. The prefecture has suggested the possibility exists. No further research has been carried out. </w:t>
            </w:r>
          </w:p>
          <w:p>
            <w:pPr>
              <w:pStyle w:val="Normal"/>
              <w:numPr>
                <w:ilvl w:val="0"/>
                <w:numId w:val="6"/>
              </w:numPr>
              <w:jc w:val="both"/>
              <w:rPr/>
            </w:pPr>
            <w:r>
              <w:rPr/>
              <w:t>If EPower’s announcement to carry out environmental assessment produces comment from the fishermen’s cooperative, there could be potential delays of 1 or 2 years. At least the agreement of the local fishermen’s cooperative is needed to start the field study stage of the environmental assessment. Confirmation of this issue is required.</w:t>
            </w:r>
          </w:p>
        </w:tc>
      </w:tr>
    </w:tbl>
    <w:p>
      <w:pPr>
        <w:pStyle w:val="EPowerNo"/>
        <w:numPr>
          <w:ilvl w:val="0"/>
          <w:numId w:val="0"/>
        </w:numPr>
        <w:ind w:hanging="0" w:start="0"/>
        <w:rPr/>
      </w:pPr>
      <w:r>
        <w:rPr/>
      </w:r>
    </w:p>
    <w:p>
      <w:pPr>
        <w:pStyle w:val="EPowerNo"/>
        <w:numPr>
          <w:ilvl w:val="0"/>
          <w:numId w:val="0"/>
        </w:numPr>
        <w:ind w:hanging="0" w:start="0"/>
        <w:rPr/>
      </w:pPr>
      <w:r>
        <w:rPr/>
      </w:r>
    </w:p>
    <w:tbl>
      <w:tblPr>
        <w:tblW w:w="8856" w:type="dxa"/>
        <w:jc w:val="start"/>
        <w:tblInd w:w="0" w:type="dxa"/>
        <w:tblLayout w:type="fixed"/>
        <w:tblCellMar>
          <w:top w:w="0" w:type="dxa"/>
          <w:start w:w="108" w:type="dxa"/>
          <w:bottom w:w="0" w:type="dxa"/>
          <w:end w:w="108" w:type="dxa"/>
        </w:tblCellMar>
      </w:tblPr>
      <w:tblGrid>
        <w:gridCol w:w="1763"/>
        <w:gridCol w:w="7093"/>
      </w:tblGrid>
      <w:tr>
        <w:trPr/>
        <w:tc>
          <w:tcPr>
            <w:tcW w:w="1763" w:type="dxa"/>
            <w:tcBorders>
              <w:top w:val="double" w:sz="4" w:space="0" w:color="000000"/>
              <w:bottom w:val="single" w:sz="4" w:space="0" w:color="000000"/>
            </w:tcBorders>
          </w:tcPr>
          <w:p>
            <w:pPr>
              <w:pStyle w:val="Normal"/>
              <w:rPr>
                <w:b/>
                <w:bCs/>
              </w:rPr>
            </w:pPr>
            <w:r>
              <w:rPr>
                <w:b/>
                <w:bCs/>
              </w:rPr>
              <w:t>Environmental Assessment</w:t>
            </w:r>
          </w:p>
        </w:tc>
        <w:tc>
          <w:tcPr>
            <w:tcW w:w="7093" w:type="dxa"/>
            <w:tcBorders>
              <w:top w:val="double" w:sz="4" w:space="0" w:color="000000"/>
              <w:bottom w:val="single" w:sz="4" w:space="0" w:color="000000"/>
            </w:tcBorders>
          </w:tcPr>
          <w:p>
            <w:pPr>
              <w:pStyle w:val="Normal"/>
              <w:rPr/>
            </w:pPr>
            <w:r>
              <w:rPr/>
              <w:t>37 months (January 2001 to January 2003)</w:t>
            </w:r>
          </w:p>
          <w:p>
            <w:pPr>
              <w:pStyle w:val="Normal"/>
              <w:rPr/>
            </w:pPr>
            <w:r>
              <w:rPr/>
            </w:r>
          </w:p>
        </w:tc>
      </w:tr>
      <w:tr>
        <w:trPr>
          <w:trHeight w:val="169" w:hRule="atLeast"/>
        </w:trPr>
        <w:tc>
          <w:tcPr>
            <w:tcW w:w="1763" w:type="dxa"/>
            <w:tcBorders>
              <w:top w:val="single" w:sz="4" w:space="0" w:color="000000"/>
            </w:tcBorders>
          </w:tcPr>
          <w:p>
            <w:pPr>
              <w:pStyle w:val="Normal"/>
              <w:snapToGrid w:val="false"/>
              <w:spacing w:lineRule="exact" w:line="120"/>
              <w:rPr>
                <w:b/>
                <w:bCs/>
              </w:rPr>
            </w:pPr>
            <w:r>
              <w:rPr>
                <w:b/>
                <w:bCs/>
              </w:rPr>
            </w:r>
          </w:p>
        </w:tc>
        <w:tc>
          <w:tcPr>
            <w:tcW w:w="7093" w:type="dxa"/>
            <w:tcBorders>
              <w:top w:val="single" w:sz="4" w:space="0" w:color="000000"/>
            </w:tcBorders>
          </w:tcPr>
          <w:p>
            <w:pPr>
              <w:pStyle w:val="Normal"/>
              <w:snapToGrid w:val="false"/>
              <w:spacing w:lineRule="exact" w:line="120"/>
              <w:ind w:start="-108" w:end="0"/>
              <w:jc w:val="both"/>
              <w:rPr>
                <w:b/>
                <w:bCs/>
              </w:rPr>
            </w:pPr>
            <w:r>
              <w:rPr>
                <w:b/>
                <w:bCs/>
              </w:rPr>
            </w:r>
          </w:p>
        </w:tc>
      </w:tr>
      <w:tr>
        <w:trPr/>
        <w:tc>
          <w:tcPr>
            <w:tcW w:w="1763" w:type="dxa"/>
            <w:tcBorders/>
          </w:tcPr>
          <w:p>
            <w:pPr>
              <w:pStyle w:val="Normal"/>
              <w:rPr>
                <w:b/>
                <w:bCs/>
              </w:rPr>
            </w:pPr>
            <w:r>
              <w:rPr>
                <w:b/>
                <w:bCs/>
              </w:rPr>
              <w:t>Evaluation</w:t>
            </w:r>
          </w:p>
        </w:tc>
        <w:tc>
          <w:tcPr>
            <w:tcW w:w="7093" w:type="dxa"/>
            <w:tcBorders/>
          </w:tcPr>
          <w:p>
            <w:pPr>
              <w:pStyle w:val="Normal"/>
              <w:numPr>
                <w:ilvl w:val="0"/>
                <w:numId w:val="6"/>
              </w:numPr>
              <w:jc w:val="both"/>
              <w:rPr/>
            </w:pPr>
            <w:r>
              <w:rPr/>
              <w:t>Start depends on ambitious schedule for completing land exclusivity agreement and no fishing rights discussions.</w:t>
            </w:r>
          </w:p>
          <w:p>
            <w:pPr>
              <w:pStyle w:val="Normal"/>
              <w:numPr>
                <w:ilvl w:val="0"/>
                <w:numId w:val="6"/>
              </w:numPr>
              <w:jc w:val="both"/>
              <w:rPr/>
            </w:pPr>
            <w:r>
              <w:rPr/>
              <w:t>Process excludes possibility of additional survey items.</w:t>
            </w:r>
          </w:p>
          <w:p>
            <w:pPr>
              <w:pStyle w:val="Normal"/>
              <w:numPr>
                <w:ilvl w:val="0"/>
                <w:numId w:val="6"/>
              </w:numPr>
              <w:jc w:val="both"/>
              <w:rPr/>
            </w:pPr>
            <w:r>
              <w:rPr/>
              <w:t>EPower’s 16 month schedule for the field survey, collection of data and discussions of the draft assessment is unduly short. EPower leaves itself only two months for important preliminary discussions. IPPs have spent between 18 and 22 months on this process.</w:t>
            </w:r>
          </w:p>
        </w:tc>
      </w:tr>
    </w:tbl>
    <w:p>
      <w:pPr>
        <w:pStyle w:val="Normalparagraph"/>
        <w:jc w:val="start"/>
        <w:rPr/>
      </w:pPr>
      <w:r>
        <w:rPr/>
        <w:t>Other major processes (Port changes, reclamation, construction schedules and related permitting/notification) follow common practice.</w:t>
      </w:r>
    </w:p>
    <w:p>
      <w:pPr>
        <w:pStyle w:val="EPowerNo"/>
        <w:numPr>
          <w:ilvl w:val="0"/>
          <w:numId w:val="0"/>
        </w:numPr>
        <w:ind w:hanging="0" w:start="0"/>
        <w:rPr>
          <w:b w:val="false"/>
          <w:bCs w:val="false"/>
          <w:kern w:val="0"/>
          <w:szCs w:val="24"/>
        </w:rPr>
      </w:pPr>
      <w:r>
        <w:rPr>
          <w:b w:val="false"/>
          <w:bCs w:val="false"/>
          <w:kern w:val="0"/>
          <w:szCs w:val="24"/>
        </w:rPr>
      </w:r>
    </w:p>
    <w:p>
      <w:pPr>
        <w:pStyle w:val="EPowerNo"/>
        <w:numPr>
          <w:ilvl w:val="0"/>
          <w:numId w:val="0"/>
        </w:numPr>
        <w:ind w:hanging="0" w:start="0"/>
        <w:rPr/>
      </w:pPr>
      <w:r>
        <w:rPr/>
        <w:t>Ube Project (N)</w:t>
      </w:r>
    </w:p>
    <w:p>
      <w:pPr>
        <w:pStyle w:val="Normal"/>
        <w:rPr/>
      </w:pPr>
      <w:r>
        <w:rPr/>
      </w:r>
    </w:p>
    <w:p>
      <w:pPr>
        <w:pStyle w:val="EPowerNo"/>
        <w:numPr>
          <w:ilvl w:val="0"/>
          <w:numId w:val="0"/>
        </w:numPr>
        <w:ind w:hanging="0" w:start="0"/>
        <w:rPr/>
      </w:pPr>
      <w:r>
        <w:rPr/>
        <w:t>Issues in EPower’s Current Schedule</w:t>
      </w:r>
    </w:p>
    <w:tbl>
      <w:tblPr>
        <w:tblW w:w="8856" w:type="dxa"/>
        <w:jc w:val="start"/>
        <w:tblInd w:w="0" w:type="dxa"/>
        <w:tblLayout w:type="fixed"/>
        <w:tblCellMar>
          <w:top w:w="0" w:type="dxa"/>
          <w:start w:w="108" w:type="dxa"/>
          <w:bottom w:w="0" w:type="dxa"/>
          <w:end w:w="108" w:type="dxa"/>
        </w:tblCellMar>
      </w:tblPr>
      <w:tblGrid>
        <w:gridCol w:w="1661"/>
        <w:gridCol w:w="7195"/>
      </w:tblGrid>
      <w:tr>
        <w:trPr/>
        <w:tc>
          <w:tcPr>
            <w:tcW w:w="1661" w:type="dxa"/>
            <w:tcBorders>
              <w:top w:val="double" w:sz="4" w:space="0" w:color="000000"/>
              <w:bottom w:val="single" w:sz="4" w:space="0" w:color="000000"/>
            </w:tcBorders>
          </w:tcPr>
          <w:p>
            <w:pPr>
              <w:pStyle w:val="Normal"/>
              <w:rPr>
                <w:b/>
                <w:bCs/>
              </w:rPr>
            </w:pPr>
            <w:r>
              <w:rPr>
                <w:b/>
                <w:bCs/>
              </w:rPr>
              <w:t>Overall Development</w:t>
            </w:r>
          </w:p>
        </w:tc>
        <w:tc>
          <w:tcPr>
            <w:tcW w:w="7195" w:type="dxa"/>
            <w:tcBorders>
              <w:top w:val="double" w:sz="4" w:space="0" w:color="000000"/>
              <w:bottom w:val="single" w:sz="4" w:space="0" w:color="000000"/>
            </w:tcBorders>
          </w:tcPr>
          <w:p>
            <w:pPr>
              <w:pStyle w:val="Normal"/>
              <w:rPr/>
            </w:pPr>
            <w:r>
              <w:rPr/>
              <w:t>7 years from Q3 of 2000 (Operation by December 2007)</w:t>
            </w:r>
          </w:p>
        </w:tc>
      </w:tr>
      <w:tr>
        <w:trPr/>
        <w:tc>
          <w:tcPr>
            <w:tcW w:w="1661" w:type="dxa"/>
            <w:tcBorders>
              <w:top w:val="single" w:sz="4" w:space="0" w:color="000000"/>
              <w:bottom w:val="single" w:sz="4" w:space="0" w:color="000000"/>
            </w:tcBorders>
          </w:tcPr>
          <w:p>
            <w:pPr>
              <w:pStyle w:val="Normal"/>
              <w:rPr>
                <w:b/>
                <w:bCs/>
              </w:rPr>
            </w:pPr>
            <w:r>
              <w:rPr>
                <w:b/>
                <w:bCs/>
              </w:rPr>
              <w:t>Evaluation</w:t>
            </w:r>
          </w:p>
        </w:tc>
        <w:tc>
          <w:tcPr>
            <w:tcW w:w="7195" w:type="dxa"/>
            <w:tcBorders>
              <w:top w:val="single" w:sz="4" w:space="0" w:color="000000"/>
              <w:bottom w:val="single" w:sz="4" w:space="0" w:color="000000"/>
            </w:tcBorders>
          </w:tcPr>
          <w:p>
            <w:pPr>
              <w:pStyle w:val="Normal"/>
              <w:numPr>
                <w:ilvl w:val="0"/>
                <w:numId w:val="6"/>
              </w:numPr>
              <w:jc w:val="both"/>
              <w:rPr/>
            </w:pPr>
            <w:r>
              <w:rPr/>
              <w:t>Overly optimistic. This plan assumes a best case scenario</w:t>
            </w:r>
          </w:p>
          <w:p>
            <w:pPr>
              <w:pStyle w:val="Normal"/>
              <w:numPr>
                <w:ilvl w:val="0"/>
                <w:numId w:val="6"/>
              </w:numPr>
              <w:jc w:val="both"/>
              <w:rPr/>
            </w:pPr>
            <w:r>
              <w:rPr/>
              <w:t>The transmission construction schedule does not reflect recent discussions with Chugoku Electric.</w:t>
            </w:r>
          </w:p>
          <w:p>
            <w:pPr>
              <w:pStyle w:val="Normal"/>
              <w:numPr>
                <w:ilvl w:val="0"/>
                <w:numId w:val="6"/>
              </w:numPr>
              <w:jc w:val="both"/>
              <w:rPr/>
            </w:pPr>
            <w:r>
              <w:rPr/>
              <w:t>The schedule assumes that fishing rights issues will be resolved smoothly.</w:t>
            </w:r>
          </w:p>
          <w:p>
            <w:pPr>
              <w:pStyle w:val="Normal"/>
              <w:numPr>
                <w:ilvl w:val="0"/>
                <w:numId w:val="6"/>
              </w:numPr>
              <w:jc w:val="both"/>
              <w:rPr/>
            </w:pPr>
            <w:r>
              <w:rPr/>
              <w:t>The Environmental Assessment schedule is tight.</w:t>
            </w:r>
          </w:p>
        </w:tc>
      </w:tr>
    </w:tbl>
    <w:p>
      <w:pPr>
        <w:pStyle w:val="Normal"/>
        <w:rPr/>
      </w:pPr>
      <w:r>
        <w:rPr/>
      </w:r>
    </w:p>
    <w:p>
      <w:pPr>
        <w:pStyle w:val="Heading5"/>
        <w:ind w:hanging="0" w:start="0"/>
        <w:rPr/>
      </w:pPr>
      <w:r>
        <w:rPr/>
        <w:t>Individual Issues</w:t>
      </w:r>
    </w:p>
    <w:tbl>
      <w:tblPr>
        <w:tblW w:w="8856" w:type="dxa"/>
        <w:jc w:val="start"/>
        <w:tblInd w:w="0" w:type="dxa"/>
        <w:tblLayout w:type="fixed"/>
        <w:tblCellMar>
          <w:top w:w="0" w:type="dxa"/>
          <w:start w:w="108" w:type="dxa"/>
          <w:bottom w:w="0" w:type="dxa"/>
          <w:end w:w="108" w:type="dxa"/>
        </w:tblCellMar>
      </w:tblPr>
      <w:tblGrid>
        <w:gridCol w:w="1663"/>
        <w:gridCol w:w="7193"/>
      </w:tblGrid>
      <w:tr>
        <w:trPr/>
        <w:tc>
          <w:tcPr>
            <w:tcW w:w="1663" w:type="dxa"/>
            <w:tcBorders>
              <w:top w:val="double" w:sz="4" w:space="0" w:color="000000"/>
              <w:bottom w:val="single" w:sz="4" w:space="0" w:color="000000"/>
            </w:tcBorders>
          </w:tcPr>
          <w:p>
            <w:pPr>
              <w:pStyle w:val="Normal"/>
              <w:rPr>
                <w:b/>
                <w:bCs/>
              </w:rPr>
            </w:pPr>
            <w:r>
              <w:rPr>
                <w:b/>
                <w:bCs/>
              </w:rPr>
              <w:t>Transmission Access</w:t>
            </w:r>
          </w:p>
        </w:tc>
        <w:tc>
          <w:tcPr>
            <w:tcW w:w="7193" w:type="dxa"/>
            <w:tcBorders>
              <w:top w:val="double" w:sz="4" w:space="0" w:color="000000"/>
              <w:bottom w:val="single" w:sz="4" w:space="0" w:color="000000"/>
            </w:tcBorders>
          </w:tcPr>
          <w:p>
            <w:pPr>
              <w:pStyle w:val="Normal"/>
              <w:rPr/>
            </w:pPr>
            <w:r>
              <w:rPr/>
              <w:t>3 years construction period (Q3 2002 to end 2005)</w:t>
            </w:r>
          </w:p>
        </w:tc>
      </w:tr>
      <w:tr>
        <w:trPr>
          <w:trHeight w:val="169" w:hRule="atLeast"/>
        </w:trPr>
        <w:tc>
          <w:tcPr>
            <w:tcW w:w="1663" w:type="dxa"/>
            <w:tcBorders>
              <w:top w:val="single" w:sz="4" w:space="0" w:color="000000"/>
            </w:tcBorders>
          </w:tcPr>
          <w:p>
            <w:pPr>
              <w:pStyle w:val="Normal"/>
              <w:snapToGrid w:val="false"/>
              <w:spacing w:lineRule="exact" w:line="120"/>
              <w:rPr>
                <w:b/>
                <w:bCs/>
              </w:rPr>
            </w:pPr>
            <w:r>
              <w:rPr>
                <w:b/>
                <w:bCs/>
              </w:rPr>
            </w:r>
          </w:p>
        </w:tc>
        <w:tc>
          <w:tcPr>
            <w:tcW w:w="7193" w:type="dxa"/>
            <w:tcBorders>
              <w:top w:val="single" w:sz="4" w:space="0" w:color="000000"/>
            </w:tcBorders>
          </w:tcPr>
          <w:p>
            <w:pPr>
              <w:pStyle w:val="Normal"/>
              <w:snapToGrid w:val="false"/>
              <w:spacing w:lineRule="exact" w:line="120"/>
              <w:ind w:start="-108" w:end="0"/>
              <w:jc w:val="both"/>
              <w:rPr>
                <w:b/>
                <w:bCs/>
              </w:rPr>
            </w:pPr>
            <w:r>
              <w:rPr>
                <w:b/>
                <w:bCs/>
              </w:rPr>
            </w:r>
          </w:p>
        </w:tc>
      </w:tr>
      <w:tr>
        <w:trPr/>
        <w:tc>
          <w:tcPr>
            <w:tcW w:w="1663" w:type="dxa"/>
            <w:tcBorders/>
          </w:tcPr>
          <w:p>
            <w:pPr>
              <w:pStyle w:val="Normal"/>
              <w:rPr>
                <w:b/>
                <w:bCs/>
              </w:rPr>
            </w:pPr>
            <w:r>
              <w:rPr>
                <w:b/>
                <w:bCs/>
              </w:rPr>
              <w:t>Evaluation</w:t>
            </w:r>
          </w:p>
        </w:tc>
        <w:tc>
          <w:tcPr>
            <w:tcW w:w="7193" w:type="dxa"/>
            <w:tcBorders/>
          </w:tcPr>
          <w:p>
            <w:pPr>
              <w:pStyle w:val="Normal"/>
              <w:numPr>
                <w:ilvl w:val="0"/>
                <w:numId w:val="6"/>
              </w:numPr>
              <w:jc w:val="both"/>
              <w:rPr/>
            </w:pPr>
            <w:r>
              <w:rPr/>
              <w:t>Conservative estimate of transmission construction process is 3 years for land acquisition and around 4 years for construction (total 7 years) for the 32 km of transmission lines that the utility has indicated is required to connect to network and ensure stability. EPower is negotiating with local utility for shorter alternative routes but the utility is currently unresponsive. EPower believes that time savings can be achieved because two thirds of the proposed transmission route can be constructed along Ube Industries private road.</w:t>
            </w:r>
          </w:p>
          <w:p>
            <w:pPr>
              <w:pStyle w:val="Normal"/>
              <w:numPr>
                <w:ilvl w:val="0"/>
                <w:numId w:val="6"/>
              </w:numPr>
              <w:jc w:val="both"/>
              <w:rPr/>
            </w:pPr>
            <w:r>
              <w:rPr/>
              <w:t>If transmission land acquisition process does not start before financial close and financial close cannot be achieved in Q1 2004 as in the current schedule, completion of transmission lines as currently specified by the local utility is likely by 2011.</w:t>
            </w:r>
          </w:p>
        </w:tc>
      </w:tr>
    </w:tbl>
    <w:p>
      <w:pPr>
        <w:pStyle w:val="Normal"/>
        <w:rPr/>
      </w:pPr>
      <w:r>
        <w:rPr/>
      </w:r>
    </w:p>
    <w:tbl>
      <w:tblPr>
        <w:tblW w:w="8856" w:type="dxa"/>
        <w:jc w:val="start"/>
        <w:tblInd w:w="0" w:type="dxa"/>
        <w:tblLayout w:type="fixed"/>
        <w:tblCellMar>
          <w:top w:w="0" w:type="dxa"/>
          <w:start w:w="108" w:type="dxa"/>
          <w:bottom w:w="0" w:type="dxa"/>
          <w:end w:w="108" w:type="dxa"/>
        </w:tblCellMar>
      </w:tblPr>
      <w:tblGrid>
        <w:gridCol w:w="1643"/>
        <w:gridCol w:w="7213"/>
      </w:tblGrid>
      <w:tr>
        <w:trPr/>
        <w:tc>
          <w:tcPr>
            <w:tcW w:w="1643" w:type="dxa"/>
            <w:tcBorders>
              <w:top w:val="double" w:sz="4" w:space="0" w:color="000000"/>
              <w:bottom w:val="single" w:sz="4" w:space="0" w:color="000000"/>
            </w:tcBorders>
          </w:tcPr>
          <w:p>
            <w:pPr>
              <w:pStyle w:val="Normal"/>
              <w:rPr>
                <w:b/>
                <w:bCs/>
              </w:rPr>
            </w:pPr>
            <w:r>
              <w:rPr>
                <w:b/>
                <w:bCs/>
              </w:rPr>
              <w:t>Fishing Rights</w:t>
            </w:r>
          </w:p>
        </w:tc>
        <w:tc>
          <w:tcPr>
            <w:tcW w:w="7213" w:type="dxa"/>
            <w:tcBorders>
              <w:top w:val="double" w:sz="4" w:space="0" w:color="000000"/>
              <w:bottom w:val="single" w:sz="4" w:space="0" w:color="000000"/>
            </w:tcBorders>
          </w:tcPr>
          <w:p>
            <w:pPr>
              <w:pStyle w:val="Normal"/>
              <w:rPr/>
            </w:pPr>
            <w:r>
              <w:rPr/>
              <w:t>Currently no schedule included</w:t>
            </w:r>
          </w:p>
        </w:tc>
      </w:tr>
      <w:tr>
        <w:trPr>
          <w:trHeight w:val="169" w:hRule="atLeast"/>
        </w:trPr>
        <w:tc>
          <w:tcPr>
            <w:tcW w:w="1643" w:type="dxa"/>
            <w:tcBorders>
              <w:top w:val="single" w:sz="4" w:space="0" w:color="000000"/>
            </w:tcBorders>
          </w:tcPr>
          <w:p>
            <w:pPr>
              <w:pStyle w:val="Normal"/>
              <w:snapToGrid w:val="false"/>
              <w:spacing w:lineRule="exact" w:line="120"/>
              <w:rPr>
                <w:b/>
                <w:bCs/>
              </w:rPr>
            </w:pPr>
            <w:r>
              <w:rPr>
                <w:b/>
                <w:bCs/>
              </w:rPr>
            </w:r>
          </w:p>
        </w:tc>
        <w:tc>
          <w:tcPr>
            <w:tcW w:w="7213" w:type="dxa"/>
            <w:tcBorders>
              <w:top w:val="single" w:sz="4" w:space="0" w:color="000000"/>
            </w:tcBorders>
          </w:tcPr>
          <w:p>
            <w:pPr>
              <w:pStyle w:val="Normal"/>
              <w:snapToGrid w:val="false"/>
              <w:spacing w:lineRule="exact" w:line="120"/>
              <w:ind w:start="-108" w:end="0"/>
              <w:jc w:val="both"/>
              <w:rPr>
                <w:b/>
                <w:bCs/>
              </w:rPr>
            </w:pPr>
            <w:r>
              <w:rPr>
                <w:b/>
                <w:bCs/>
              </w:rPr>
            </w:r>
          </w:p>
        </w:tc>
      </w:tr>
      <w:tr>
        <w:trPr/>
        <w:tc>
          <w:tcPr>
            <w:tcW w:w="1643" w:type="dxa"/>
            <w:tcBorders/>
          </w:tcPr>
          <w:p>
            <w:pPr>
              <w:pStyle w:val="Normal"/>
              <w:rPr>
                <w:b/>
                <w:bCs/>
              </w:rPr>
            </w:pPr>
            <w:r>
              <w:rPr>
                <w:b/>
                <w:bCs/>
              </w:rPr>
              <w:t>Evaluation</w:t>
            </w:r>
          </w:p>
        </w:tc>
        <w:tc>
          <w:tcPr>
            <w:tcW w:w="7213" w:type="dxa"/>
            <w:tcBorders/>
          </w:tcPr>
          <w:p>
            <w:pPr>
              <w:pStyle w:val="Normal"/>
              <w:numPr>
                <w:ilvl w:val="0"/>
                <w:numId w:val="6"/>
              </w:numPr>
              <w:jc w:val="both"/>
              <w:rPr/>
            </w:pPr>
            <w:r>
              <w:rPr/>
              <w:t>Compensation for fishing rights is required for this project.</w:t>
            </w:r>
          </w:p>
          <w:p>
            <w:pPr>
              <w:pStyle w:val="Normal"/>
              <w:numPr>
                <w:ilvl w:val="0"/>
                <w:numId w:val="6"/>
              </w:numPr>
              <w:jc w:val="both"/>
              <w:rPr/>
            </w:pPr>
            <w:r>
              <w:rPr/>
              <w:t>The actual field study for environmental assessment is very unlikely to begin until the fishermen’s cooperative has given its initial agreement for the survey to go ahead.</w:t>
            </w:r>
          </w:p>
          <w:p>
            <w:pPr>
              <w:pStyle w:val="Normal"/>
              <w:numPr>
                <w:ilvl w:val="0"/>
                <w:numId w:val="6"/>
              </w:numPr>
              <w:jc w:val="both"/>
              <w:rPr/>
            </w:pPr>
            <w:r>
              <w:rPr/>
              <w:t>The amount of compensation required is unpredictable.</w:t>
            </w:r>
          </w:p>
        </w:tc>
      </w:tr>
    </w:tbl>
    <w:p>
      <w:pPr>
        <w:pStyle w:val="EPowerNo"/>
        <w:numPr>
          <w:ilvl w:val="0"/>
          <w:numId w:val="0"/>
        </w:numPr>
        <w:ind w:hanging="0" w:start="0"/>
        <w:rPr/>
      </w:pPr>
      <w:r>
        <w:rPr/>
      </w:r>
    </w:p>
    <w:tbl>
      <w:tblPr>
        <w:tblW w:w="8856" w:type="dxa"/>
        <w:jc w:val="start"/>
        <w:tblInd w:w="0" w:type="dxa"/>
        <w:tblLayout w:type="fixed"/>
        <w:tblCellMar>
          <w:top w:w="0" w:type="dxa"/>
          <w:start w:w="108" w:type="dxa"/>
          <w:bottom w:w="0" w:type="dxa"/>
          <w:end w:w="108" w:type="dxa"/>
        </w:tblCellMar>
      </w:tblPr>
      <w:tblGrid>
        <w:gridCol w:w="1763"/>
        <w:gridCol w:w="7093"/>
      </w:tblGrid>
      <w:tr>
        <w:trPr/>
        <w:tc>
          <w:tcPr>
            <w:tcW w:w="1763" w:type="dxa"/>
            <w:tcBorders>
              <w:top w:val="double" w:sz="4" w:space="0" w:color="000000"/>
              <w:bottom w:val="single" w:sz="4" w:space="0" w:color="000000"/>
            </w:tcBorders>
          </w:tcPr>
          <w:p>
            <w:pPr>
              <w:pStyle w:val="Normal"/>
              <w:rPr>
                <w:b/>
                <w:bCs/>
              </w:rPr>
            </w:pPr>
            <w:r>
              <w:rPr>
                <w:b/>
                <w:bCs/>
              </w:rPr>
              <w:t>Environmental Assessment</w:t>
            </w:r>
          </w:p>
        </w:tc>
        <w:tc>
          <w:tcPr>
            <w:tcW w:w="7093" w:type="dxa"/>
            <w:tcBorders>
              <w:top w:val="double" w:sz="4" w:space="0" w:color="000000"/>
              <w:bottom w:val="single" w:sz="4" w:space="0" w:color="000000"/>
            </w:tcBorders>
          </w:tcPr>
          <w:p>
            <w:pPr>
              <w:pStyle w:val="Normal"/>
              <w:rPr/>
            </w:pPr>
            <w:r>
              <w:rPr/>
              <w:t>37 months (1Q 2001 to 1Q 2004)</w:t>
            </w:r>
          </w:p>
          <w:p>
            <w:pPr>
              <w:pStyle w:val="Normal"/>
              <w:rPr/>
            </w:pPr>
            <w:r>
              <w:rPr/>
            </w:r>
          </w:p>
        </w:tc>
      </w:tr>
      <w:tr>
        <w:trPr>
          <w:trHeight w:val="169" w:hRule="atLeast"/>
        </w:trPr>
        <w:tc>
          <w:tcPr>
            <w:tcW w:w="1763" w:type="dxa"/>
            <w:tcBorders>
              <w:top w:val="single" w:sz="4" w:space="0" w:color="000000"/>
            </w:tcBorders>
          </w:tcPr>
          <w:p>
            <w:pPr>
              <w:pStyle w:val="Normal"/>
              <w:snapToGrid w:val="false"/>
              <w:spacing w:lineRule="exact" w:line="120"/>
              <w:rPr>
                <w:b/>
                <w:bCs/>
              </w:rPr>
            </w:pPr>
            <w:r>
              <w:rPr>
                <w:b/>
                <w:bCs/>
              </w:rPr>
            </w:r>
          </w:p>
        </w:tc>
        <w:tc>
          <w:tcPr>
            <w:tcW w:w="7093" w:type="dxa"/>
            <w:tcBorders>
              <w:top w:val="single" w:sz="4" w:space="0" w:color="000000"/>
            </w:tcBorders>
          </w:tcPr>
          <w:p>
            <w:pPr>
              <w:pStyle w:val="Normal"/>
              <w:snapToGrid w:val="false"/>
              <w:spacing w:lineRule="exact" w:line="120"/>
              <w:ind w:start="-108" w:end="0"/>
              <w:jc w:val="both"/>
              <w:rPr>
                <w:b/>
                <w:bCs/>
              </w:rPr>
            </w:pPr>
            <w:r>
              <w:rPr>
                <w:b/>
                <w:bCs/>
              </w:rPr>
            </w:r>
          </w:p>
        </w:tc>
      </w:tr>
      <w:tr>
        <w:trPr/>
        <w:tc>
          <w:tcPr>
            <w:tcW w:w="1763" w:type="dxa"/>
            <w:tcBorders/>
          </w:tcPr>
          <w:p>
            <w:pPr>
              <w:pStyle w:val="Normal"/>
              <w:rPr>
                <w:b/>
                <w:bCs/>
              </w:rPr>
            </w:pPr>
            <w:r>
              <w:rPr>
                <w:b/>
                <w:bCs/>
              </w:rPr>
              <w:t>Evaluation</w:t>
            </w:r>
          </w:p>
        </w:tc>
        <w:tc>
          <w:tcPr>
            <w:tcW w:w="7093" w:type="dxa"/>
            <w:tcBorders/>
          </w:tcPr>
          <w:p>
            <w:pPr>
              <w:pStyle w:val="Normal"/>
              <w:numPr>
                <w:ilvl w:val="0"/>
                <w:numId w:val="6"/>
              </w:numPr>
              <w:jc w:val="both"/>
              <w:rPr/>
            </w:pPr>
            <w:r>
              <w:rPr/>
              <w:t>Implementation is influenced by initial agreement on fishing rights.</w:t>
            </w:r>
          </w:p>
          <w:p>
            <w:pPr>
              <w:pStyle w:val="Normal"/>
              <w:numPr>
                <w:ilvl w:val="0"/>
                <w:numId w:val="6"/>
              </w:numPr>
              <w:jc w:val="both"/>
              <w:rPr/>
            </w:pPr>
            <w:r>
              <w:rPr/>
              <w:t>Process excludes possibility of additional survey items.</w:t>
            </w:r>
          </w:p>
          <w:p>
            <w:pPr>
              <w:pStyle w:val="Normal"/>
              <w:numPr>
                <w:ilvl w:val="0"/>
                <w:numId w:val="6"/>
              </w:numPr>
              <w:jc w:val="both"/>
              <w:rPr/>
            </w:pPr>
            <w:r>
              <w:rPr/>
              <w:t>EPower’s 16 month schedule for the field survey, collection of data and discussions of the draft assessment is too short. EPower leaves itself only two months for important preliminary discussions. IPPs have spent between 18 and 22 months on this process.</w:t>
            </w:r>
          </w:p>
        </w:tc>
      </w:tr>
    </w:tbl>
    <w:p>
      <w:pPr>
        <w:pStyle w:val="Normalparagraph"/>
        <w:jc w:val="start"/>
        <w:rPr/>
      </w:pPr>
      <w:r>
        <w:rPr/>
      </w:r>
    </w:p>
    <w:p>
      <w:pPr>
        <w:pStyle w:val="EPowerNo"/>
        <w:numPr>
          <w:ilvl w:val="0"/>
          <w:numId w:val="0"/>
        </w:numPr>
        <w:ind w:hanging="0" w:start="0"/>
        <w:rPr/>
      </w:pPr>
      <w:r>
        <w:rPr/>
        <w:t>Oita Project</w:t>
      </w:r>
    </w:p>
    <w:p>
      <w:pPr>
        <w:pStyle w:val="EPowerNo"/>
        <w:numPr>
          <w:ilvl w:val="0"/>
          <w:numId w:val="0"/>
        </w:numPr>
        <w:ind w:hanging="0" w:start="0"/>
        <w:rPr/>
      </w:pPr>
      <w:r>
        <w:rPr/>
      </w:r>
    </w:p>
    <w:p>
      <w:pPr>
        <w:pStyle w:val="Normal"/>
        <w:rPr/>
      </w:pPr>
      <w:r>
        <w:rPr/>
        <w:t>The Oita Project schedule is still in development. Initial estimates are referred to here</w:t>
      </w:r>
    </w:p>
    <w:p>
      <w:pPr>
        <w:pStyle w:val="Normal"/>
        <w:rPr/>
      </w:pPr>
      <w:r>
        <w:rPr/>
      </w:r>
    </w:p>
    <w:p>
      <w:pPr>
        <w:pStyle w:val="EPowerNo"/>
        <w:numPr>
          <w:ilvl w:val="0"/>
          <w:numId w:val="0"/>
        </w:numPr>
        <w:ind w:hanging="0" w:start="0"/>
        <w:rPr/>
      </w:pPr>
      <w:r>
        <w:rPr/>
        <w:t>Issues in EPower’s Current Schedule</w:t>
      </w:r>
    </w:p>
    <w:tbl>
      <w:tblPr>
        <w:tblW w:w="8856" w:type="dxa"/>
        <w:jc w:val="start"/>
        <w:tblInd w:w="0" w:type="dxa"/>
        <w:tblLayout w:type="fixed"/>
        <w:tblCellMar>
          <w:top w:w="0" w:type="dxa"/>
          <w:start w:w="108" w:type="dxa"/>
          <w:bottom w:w="0" w:type="dxa"/>
          <w:end w:w="108" w:type="dxa"/>
        </w:tblCellMar>
      </w:tblPr>
      <w:tblGrid>
        <w:gridCol w:w="1660"/>
        <w:gridCol w:w="7196"/>
      </w:tblGrid>
      <w:tr>
        <w:trPr/>
        <w:tc>
          <w:tcPr>
            <w:tcW w:w="1660" w:type="dxa"/>
            <w:tcBorders>
              <w:top w:val="double" w:sz="4" w:space="0" w:color="000000"/>
              <w:bottom w:val="single" w:sz="4" w:space="0" w:color="000000"/>
            </w:tcBorders>
          </w:tcPr>
          <w:p>
            <w:pPr>
              <w:pStyle w:val="Normal"/>
              <w:rPr>
                <w:b/>
                <w:bCs/>
              </w:rPr>
            </w:pPr>
            <w:r>
              <w:rPr>
                <w:b/>
                <w:bCs/>
              </w:rPr>
              <w:t>Overall Development</w:t>
            </w:r>
          </w:p>
        </w:tc>
        <w:tc>
          <w:tcPr>
            <w:tcW w:w="7196" w:type="dxa"/>
            <w:tcBorders>
              <w:top w:val="double" w:sz="4" w:space="0" w:color="000000"/>
              <w:bottom w:val="single" w:sz="4" w:space="0" w:color="000000"/>
            </w:tcBorders>
          </w:tcPr>
          <w:p>
            <w:pPr>
              <w:pStyle w:val="Normal"/>
              <w:rPr/>
            </w:pPr>
            <w:r>
              <w:rPr/>
              <w:t>6.5 years from mid 2001 (Operation by December 2006)</w:t>
            </w:r>
          </w:p>
        </w:tc>
      </w:tr>
      <w:tr>
        <w:trPr/>
        <w:tc>
          <w:tcPr>
            <w:tcW w:w="1660" w:type="dxa"/>
            <w:tcBorders>
              <w:top w:val="single" w:sz="4" w:space="0" w:color="000000"/>
              <w:bottom w:val="single" w:sz="4" w:space="0" w:color="000000"/>
            </w:tcBorders>
          </w:tcPr>
          <w:p>
            <w:pPr>
              <w:pStyle w:val="Normal"/>
              <w:rPr>
                <w:b/>
                <w:bCs/>
              </w:rPr>
            </w:pPr>
            <w:r>
              <w:rPr>
                <w:b/>
                <w:bCs/>
              </w:rPr>
              <w:t>Evaluation</w:t>
            </w:r>
          </w:p>
        </w:tc>
        <w:tc>
          <w:tcPr>
            <w:tcW w:w="7196" w:type="dxa"/>
            <w:tcBorders>
              <w:top w:val="single" w:sz="4" w:space="0" w:color="000000"/>
              <w:bottom w:val="single" w:sz="4" w:space="0" w:color="000000"/>
            </w:tcBorders>
          </w:tcPr>
          <w:p>
            <w:pPr>
              <w:pStyle w:val="Normal"/>
              <w:numPr>
                <w:ilvl w:val="0"/>
                <w:numId w:val="6"/>
              </w:numPr>
              <w:jc w:val="both"/>
              <w:rPr/>
            </w:pPr>
            <w:r>
              <w:rPr/>
              <w:t>Overly optimistic. Initial planning seems to require the commencement of harbor construction before the end of the environmental assessment process. Not accounting for transmission construction, 7.5 years from the beginning of the environmental process would be a more realistic time frame.</w:t>
            </w:r>
          </w:p>
          <w:p>
            <w:pPr>
              <w:pStyle w:val="Normal"/>
              <w:numPr>
                <w:ilvl w:val="0"/>
                <w:numId w:val="6"/>
              </w:numPr>
              <w:jc w:val="both"/>
              <w:rPr/>
            </w:pPr>
            <w:r>
              <w:rPr/>
              <w:t>The Environmental Assessment schedule is tight, and does not provide for potential complications relating to the rare dragonfly.</w:t>
            </w:r>
          </w:p>
        </w:tc>
      </w:tr>
    </w:tbl>
    <w:p>
      <w:pPr>
        <w:pStyle w:val="Normal"/>
        <w:rPr/>
      </w:pPr>
      <w:r>
        <w:rPr/>
      </w:r>
    </w:p>
    <w:p>
      <w:pPr>
        <w:pStyle w:val="Heading5"/>
        <w:ind w:hanging="0" w:start="0"/>
        <w:rPr/>
      </w:pPr>
      <w:r>
        <w:rPr/>
        <w:t>Individual Issues</w:t>
      </w:r>
    </w:p>
    <w:tbl>
      <w:tblPr>
        <w:tblW w:w="8856" w:type="dxa"/>
        <w:jc w:val="start"/>
        <w:tblInd w:w="0" w:type="dxa"/>
        <w:tblLayout w:type="fixed"/>
        <w:tblCellMar>
          <w:top w:w="0" w:type="dxa"/>
          <w:start w:w="108" w:type="dxa"/>
          <w:bottom w:w="0" w:type="dxa"/>
          <w:end w:w="108" w:type="dxa"/>
        </w:tblCellMar>
      </w:tblPr>
      <w:tblGrid>
        <w:gridCol w:w="1663"/>
        <w:gridCol w:w="7193"/>
      </w:tblGrid>
      <w:tr>
        <w:trPr/>
        <w:tc>
          <w:tcPr>
            <w:tcW w:w="1663" w:type="dxa"/>
            <w:tcBorders>
              <w:top w:val="double" w:sz="4" w:space="0" w:color="000000"/>
              <w:bottom w:val="single" w:sz="4" w:space="0" w:color="000000"/>
            </w:tcBorders>
          </w:tcPr>
          <w:p>
            <w:pPr>
              <w:pStyle w:val="Normal"/>
              <w:rPr>
                <w:b/>
                <w:bCs/>
              </w:rPr>
            </w:pPr>
            <w:r>
              <w:rPr>
                <w:b/>
                <w:bCs/>
              </w:rPr>
              <w:t>Transmission Access</w:t>
            </w:r>
          </w:p>
        </w:tc>
        <w:tc>
          <w:tcPr>
            <w:tcW w:w="7193" w:type="dxa"/>
            <w:tcBorders>
              <w:top w:val="double" w:sz="4" w:space="0" w:color="000000"/>
              <w:bottom w:val="single" w:sz="4" w:space="0" w:color="000000"/>
            </w:tcBorders>
          </w:tcPr>
          <w:p>
            <w:pPr>
              <w:pStyle w:val="Normal"/>
              <w:rPr/>
            </w:pPr>
            <w:r>
              <w:rPr/>
              <w:t>4.5 years (Q3 2001 to end 2005)</w:t>
            </w:r>
          </w:p>
        </w:tc>
      </w:tr>
      <w:tr>
        <w:trPr>
          <w:trHeight w:val="169" w:hRule="atLeast"/>
        </w:trPr>
        <w:tc>
          <w:tcPr>
            <w:tcW w:w="1663" w:type="dxa"/>
            <w:tcBorders>
              <w:top w:val="single" w:sz="4" w:space="0" w:color="000000"/>
            </w:tcBorders>
          </w:tcPr>
          <w:p>
            <w:pPr>
              <w:pStyle w:val="Normal"/>
              <w:snapToGrid w:val="false"/>
              <w:spacing w:lineRule="exact" w:line="120"/>
              <w:rPr>
                <w:b/>
                <w:bCs/>
              </w:rPr>
            </w:pPr>
            <w:r>
              <w:rPr>
                <w:b/>
                <w:bCs/>
              </w:rPr>
            </w:r>
          </w:p>
        </w:tc>
        <w:tc>
          <w:tcPr>
            <w:tcW w:w="7193" w:type="dxa"/>
            <w:tcBorders>
              <w:top w:val="single" w:sz="4" w:space="0" w:color="000000"/>
            </w:tcBorders>
          </w:tcPr>
          <w:p>
            <w:pPr>
              <w:pStyle w:val="Normal"/>
              <w:snapToGrid w:val="false"/>
              <w:spacing w:lineRule="exact" w:line="120"/>
              <w:ind w:start="-108" w:end="0"/>
              <w:jc w:val="both"/>
              <w:rPr>
                <w:b/>
                <w:bCs/>
              </w:rPr>
            </w:pPr>
            <w:r>
              <w:rPr>
                <w:b/>
                <w:bCs/>
              </w:rPr>
            </w:r>
          </w:p>
        </w:tc>
      </w:tr>
      <w:tr>
        <w:trPr/>
        <w:tc>
          <w:tcPr>
            <w:tcW w:w="1663" w:type="dxa"/>
            <w:tcBorders/>
          </w:tcPr>
          <w:p>
            <w:pPr>
              <w:pStyle w:val="Normal"/>
              <w:rPr>
                <w:b/>
                <w:bCs/>
              </w:rPr>
            </w:pPr>
            <w:r>
              <w:rPr>
                <w:b/>
                <w:bCs/>
              </w:rPr>
              <w:t>Evaluation</w:t>
            </w:r>
          </w:p>
        </w:tc>
        <w:tc>
          <w:tcPr>
            <w:tcW w:w="7193" w:type="dxa"/>
            <w:tcBorders/>
          </w:tcPr>
          <w:p>
            <w:pPr>
              <w:pStyle w:val="Normal"/>
              <w:numPr>
                <w:ilvl w:val="0"/>
                <w:numId w:val="6"/>
              </w:numPr>
              <w:jc w:val="both"/>
              <w:rPr/>
            </w:pPr>
            <w:r>
              <w:rPr/>
              <w:t>No feasibility application has yet been made to Kyushu Electric for transmission access.</w:t>
            </w:r>
          </w:p>
          <w:p>
            <w:pPr>
              <w:pStyle w:val="Normal"/>
              <w:numPr>
                <w:ilvl w:val="0"/>
                <w:numId w:val="6"/>
              </w:numPr>
              <w:jc w:val="both"/>
              <w:rPr/>
            </w:pPr>
            <w:r>
              <w:rPr/>
              <w:t xml:space="preserve">Transmission land acquisition process may have to start before financial close. </w:t>
            </w:r>
          </w:p>
        </w:tc>
      </w:tr>
    </w:tbl>
    <w:p>
      <w:pPr>
        <w:pStyle w:val="EPowerNo"/>
        <w:numPr>
          <w:ilvl w:val="0"/>
          <w:numId w:val="0"/>
        </w:numPr>
        <w:ind w:hanging="0" w:start="0"/>
        <w:rPr/>
      </w:pPr>
      <w:r>
        <w:rPr/>
      </w:r>
    </w:p>
    <w:tbl>
      <w:tblPr>
        <w:tblW w:w="8856" w:type="dxa"/>
        <w:jc w:val="start"/>
        <w:tblInd w:w="0" w:type="dxa"/>
        <w:tblLayout w:type="fixed"/>
        <w:tblCellMar>
          <w:top w:w="0" w:type="dxa"/>
          <w:start w:w="108" w:type="dxa"/>
          <w:bottom w:w="0" w:type="dxa"/>
          <w:end w:w="108" w:type="dxa"/>
        </w:tblCellMar>
      </w:tblPr>
      <w:tblGrid>
        <w:gridCol w:w="1763"/>
        <w:gridCol w:w="7093"/>
      </w:tblGrid>
      <w:tr>
        <w:trPr/>
        <w:tc>
          <w:tcPr>
            <w:tcW w:w="1763" w:type="dxa"/>
            <w:tcBorders>
              <w:top w:val="double" w:sz="4" w:space="0" w:color="000000"/>
              <w:bottom w:val="single" w:sz="4" w:space="0" w:color="000000"/>
            </w:tcBorders>
          </w:tcPr>
          <w:p>
            <w:pPr>
              <w:pStyle w:val="Normal"/>
              <w:rPr>
                <w:b/>
                <w:bCs/>
              </w:rPr>
            </w:pPr>
            <w:r>
              <w:rPr>
                <w:b/>
                <w:bCs/>
              </w:rPr>
              <w:t>Environmental Assessment</w:t>
            </w:r>
          </w:p>
        </w:tc>
        <w:tc>
          <w:tcPr>
            <w:tcW w:w="7093" w:type="dxa"/>
            <w:tcBorders>
              <w:top w:val="double" w:sz="4" w:space="0" w:color="000000"/>
              <w:bottom w:val="single" w:sz="4" w:space="0" w:color="000000"/>
            </w:tcBorders>
          </w:tcPr>
          <w:p>
            <w:pPr>
              <w:pStyle w:val="Normal"/>
              <w:rPr/>
            </w:pPr>
            <w:r>
              <w:rPr/>
              <w:t>36 months (2001 to 2004)</w:t>
            </w:r>
          </w:p>
          <w:p>
            <w:pPr>
              <w:pStyle w:val="Normal"/>
              <w:rPr/>
            </w:pPr>
            <w:r>
              <w:rPr/>
            </w:r>
          </w:p>
        </w:tc>
      </w:tr>
      <w:tr>
        <w:trPr>
          <w:trHeight w:val="169" w:hRule="atLeast"/>
        </w:trPr>
        <w:tc>
          <w:tcPr>
            <w:tcW w:w="1763" w:type="dxa"/>
            <w:tcBorders>
              <w:top w:val="single" w:sz="4" w:space="0" w:color="000000"/>
            </w:tcBorders>
          </w:tcPr>
          <w:p>
            <w:pPr>
              <w:pStyle w:val="Normal"/>
              <w:snapToGrid w:val="false"/>
              <w:spacing w:lineRule="exact" w:line="120"/>
              <w:rPr>
                <w:b/>
                <w:bCs/>
              </w:rPr>
            </w:pPr>
            <w:r>
              <w:rPr>
                <w:b/>
                <w:bCs/>
              </w:rPr>
            </w:r>
          </w:p>
        </w:tc>
        <w:tc>
          <w:tcPr>
            <w:tcW w:w="7093" w:type="dxa"/>
            <w:tcBorders>
              <w:top w:val="single" w:sz="4" w:space="0" w:color="000000"/>
            </w:tcBorders>
          </w:tcPr>
          <w:p>
            <w:pPr>
              <w:pStyle w:val="Normal"/>
              <w:snapToGrid w:val="false"/>
              <w:spacing w:lineRule="exact" w:line="120"/>
              <w:ind w:start="-108" w:end="0"/>
              <w:jc w:val="both"/>
              <w:rPr>
                <w:b/>
                <w:bCs/>
              </w:rPr>
            </w:pPr>
            <w:r>
              <w:rPr>
                <w:b/>
                <w:bCs/>
              </w:rPr>
            </w:r>
          </w:p>
        </w:tc>
      </w:tr>
      <w:tr>
        <w:trPr/>
        <w:tc>
          <w:tcPr>
            <w:tcW w:w="1763" w:type="dxa"/>
            <w:tcBorders/>
          </w:tcPr>
          <w:p>
            <w:pPr>
              <w:pStyle w:val="Normal"/>
              <w:rPr>
                <w:b/>
                <w:bCs/>
              </w:rPr>
            </w:pPr>
            <w:r>
              <w:rPr>
                <w:b/>
                <w:bCs/>
              </w:rPr>
              <w:t>Evaluation</w:t>
            </w:r>
          </w:p>
        </w:tc>
        <w:tc>
          <w:tcPr>
            <w:tcW w:w="7093" w:type="dxa"/>
            <w:tcBorders/>
          </w:tcPr>
          <w:p>
            <w:pPr>
              <w:pStyle w:val="Normal"/>
              <w:numPr>
                <w:ilvl w:val="0"/>
                <w:numId w:val="6"/>
              </w:numPr>
              <w:jc w:val="both"/>
              <w:rPr/>
            </w:pPr>
            <w:r>
              <w:rPr/>
              <w:t>The schedule is too short, particularly in light of the rare species of dragonfly currently inhabiting a pond on the site.</w:t>
            </w:r>
          </w:p>
          <w:p>
            <w:pPr>
              <w:pStyle w:val="Normal"/>
              <w:numPr>
                <w:ilvl w:val="0"/>
                <w:numId w:val="6"/>
              </w:numPr>
              <w:jc w:val="both"/>
              <w:rPr/>
            </w:pPr>
            <w:r>
              <w:rPr/>
              <w:t>The plan for the dragonfly is for the owner of the site to reestablish the dragonfly at another location before the power plant process begins. The Environment Ministry has agreed tentatively to the plan on the grounds that the owner has the right to develop the site for industrial purposes. It has also agreed that the owner does not need to demonstrate that the move was successful. However, the impact of this understanding on the environmental assessment is unclear. Issues may arise when it becomes known that the land is being sold for power plant development.</w:t>
            </w:r>
          </w:p>
        </w:tc>
      </w:tr>
    </w:tbl>
    <w:p>
      <w:pPr>
        <w:pStyle w:val="Normal"/>
        <w:rPr/>
      </w:pPr>
      <w:r>
        <w:rPr/>
      </w:r>
    </w:p>
    <w:p>
      <w:pPr>
        <w:pStyle w:val="EPowerNo"/>
        <w:numPr>
          <w:ilvl w:val="0"/>
          <w:numId w:val="0"/>
        </w:numPr>
        <w:ind w:hanging="0" w:start="0"/>
        <w:rPr/>
      </w:pPr>
      <w:r>
        <w:rPr/>
        <w:t>Brownfield Projects</w:t>
      </w:r>
    </w:p>
    <w:p>
      <w:pPr>
        <w:pStyle w:val="EPowerNo"/>
        <w:numPr>
          <w:ilvl w:val="0"/>
          <w:numId w:val="0"/>
        </w:numPr>
        <w:ind w:hanging="0" w:start="0"/>
        <w:rPr/>
      </w:pPr>
      <w:r>
        <w:rPr/>
      </w:r>
    </w:p>
    <w:p>
      <w:pPr>
        <w:pStyle w:val="Normalparagraph"/>
        <w:rPr/>
      </w:pPr>
      <w:r>
        <w:rPr>
          <w:b/>
          <w:bCs/>
        </w:rPr>
        <w:t>Initial Development Processes.</w:t>
      </w:r>
      <w:r>
        <w:rPr/>
        <w:t xml:space="preserve"> Brownfield projects avoid many of the initial difficult land acquisition and development issues faced by greenfield projects. However, the core development process can take nearly as long as greenfield projects.</w:t>
      </w:r>
    </w:p>
    <w:p>
      <w:pPr>
        <w:pStyle w:val="Normalparagraph"/>
        <w:rPr/>
      </w:pPr>
      <w:r>
        <w:rPr>
          <w:b/>
          <w:bCs/>
        </w:rPr>
        <w:t>Transmission.</w:t>
      </w:r>
      <w:r>
        <w:rPr/>
        <w:t xml:space="preserve"> If the site already has power generation facilities and is connected to the grid, and if the generating capacity does not exceed current line capacity, connection to the grid is a much simpler proposition.</w:t>
      </w:r>
    </w:p>
    <w:p>
      <w:pPr>
        <w:pStyle w:val="EPowerNo"/>
        <w:numPr>
          <w:ilvl w:val="0"/>
          <w:numId w:val="0"/>
        </w:numPr>
        <w:ind w:hanging="0" w:start="0"/>
        <w:rPr/>
      </w:pPr>
      <w:r>
        <w:rPr/>
      </w:r>
    </w:p>
    <w:p>
      <w:pPr>
        <w:pStyle w:val="EPowerNo"/>
        <w:numPr>
          <w:ilvl w:val="0"/>
          <w:numId w:val="0"/>
        </w:numPr>
        <w:ind w:hanging="0" w:start="0"/>
        <w:rPr/>
      </w:pPr>
      <w:r>
        <w:rPr/>
        <w:t xml:space="preserve">Teijin Project </w:t>
      </w:r>
    </w:p>
    <w:p>
      <w:pPr>
        <w:pStyle w:val="Normalparagraph"/>
        <w:rPr/>
      </w:pPr>
      <w:r>
        <w:rPr/>
        <w:t>This project is not subject to the Environmental Assessment Law but all other relevant regulation indicated in the construction permitting, construction and operation processes are required. The timelines set out by EPower adhere to common practice.</w:t>
      </w:r>
    </w:p>
    <w:p>
      <w:pPr>
        <w:pStyle w:val="EPowerNo"/>
        <w:numPr>
          <w:ilvl w:val="0"/>
          <w:numId w:val="0"/>
        </w:numPr>
        <w:ind w:hanging="0" w:start="0"/>
        <w:rPr>
          <w:b w:val="false"/>
          <w:bCs w:val="false"/>
          <w:kern w:val="0"/>
          <w:szCs w:val="24"/>
        </w:rPr>
      </w:pPr>
      <w:r>
        <w:rPr>
          <w:b w:val="false"/>
          <w:bCs w:val="false"/>
          <w:kern w:val="0"/>
          <w:szCs w:val="24"/>
        </w:rPr>
      </w:r>
    </w:p>
    <w:p>
      <w:pPr>
        <w:pStyle w:val="Normal"/>
        <w:rPr>
          <w:b/>
          <w:bCs/>
        </w:rPr>
      </w:pPr>
      <w:r>
        <w:rPr>
          <w:b/>
          <w:bCs/>
        </w:rPr>
        <w:t>Issues in EPower’s Current Schedule</w:t>
      </w:r>
    </w:p>
    <w:tbl>
      <w:tblPr>
        <w:tblW w:w="8856" w:type="dxa"/>
        <w:jc w:val="start"/>
        <w:tblInd w:w="0" w:type="dxa"/>
        <w:tblLayout w:type="fixed"/>
        <w:tblCellMar>
          <w:top w:w="0" w:type="dxa"/>
          <w:start w:w="108" w:type="dxa"/>
          <w:bottom w:w="0" w:type="dxa"/>
          <w:end w:w="108" w:type="dxa"/>
        </w:tblCellMar>
      </w:tblPr>
      <w:tblGrid>
        <w:gridCol w:w="1661"/>
        <w:gridCol w:w="7195"/>
      </w:tblGrid>
      <w:tr>
        <w:trPr/>
        <w:tc>
          <w:tcPr>
            <w:tcW w:w="1661" w:type="dxa"/>
            <w:tcBorders>
              <w:top w:val="double" w:sz="4" w:space="0" w:color="000000"/>
              <w:bottom w:val="single" w:sz="4" w:space="0" w:color="000000"/>
            </w:tcBorders>
          </w:tcPr>
          <w:p>
            <w:pPr>
              <w:pStyle w:val="Normal"/>
              <w:rPr>
                <w:b/>
                <w:bCs/>
              </w:rPr>
            </w:pPr>
            <w:r>
              <w:rPr>
                <w:b/>
                <w:bCs/>
              </w:rPr>
              <w:t>Overall Development</w:t>
            </w:r>
          </w:p>
        </w:tc>
        <w:tc>
          <w:tcPr>
            <w:tcW w:w="7195" w:type="dxa"/>
            <w:tcBorders>
              <w:top w:val="double" w:sz="4" w:space="0" w:color="000000"/>
              <w:bottom w:val="single" w:sz="4" w:space="0" w:color="000000"/>
            </w:tcBorders>
          </w:tcPr>
          <w:p>
            <w:pPr>
              <w:pStyle w:val="Normal"/>
              <w:rPr/>
            </w:pPr>
            <w:r>
              <w:rPr/>
              <w:t>4.5 years from mid of 2000 (Operation by January 2005)</w:t>
            </w:r>
          </w:p>
        </w:tc>
      </w:tr>
      <w:tr>
        <w:trPr/>
        <w:tc>
          <w:tcPr>
            <w:tcW w:w="1661" w:type="dxa"/>
            <w:tcBorders>
              <w:top w:val="single" w:sz="4" w:space="0" w:color="000000"/>
              <w:bottom w:val="single" w:sz="4" w:space="0" w:color="000000"/>
            </w:tcBorders>
          </w:tcPr>
          <w:p>
            <w:pPr>
              <w:pStyle w:val="Normal"/>
              <w:rPr>
                <w:b/>
                <w:bCs/>
              </w:rPr>
            </w:pPr>
            <w:r>
              <w:rPr>
                <w:b/>
                <w:bCs/>
              </w:rPr>
              <w:t>Evaluation</w:t>
            </w:r>
          </w:p>
        </w:tc>
        <w:tc>
          <w:tcPr>
            <w:tcW w:w="7195" w:type="dxa"/>
            <w:tcBorders>
              <w:top w:val="single" w:sz="4" w:space="0" w:color="000000"/>
              <w:bottom w:val="single" w:sz="4" w:space="0" w:color="000000"/>
            </w:tcBorders>
          </w:tcPr>
          <w:p>
            <w:pPr>
              <w:pStyle w:val="Normal"/>
              <w:numPr>
                <w:ilvl w:val="0"/>
                <w:numId w:val="6"/>
              </w:numPr>
              <w:jc w:val="both"/>
              <w:rPr/>
            </w:pPr>
            <w:r>
              <w:rPr/>
              <w:t>The preparation of the construction plan was originally planned to begin from July 2001. Delay of this process may delay the start-up date.</w:t>
            </w:r>
          </w:p>
        </w:tc>
      </w:tr>
    </w:tbl>
    <w:p>
      <w:pPr>
        <w:pStyle w:val="Normalparagraph"/>
        <w:rPr/>
      </w:pPr>
      <w:r>
        <w:rPr/>
      </w:r>
    </w:p>
    <w:tbl>
      <w:tblPr>
        <w:tblW w:w="8856" w:type="dxa"/>
        <w:jc w:val="start"/>
        <w:tblInd w:w="0" w:type="dxa"/>
        <w:tblLayout w:type="fixed"/>
        <w:tblCellMar>
          <w:top w:w="0" w:type="dxa"/>
          <w:start w:w="108" w:type="dxa"/>
          <w:bottom w:w="0" w:type="dxa"/>
          <w:end w:w="108" w:type="dxa"/>
        </w:tblCellMar>
      </w:tblPr>
      <w:tblGrid>
        <w:gridCol w:w="1663"/>
        <w:gridCol w:w="7193"/>
      </w:tblGrid>
      <w:tr>
        <w:trPr/>
        <w:tc>
          <w:tcPr>
            <w:tcW w:w="1663" w:type="dxa"/>
            <w:tcBorders>
              <w:top w:val="double" w:sz="4" w:space="0" w:color="000000"/>
              <w:bottom w:val="single" w:sz="4" w:space="0" w:color="000000"/>
            </w:tcBorders>
          </w:tcPr>
          <w:p>
            <w:pPr>
              <w:pStyle w:val="Normal"/>
              <w:rPr>
                <w:b/>
                <w:bCs/>
              </w:rPr>
            </w:pPr>
            <w:r>
              <w:rPr>
                <w:b/>
                <w:bCs/>
              </w:rPr>
              <w:t>Transmission Access</w:t>
            </w:r>
          </w:p>
        </w:tc>
        <w:tc>
          <w:tcPr>
            <w:tcW w:w="7193" w:type="dxa"/>
            <w:tcBorders>
              <w:top w:val="double" w:sz="4" w:space="0" w:color="000000"/>
              <w:bottom w:val="single" w:sz="4" w:space="0" w:color="000000"/>
            </w:tcBorders>
          </w:tcPr>
          <w:p>
            <w:pPr>
              <w:pStyle w:val="Normal"/>
              <w:rPr/>
            </w:pPr>
            <w:r>
              <w:rPr/>
              <w:t>No schedule available</w:t>
            </w:r>
          </w:p>
        </w:tc>
      </w:tr>
      <w:tr>
        <w:trPr>
          <w:trHeight w:val="169" w:hRule="atLeast"/>
        </w:trPr>
        <w:tc>
          <w:tcPr>
            <w:tcW w:w="1663" w:type="dxa"/>
            <w:tcBorders>
              <w:top w:val="single" w:sz="4" w:space="0" w:color="000000"/>
            </w:tcBorders>
          </w:tcPr>
          <w:p>
            <w:pPr>
              <w:pStyle w:val="Normal"/>
              <w:snapToGrid w:val="false"/>
              <w:spacing w:lineRule="exact" w:line="120"/>
              <w:rPr>
                <w:b/>
                <w:bCs/>
              </w:rPr>
            </w:pPr>
            <w:r>
              <w:rPr>
                <w:b/>
                <w:bCs/>
              </w:rPr>
            </w:r>
          </w:p>
        </w:tc>
        <w:tc>
          <w:tcPr>
            <w:tcW w:w="7193" w:type="dxa"/>
            <w:tcBorders>
              <w:top w:val="single" w:sz="4" w:space="0" w:color="000000"/>
            </w:tcBorders>
          </w:tcPr>
          <w:p>
            <w:pPr>
              <w:pStyle w:val="Normal"/>
              <w:snapToGrid w:val="false"/>
              <w:spacing w:lineRule="exact" w:line="120"/>
              <w:ind w:start="-108" w:end="0"/>
              <w:jc w:val="both"/>
              <w:rPr>
                <w:b/>
                <w:bCs/>
              </w:rPr>
            </w:pPr>
            <w:r>
              <w:rPr>
                <w:b/>
                <w:bCs/>
              </w:rPr>
            </w:r>
          </w:p>
        </w:tc>
      </w:tr>
      <w:tr>
        <w:trPr/>
        <w:tc>
          <w:tcPr>
            <w:tcW w:w="1663" w:type="dxa"/>
            <w:tcBorders/>
          </w:tcPr>
          <w:p>
            <w:pPr>
              <w:pStyle w:val="Normal"/>
              <w:rPr>
                <w:b/>
                <w:bCs/>
              </w:rPr>
            </w:pPr>
            <w:r>
              <w:rPr>
                <w:b/>
                <w:bCs/>
              </w:rPr>
              <w:t>Evaluation</w:t>
            </w:r>
          </w:p>
        </w:tc>
        <w:tc>
          <w:tcPr>
            <w:tcW w:w="7193" w:type="dxa"/>
            <w:tcBorders/>
          </w:tcPr>
          <w:p>
            <w:pPr>
              <w:pStyle w:val="Normal"/>
              <w:numPr>
                <w:ilvl w:val="0"/>
                <w:numId w:val="6"/>
              </w:numPr>
              <w:jc w:val="both"/>
              <w:rPr/>
            </w:pPr>
            <w:r>
              <w:rPr/>
              <w:t xml:space="preserve">EPower is looking to sell power onto the main island of Honshu from the island of Shikoku where the plant is located. Transmission access will require application to Shikoku Electric, the local utility and to other utilities with access to the interconnectors. </w:t>
            </w:r>
          </w:p>
        </w:tc>
      </w:tr>
    </w:tbl>
    <w:p>
      <w:pPr>
        <w:pStyle w:val="Normal"/>
        <w:rPr/>
      </w:pPr>
      <w:r>
        <w:rPr/>
      </w:r>
    </w:p>
    <w:p>
      <w:pPr>
        <w:pStyle w:val="Normal"/>
        <w:rPr>
          <w:b/>
          <w:bCs/>
        </w:rPr>
      </w:pPr>
      <w:r>
        <w:rPr>
          <w:b/>
          <w:bCs/>
        </w:rPr>
      </w:r>
    </w:p>
    <w:p>
      <w:pPr>
        <w:pStyle w:val="Normal"/>
        <w:rPr>
          <w:b/>
          <w:bCs/>
        </w:rPr>
      </w:pPr>
      <w:r>
        <w:rPr>
          <w:b/>
          <w:bCs/>
        </w:rPr>
      </w:r>
    </w:p>
    <w:p>
      <w:pPr>
        <w:pStyle w:val="Normal"/>
        <w:rPr>
          <w:b/>
          <w:bCs/>
          <w:sz w:val="28"/>
        </w:rPr>
      </w:pPr>
      <w:r>
        <w:rPr>
          <w:b/>
          <w:bCs/>
          <w:sz w:val="28"/>
        </w:rPr>
        <w:t xml:space="preserve">Regulatory Approach For Streamlining the Regulatory Process </w:t>
      </w:r>
    </w:p>
    <w:p>
      <w:pPr>
        <w:pStyle w:val="Normalparagraph"/>
        <w:rPr/>
      </w:pPr>
      <w:r>
        <w:rPr/>
        <w:t>The regulatory issues confronting EPower in connection with its power plant development activities can be summarized as follows:</w:t>
      </w:r>
    </w:p>
    <w:p>
      <w:pPr>
        <w:pStyle w:val="Normalparagraph"/>
        <w:numPr>
          <w:ilvl w:val="0"/>
          <w:numId w:val="6"/>
        </w:numPr>
        <w:rPr/>
      </w:pPr>
      <w:r>
        <w:rPr/>
        <w:t>Time taken to complete the approval process</w:t>
      </w:r>
    </w:p>
    <w:p>
      <w:pPr>
        <w:pStyle w:val="Normalparagraph"/>
        <w:numPr>
          <w:ilvl w:val="0"/>
          <w:numId w:val="6"/>
        </w:numPr>
        <w:rPr/>
      </w:pPr>
      <w:r>
        <w:rPr/>
        <w:t>Cost associated with dealing with a significant number of approvals and agencies</w:t>
      </w:r>
    </w:p>
    <w:p>
      <w:pPr>
        <w:pStyle w:val="Normalparagraph"/>
        <w:numPr>
          <w:ilvl w:val="0"/>
          <w:numId w:val="6"/>
        </w:numPr>
        <w:rPr/>
      </w:pPr>
      <w:r>
        <w:rPr/>
        <w:t>Time and cost associated with transmission access</w:t>
      </w:r>
    </w:p>
    <w:p>
      <w:pPr>
        <w:pStyle w:val="Normalparagraph"/>
        <w:numPr>
          <w:ilvl w:val="0"/>
          <w:numId w:val="6"/>
        </w:numPr>
        <w:rPr/>
      </w:pPr>
      <w:r>
        <w:rPr/>
        <w:t xml:space="preserve">Absence of clear and effective rights of recourse in the event of a dispute either with a utility or government authority.  </w:t>
      </w:r>
    </w:p>
    <w:p>
      <w:pPr>
        <w:pStyle w:val="Normalparagraph"/>
        <w:rPr/>
      </w:pPr>
      <w:r>
        <w:rPr>
          <w:b/>
          <w:bCs/>
        </w:rPr>
        <w:t>Process set up for utilities.</w:t>
      </w:r>
      <w:r>
        <w:rPr/>
        <w:t xml:space="preserve"> The current development processes have evolved over time and worked reasonably well under a system where incumbent utilities operated on a 10 – 15 year development cycle. The system also worked for some of the designated IPP projects as they had the support of the local utility and national and local governments. However, the processes clearly do not work for new entrants such as EPower. </w:t>
      </w:r>
    </w:p>
    <w:p>
      <w:pPr>
        <w:pStyle w:val="Normalparagraph"/>
        <w:rPr/>
      </w:pPr>
      <w:r>
        <w:rPr>
          <w:b/>
          <w:bCs/>
        </w:rPr>
        <w:t>Equal legal treatment needed.</w:t>
      </w:r>
      <w:r>
        <w:rPr/>
        <w:t xml:space="preserve"> An approach needs to be taken with the regulatory authorities and the electric utilities that promotes an understanding of the needs of private developers and treats them as equal partners in the generation system. For example, currently under the EUIL, independent power plants are not treated as being in the </w:t>
      </w:r>
      <w:r>
        <w:rPr>
          <w:i/>
          <w:iCs/>
        </w:rPr>
        <w:t>public interest</w:t>
      </w:r>
      <w:r>
        <w:rPr/>
        <w:t xml:space="preserve"> and are therefore not entitled to some of the advantages the utilities enjoy.</w:t>
      </w:r>
    </w:p>
    <w:p>
      <w:pPr>
        <w:pStyle w:val="Normalparagraph"/>
        <w:rPr/>
      </w:pPr>
      <w:r>
        <w:rPr>
          <w:b/>
          <w:bCs/>
        </w:rPr>
        <w:t>Equal transmission access.</w:t>
      </w:r>
      <w:r>
        <w:rPr/>
        <w:t xml:space="preserve"> EPower has had mixed experience with the utilities with respect to discussions on transmission access. While some responses have not been unreasonable, others have been uncooperative and inflexible. For example, Chugoku Electric has provided very high estimates for construction and refused to provide a timescale for construction of transmission facilities. In addition, they seem to apply different criteria for network operation to private plants than they apply to their own. This does not appear to be consistent with other utilities.</w:t>
      </w:r>
    </w:p>
    <w:p>
      <w:pPr>
        <w:pStyle w:val="Normalparagraph"/>
        <w:rPr/>
      </w:pPr>
      <w:r>
        <w:rPr>
          <w:b/>
          <w:bCs/>
        </w:rPr>
        <w:t>Approach to streamline the process.</w:t>
      </w:r>
      <w:r>
        <w:rPr/>
        <w:t xml:space="preserve"> Our experience to date indicates that seeking to shorten the approval process while working within the current system is unlikely to be effective. Further, lobbying METI and the JFTC to implement changes to the current approval regime is also unlikely to be effective in the short term. In the circumstances, we propose the following:</w:t>
      </w:r>
    </w:p>
    <w:p>
      <w:pPr>
        <w:pStyle w:val="Normalparagraph"/>
        <w:numPr>
          <w:ilvl w:val="0"/>
          <w:numId w:val="4"/>
        </w:numPr>
        <w:rPr/>
      </w:pPr>
      <w:r>
        <w:rPr/>
        <w:t>Leverage existing relationships within METI, with local Governors and within senior levels of the LDP to form a central organization, most likely within METI, with responsibility for coordinating and streamlining the regulatory process for new entrants. We would anticipate that the central organization would have delegated representatives in local METI branches and prefectural governments.</w:t>
      </w:r>
    </w:p>
    <w:p>
      <w:pPr>
        <w:pStyle w:val="Normalparagraph"/>
        <w:numPr>
          <w:ilvl w:val="0"/>
          <w:numId w:val="4"/>
        </w:numPr>
        <w:rPr/>
      </w:pPr>
      <w:r>
        <w:rPr/>
        <w:t>Lobby for equal status for independent power projects under the EUIL and other laws.</w:t>
      </w:r>
    </w:p>
    <w:p>
      <w:pPr>
        <w:pStyle w:val="Normalparagraph"/>
        <w:numPr>
          <w:ilvl w:val="0"/>
          <w:numId w:val="4"/>
        </w:numPr>
        <w:rPr/>
      </w:pPr>
      <w:r>
        <w:rPr/>
        <w:t>Immediately take steps to build relationships at the highest levels with utilities where EPower has potential projects with a view to fostering a cooperative approach to transmission access issues.</w:t>
      </w:r>
    </w:p>
    <w:p>
      <w:pPr>
        <w:pStyle w:val="Normalparagraph"/>
        <w:numPr>
          <w:ilvl w:val="0"/>
          <w:numId w:val="4"/>
        </w:numPr>
        <w:rPr/>
      </w:pPr>
      <w:r>
        <w:rPr/>
        <w:t>Develop a better understanding of the transmission access rules and the technical constraints of the transmission system in order to better address the concerns of the utilities.</w:t>
      </w:r>
    </w:p>
    <w:p>
      <w:pPr>
        <w:pStyle w:val="Normalparagraph"/>
        <w:numPr>
          <w:ilvl w:val="0"/>
          <w:numId w:val="4"/>
        </w:numPr>
        <w:rPr/>
      </w:pPr>
      <w:r>
        <w:rPr/>
        <w:t>Consider inviting utilities to participate as project equity partners in some or all of EPower’s projects.</w:t>
      </w:r>
    </w:p>
    <w:p>
      <w:pPr>
        <w:pStyle w:val="Normalparagraph"/>
        <w:numPr>
          <w:ilvl w:val="0"/>
          <w:numId w:val="4"/>
        </w:numPr>
        <w:rPr/>
      </w:pPr>
      <w:r>
        <w:rPr/>
        <w:t>Consider inviting Japanese corporations with close relationships with the utilities (e.g. construction companies or equipment manufacturers) to participate as project equity partners in some or all of EPower’s projects.</w:t>
      </w:r>
    </w:p>
    <w:p>
      <w:pPr>
        <w:pStyle w:val="Normalparagraph"/>
        <w:numPr>
          <w:ilvl w:val="0"/>
          <w:numId w:val="4"/>
        </w:numPr>
        <w:rPr/>
      </w:pPr>
      <w:r>
        <w:rPr/>
        <w:t>Seek to incorporate the issues set out above into METI’s mid term regulatory review due to commence in September.</w:t>
      </w:r>
    </w:p>
    <w:p>
      <w:pPr>
        <w:pStyle w:val="Normalparagraph"/>
        <w:numPr>
          <w:ilvl w:val="0"/>
          <w:numId w:val="4"/>
        </w:numPr>
        <w:rPr/>
      </w:pPr>
      <w:r>
        <w:rPr/>
        <w:t>Continue to push for the strengthening of the FTC both in terms of personnel and powers.</w:t>
      </w:r>
    </w:p>
    <w:p>
      <w:pPr>
        <w:pStyle w:val="Normalparagraph"/>
        <w:numPr>
          <w:ilvl w:val="0"/>
          <w:numId w:val="4"/>
        </w:numPr>
        <w:rPr/>
      </w:pPr>
      <w:r>
        <w:rPr/>
        <w:t>Continue to promote separation of the transmission system and implementation of pool system in deregulation process.</w:t>
      </w:r>
    </w:p>
    <w:p>
      <w:pPr>
        <w:pStyle w:val="Normal"/>
        <w:rPr/>
      </w:pPr>
      <w:r>
        <w:rPr/>
      </w:r>
    </w:p>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ＭＳ 明朝">
    <w:altName w:val="MS Mincho"/>
    <w:charset w:val="80"/>
    <w:family w:val="roma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23.7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53035" cy="175260"/>
              <wp:effectExtent l="0" t="0" r="0" b="0"/>
              <wp:wrapSquare wrapText="bothSides"/>
              <wp:docPr id="3"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b/>
        <w:bCs/>
        <w:sz w:val="32"/>
      </w:rPr>
    </w:pPr>
    <w:r>
      <w:rPr>
        <w:rFonts w:cs="Arial" w:ascii="Arial" w:hAnsi="Arial"/>
        <w:b/>
        <w:bCs/>
        <w:sz w:val="32"/>
      </w:rPr>
      <w:t>Confidential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bCs/>
      </w:rPr>
    </w:pPr>
    <w:r>
      <w:rPr>
        <w:rFonts w:cs="Arial" w:ascii="Arial" w:hAnsi="Arial"/>
        <w:b/>
        <w:bCs/>
      </w:rPr>
      <w:t>Confidential</w:t>
    </w:r>
  </w:p>
  <w:p>
    <w:pPr>
      <w:pStyle w:val="Header"/>
      <w:rPr>
        <w:sz w:val="20"/>
      </w:rPr>
    </w:pPr>
    <w:r>
      <w:rPr>
        <w:sz w:val="20"/>
      </w:rPr>
      <w:t>Executive Summary of Preliminary Regulatory Review of Independent Power Plant Development in Japan</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bCs/>
      </w:rPr>
    </w:pPr>
    <w:r>
      <w:rPr>
        <w:rFonts w:cs="Arial" w:ascii="Arial" w:hAnsi="Arial"/>
        <w:b/>
        <w:bCs/>
      </w:rPr>
      <w:t>Confidential</w:t>
    </w:r>
  </w:p>
  <w:p>
    <w:pPr>
      <w:pStyle w:val="Header"/>
      <w:rPr>
        <w:sz w:val="20"/>
      </w:rPr>
    </w:pPr>
    <w:r>
      <w:rPr>
        <w:sz w:val="20"/>
      </w:rPr>
      <w:t>Executive Summary of Preliminary Regulatory Review of Independent Power Plant Development in Japan</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870"/>
        </w:tabs>
        <w:ind w:start="870" w:hanging="435"/>
      </w:pPr>
      <w:r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decimal"/>
      <w:lvlText w:val="%1."/>
      <w:lvlJc w:val="start"/>
      <w:pPr>
        <w:tabs>
          <w:tab w:val="num" w:pos="360"/>
        </w:tabs>
        <w:ind w:start="360" w:hanging="360"/>
      </w:pPr>
      <w:rPr>
        <w:sz w:val="24"/>
        <w:i w:val="false"/>
        <w:b w:val="false"/>
        <w:rFonts w:ascii="Times New Roman" w:hAnsi="Times New Roman" w:cs="Times New Roman"/>
      </w:rPr>
    </w:lvl>
    <w:lvl w:ilvl="1">
      <w:start w:val="1"/>
      <w:numFmt w:val="decimal"/>
      <w:lvlText w:val="%1.%2."/>
      <w:lvlJc w:val="start"/>
      <w:pPr>
        <w:tabs>
          <w:tab w:val="num" w:pos="454"/>
        </w:tabs>
        <w:ind w:start="454" w:hanging="454"/>
      </w:pPr>
      <w:rPr>
        <w:sz w:val="24"/>
        <w:i w:val="false"/>
        <w:b w:val="false"/>
        <w:rFonts w:ascii="Times New Roman" w:hAnsi="Times New Roman" w:cs="Times New Roman"/>
      </w:rPr>
    </w:lvl>
    <w:lvl w:ilvl="2">
      <w:start w:val="1"/>
      <w:numFmt w:val="decimal"/>
      <w:lvlText w:val="%1.%2.%3."/>
      <w:lvlJc w:val="start"/>
      <w:pPr>
        <w:tabs>
          <w:tab w:val="num" w:pos="567"/>
        </w:tabs>
        <w:ind w:start="567" w:hanging="567"/>
      </w:pPr>
      <w:rPr>
        <w:sz w:val="24"/>
        <w:i w:val="false"/>
        <w:b w:val="false"/>
        <w:rFonts w:ascii="Times New Roman" w:hAnsi="Times New Roman" w:cs="Times New Roman"/>
      </w:rPr>
    </w:lvl>
    <w:lvl w:ilvl="3">
      <w:start w:val="1"/>
      <w:numFmt w:val="decimal"/>
      <w:lvlText w:val="%1.%2.%3.%4."/>
      <w:lvlJc w:val="start"/>
      <w:pPr>
        <w:tabs>
          <w:tab w:val="num" w:pos="720"/>
        </w:tabs>
        <w:ind w:start="357" w:hanging="357"/>
      </w:pPr>
      <w:rPr/>
    </w:lvl>
    <w:lvl w:ilvl="4">
      <w:start w:val="1"/>
      <w:numFmt w:val="decimal"/>
      <w:lvlText w:val="%1.%2.%3.%4.%5."/>
      <w:lvlJc w:val="start"/>
      <w:pPr>
        <w:tabs>
          <w:tab w:val="num" w:pos="2520"/>
        </w:tabs>
        <w:ind w:start="2232" w:hanging="792"/>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6">
    <w:lvl w:ilvl="0">
      <w:start w:val="1"/>
      <w:numFmt w:val="bullet"/>
      <w:lvlText w:val=""/>
      <w:lvlJc w:val="start"/>
      <w:pPr>
        <w:tabs>
          <w:tab w:val="num" w:pos="720"/>
        </w:tabs>
        <w:ind w:start="720" w:hanging="360"/>
      </w:pPr>
      <w:rPr>
        <w:rFonts w:ascii="Wingdings" w:hAnsi="Wingdings" w:cs="Wingdings" w:hint="default"/>
        <w:sz w:val="16"/>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eastAsia="ＭＳ 明朝;MS Mincho" w:cs="Arial"/>
      <w:b/>
      <w:bCs/>
      <w:kern w:val="2"/>
      <w:sz w:val="32"/>
      <w:szCs w:val="32"/>
    </w:rPr>
  </w:style>
  <w:style w:type="paragraph" w:styleId="Heading4">
    <w:name w:val="heading 4"/>
    <w:basedOn w:val="Normal"/>
    <w:next w:val="Normal"/>
    <w:qFormat/>
    <w:pPr>
      <w:keepNext w:val="true"/>
      <w:widowControl w:val="false"/>
      <w:numPr>
        <w:ilvl w:val="0"/>
        <w:numId w:val="3"/>
      </w:numPr>
      <w:jc w:val="both"/>
      <w:outlineLvl w:val="3"/>
    </w:pPr>
    <w:rPr>
      <w:rFonts w:ascii="Century;Times New Roman" w:hAnsi="Century;Times New Roman" w:eastAsia="ＭＳ 明朝;MS Mincho" w:cs="Century;Times New Roman"/>
      <w:b/>
      <w:bCs/>
      <w:kern w:val="2"/>
      <w:lang w:eastAsia="ja-JP"/>
    </w:rPr>
  </w:style>
  <w:style w:type="paragraph" w:styleId="Heading5">
    <w:name w:val="heading 5"/>
    <w:basedOn w:val="Normal"/>
    <w:next w:val="Normal"/>
    <w:qFormat/>
    <w:pPr>
      <w:keepNext w:val="true"/>
      <w:numPr>
        <w:ilvl w:val="4"/>
        <w:numId w:val="1"/>
      </w:numPr>
      <w:outlineLvl w:val="4"/>
    </w:pPr>
    <w:rPr>
      <w:rFonts w:eastAsia="ＭＳ 明朝;MS Mincho"/>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3z2">
    <w:name w:val="WW8Num3z2"/>
    <w:qFormat/>
    <w:rPr>
      <w:rFonts w:ascii="Symbol" w:hAnsi="Symbol" w:eastAsia="ＭＳ 明朝;MS Mincho" w:cs="Times New Roman"/>
      <w:color w:val="000000"/>
    </w:rPr>
  </w:style>
  <w:style w:type="character" w:styleId="WW8Num4z0">
    <w:name w:val="WW8Num4z0"/>
    <w:qFormat/>
    <w:rPr/>
  </w:style>
  <w:style w:type="character" w:styleId="WW8Num4z2">
    <w:name w:val="WW8Num4z2"/>
    <w:qFormat/>
    <w:rPr/>
  </w:style>
  <w:style w:type="character" w:styleId="WW8Num4z3">
    <w:name w:val="WW8Num4z3"/>
    <w:qFormat/>
    <w:rPr>
      <w:rFonts w:ascii="Symbol" w:hAnsi="Symbol" w:eastAsia="ＭＳ 明朝;MS Mincho" w:cs="Arial"/>
    </w:rPr>
  </w:style>
  <w:style w:type="character" w:styleId="WW8Num5z0">
    <w:name w:val="WW8Num5z0"/>
    <w:qFormat/>
    <w:rPr>
      <w:rFonts w:ascii="Times New Roman" w:hAnsi="Times New Roman" w:eastAsia="ＭＳ 明朝;MS Mincho"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rFonts w:ascii="Times New Roman" w:hAnsi="Times New Roman" w:cs="Times New Roman"/>
      <w:b w:val="false"/>
      <w:i w:val="false"/>
      <w:sz w:val="24"/>
    </w:rPr>
  </w:style>
  <w:style w:type="character" w:styleId="WW8Num12z0">
    <w:name w:val="WW8Num12z0"/>
    <w:qFormat/>
    <w:rPr>
      <w:b/>
    </w:rPr>
  </w:style>
  <w:style w:type="character" w:styleId="WW8Num13z0">
    <w:name w:val="WW8Num13z0"/>
    <w:qFormat/>
    <w:rPr>
      <w:rFonts w:ascii="Times New Roman" w:hAnsi="Times New Roman" w:cs="Times New Roman"/>
      <w:b w:val="false"/>
      <w:i w:val="false"/>
      <w:sz w:val="20"/>
    </w:rPr>
  </w:style>
  <w:style w:type="character" w:styleId="WW8Num14z0">
    <w:name w:val="WW8Num14z0"/>
    <w:qFormat/>
    <w:rPr/>
  </w:style>
  <w:style w:type="character" w:styleId="WW8Num15z0">
    <w:name w:val="WW8Num15z0"/>
    <w:qFormat/>
    <w:rPr>
      <w:rFonts w:ascii="Times New Roman" w:hAnsi="Times New Roman" w:cs="Times New Roman"/>
      <w:b w:val="false"/>
      <w:i w:val="false"/>
      <w:sz w:val="20"/>
    </w:rPr>
  </w:style>
  <w:style w:type="character" w:styleId="WW8Num16z0">
    <w:name w:val="WW8Num16z0"/>
    <w:qFormat/>
    <w:rPr/>
  </w:style>
  <w:style w:type="character" w:styleId="WW8Num17z0">
    <w:name w:val="WW8Num17z0"/>
    <w:qFormat/>
    <w:rPr/>
  </w:style>
  <w:style w:type="character" w:styleId="WW8Num18z1">
    <w:name w:val="WW8Num18z1"/>
    <w:qFormat/>
    <w:rPr>
      <w:rFonts w:ascii="Symbol" w:hAnsi="Symbol" w:cs="Symbol"/>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style>
  <w:style w:type="character" w:styleId="WW8Num20z1">
    <w:name w:val="WW8Num20z1"/>
    <w:qFormat/>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style>
  <w:style w:type="character" w:styleId="WW8Num23z0">
    <w:name w:val="WW8Num23z0"/>
    <w:qFormat/>
    <w:rPr>
      <w:rFonts w:ascii="Times New Roman" w:hAnsi="Times New Roman" w:cs="Times New Roman"/>
      <w:b w:val="false"/>
      <w:i w:val="false"/>
      <w:sz w:val="24"/>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9z0">
    <w:name w:val="WW8Num29z0"/>
    <w:qFormat/>
    <w:rPr/>
  </w:style>
  <w:style w:type="character" w:styleId="WW8Num31z0">
    <w:name w:val="WW8Num31z0"/>
    <w:qFormat/>
    <w:rPr/>
  </w:style>
  <w:style w:type="character" w:styleId="WW8Num33z0">
    <w:name w:val="WW8Num33z0"/>
    <w:qFormat/>
    <w:rPr/>
  </w:style>
  <w:style w:type="character" w:styleId="WW8Num34z0">
    <w:name w:val="WW8Num34z0"/>
    <w:qFormat/>
    <w:rPr>
      <w:rFonts w:ascii="Times New Roman" w:hAnsi="Times New Roman" w:cs="Times New Roman"/>
      <w:b w:val="false"/>
      <w:i w:val="false"/>
      <w:sz w:val="24"/>
    </w:rPr>
  </w:style>
  <w:style w:type="character" w:styleId="WW8Num35z0">
    <w:name w:val="WW8Num35z0"/>
    <w:qFormat/>
    <w:rPr>
      <w:rFonts w:ascii="Times New Roman" w:hAnsi="Times New Roman" w:cs="Times New Roman"/>
      <w:b w:val="false"/>
      <w:i w:val="false"/>
      <w:sz w:val="24"/>
    </w:rPr>
  </w:style>
  <w:style w:type="character" w:styleId="WW8Num35z1">
    <w:name w:val="WW8Num35z1"/>
    <w:qFormat/>
    <w:rPr>
      <w:rFonts w:ascii="Wingdings" w:hAnsi="Wingdings" w:cs="Wingdings"/>
      <w:sz w:val="16"/>
    </w:rPr>
  </w:style>
  <w:style w:type="character" w:styleId="WW8Num35z2">
    <w:name w:val="WW8Num35z2"/>
    <w:qFormat/>
    <w:rPr>
      <w:rFonts w:ascii="Wingdings" w:hAnsi="Wingdings" w:eastAsia="ＭＳ 明朝;MS Mincho" w:cs="Times New Roman"/>
    </w:rPr>
  </w:style>
  <w:style w:type="character" w:styleId="WW8Num36z0">
    <w:name w:val="WW8Num36z0"/>
    <w:qFormat/>
    <w:rPr>
      <w:rFonts w:ascii="Times New Roman" w:hAnsi="Times New Roman" w:cs="Times New Roman"/>
      <w:b w:val="false"/>
      <w:i w:val="false"/>
      <w:sz w:val="24"/>
    </w:rPr>
  </w:style>
  <w:style w:type="character" w:styleId="WW8Num37z0">
    <w:name w:val="WW8Num37z0"/>
    <w:qFormat/>
    <w:rPr>
      <w:rFonts w:ascii="Symbol" w:hAnsi="Symbol" w:cs="Symbol"/>
      <w:sz w:val="20"/>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7z3">
    <w:name w:val="WW8Num37z3"/>
    <w:qFormat/>
    <w:rPr>
      <w:rFonts w:ascii="Symbol" w:hAnsi="Symbol" w:cs="Symbol"/>
    </w:rPr>
  </w:style>
  <w:style w:type="character" w:styleId="WW8Num38z0">
    <w:name w:val="WW8Num38z0"/>
    <w:qFormat/>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style>
  <w:style w:type="character" w:styleId="WW8Num41z0">
    <w:name w:val="WW8Num41z0"/>
    <w:qFormat/>
    <w:rPr/>
  </w:style>
  <w:style w:type="character" w:styleId="WW8Num43z0">
    <w:name w:val="WW8Num43z0"/>
    <w:qFormat/>
    <w:rPr/>
  </w:style>
  <w:style w:type="character" w:styleId="WW8Num43z1">
    <w:name w:val="WW8Num43z1"/>
    <w:qFormat/>
    <w:rPr>
      <w:b w:val="false"/>
      <w:sz w:val="20"/>
    </w:rPr>
  </w:style>
  <w:style w:type="character" w:styleId="WW8Num44z0">
    <w:name w:val="WW8Num44z0"/>
    <w:qFormat/>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49z2">
    <w:name w:val="WW8Num49z2"/>
    <w:qFormat/>
    <w:rPr>
      <w:rFonts w:ascii="Symbol" w:hAnsi="Symbol" w:cs="Symbol"/>
      <w:color w:val="000000"/>
    </w:rPr>
  </w:style>
  <w:style w:type="character" w:styleId="WW8Num50z0">
    <w:name w:val="WW8Num50z0"/>
    <w:qFormat/>
    <w:rPr/>
  </w:style>
  <w:style w:type="character" w:styleId="WW8Num51z0">
    <w:name w:val="WW8Num51z0"/>
    <w:qFormat/>
    <w:rPr>
      <w:rFonts w:ascii="Times New Roman" w:hAnsi="Times New Roman" w:cs="Times New Roman"/>
      <w:b w:val="false"/>
      <w:i w:val="false"/>
      <w:sz w:val="24"/>
    </w:rPr>
  </w:style>
  <w:style w:type="character" w:styleId="WW8Num52z0">
    <w:name w:val="WW8Num52z0"/>
    <w:qFormat/>
    <w:rPr/>
  </w:style>
  <w:style w:type="character" w:styleId="WW8Num54z0">
    <w:name w:val="WW8Num54z0"/>
    <w:qFormat/>
    <w:rPr/>
  </w:style>
  <w:style w:type="character" w:styleId="WW8Num55z0">
    <w:name w:val="WW8Num55z0"/>
    <w:qFormat/>
    <w:rPr/>
  </w:style>
  <w:style w:type="character" w:styleId="WW8Num57z0">
    <w:name w:val="WW8Num57z0"/>
    <w:qFormat/>
    <w:rPr>
      <w:rFonts w:ascii="Symbol" w:hAnsi="Symbol" w:cs="Symbol"/>
      <w:sz w:val="20"/>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7z3">
    <w:name w:val="WW8Num57z3"/>
    <w:qFormat/>
    <w:rPr>
      <w:rFonts w:ascii="Symbol" w:hAnsi="Symbol" w:cs="Symbol"/>
    </w:rPr>
  </w:style>
  <w:style w:type="character" w:styleId="WW8Num58z0">
    <w:name w:val="WW8Num58z0"/>
    <w:qFormat/>
    <w:rPr>
      <w:rFonts w:ascii="Wingdings" w:hAnsi="Wingdings" w:eastAsia="ＭＳ 明朝;MS Mincho" w:cs="Times New Roman"/>
    </w:rPr>
  </w:style>
  <w:style w:type="character" w:styleId="WW8Num58z1">
    <w:name w:val="WW8Num58z1"/>
    <w:qFormat/>
    <w:rPr>
      <w:rFonts w:ascii="Wingdings" w:hAnsi="Wingdings" w:cs="Wingdings"/>
    </w:rPr>
  </w:style>
  <w:style w:type="character" w:styleId="WW8Num59z0">
    <w:name w:val="WW8Num59z0"/>
    <w:qFormat/>
    <w:rPr/>
  </w:style>
  <w:style w:type="character" w:styleId="WW8Num60z0">
    <w:name w:val="WW8Num60z0"/>
    <w:qFormat/>
    <w:rPr/>
  </w:style>
  <w:style w:type="character" w:styleId="WW8Num62z0">
    <w:name w:val="WW8Num62z0"/>
    <w:qFormat/>
    <w:rPr/>
  </w:style>
  <w:style w:type="character" w:styleId="WW8Num63z0">
    <w:name w:val="WW8Num63z0"/>
    <w:qFormat/>
    <w:rPr>
      <w:rFonts w:ascii="Wingdings" w:hAnsi="Wingdings" w:cs="Wingdings"/>
    </w:rPr>
  </w:style>
  <w:style w:type="character" w:styleId="WW8Num63z1">
    <w:name w:val="WW8Num63z1"/>
    <w:qFormat/>
    <w:rPr>
      <w:rFonts w:ascii="Courier New" w:hAnsi="Courier New" w:cs="Courier New"/>
    </w:rPr>
  </w:style>
  <w:style w:type="character" w:styleId="WW8Num63z3">
    <w:name w:val="WW8Num63z3"/>
    <w:qFormat/>
    <w:rPr>
      <w:rFonts w:ascii="Symbol" w:hAnsi="Symbol" w:cs="Symbol"/>
    </w:rPr>
  </w:style>
  <w:style w:type="character" w:styleId="WW8Num64z0">
    <w:name w:val="WW8Num64z0"/>
    <w:qFormat/>
    <w:rPr/>
  </w:style>
  <w:style w:type="character" w:styleId="WW8Num65z0">
    <w:name w:val="WW8Num65z0"/>
    <w:qFormat/>
    <w:rPr>
      <w:rFonts w:ascii="Times New Roman" w:hAnsi="Times New Roman" w:cs="Times New Roman"/>
      <w:b w:val="false"/>
      <w:i w:val="false"/>
      <w:sz w:val="24"/>
    </w:rPr>
  </w:style>
  <w:style w:type="character" w:styleId="WW8Num66z0">
    <w:name w:val="WW8Num66z0"/>
    <w:qFormat/>
    <w:rPr>
      <w:rFonts w:ascii="Symbol" w:hAnsi="Symbol" w:eastAsia="Times New Roman" w:cs="Times New Roman"/>
    </w:rPr>
  </w:style>
  <w:style w:type="character" w:styleId="WW8Num66z1">
    <w:name w:val="WW8Num66z1"/>
    <w:qFormat/>
    <w:rPr>
      <w:rFonts w:ascii="Courier New" w:hAnsi="Courier New" w:cs="Courier New"/>
    </w:rPr>
  </w:style>
  <w:style w:type="character" w:styleId="WW8Num66z2">
    <w:name w:val="WW8Num66z2"/>
    <w:qFormat/>
    <w:rPr>
      <w:rFonts w:ascii="Wingdings" w:hAnsi="Wingdings" w:cs="Wingdings"/>
    </w:rPr>
  </w:style>
  <w:style w:type="character" w:styleId="WW8Num66z3">
    <w:name w:val="WW8Num66z3"/>
    <w:qFormat/>
    <w:rPr>
      <w:rFonts w:ascii="Symbol" w:hAnsi="Symbol" w:cs="Symbol"/>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8z0">
    <w:name w:val="WW8Num68z0"/>
    <w:qFormat/>
    <w:rPr/>
  </w:style>
  <w:style w:type="character" w:styleId="WW8Num69z0">
    <w:name w:val="WW8Num69z0"/>
    <w:qFormat/>
    <w:rPr/>
  </w:style>
  <w:style w:type="character" w:styleId="WW8Num71z0">
    <w:name w:val="WW8Num71z0"/>
    <w:qFormat/>
    <w:rPr/>
  </w:style>
  <w:style w:type="character" w:styleId="WW8Num73z0">
    <w:name w:val="WW8Num73z0"/>
    <w:qFormat/>
    <w:rPr/>
  </w:style>
  <w:style w:type="character" w:styleId="WW8Num74z0">
    <w:name w:val="WW8Num74z0"/>
    <w:qFormat/>
    <w:rPr/>
  </w:style>
  <w:style w:type="character" w:styleId="WW8Num75z0">
    <w:name w:val="WW8Num75z0"/>
    <w:qFormat/>
    <w:rPr>
      <w:rFonts w:ascii="Symbol" w:hAnsi="Symbol" w:cs="Symbol"/>
      <w:color w:val="000000"/>
    </w:rPr>
  </w:style>
  <w:style w:type="character" w:styleId="WW8Num75z1">
    <w:name w:val="WW8Num75z1"/>
    <w:qFormat/>
    <w:rPr>
      <w:rFonts w:ascii="Wingdings" w:hAnsi="Wingdings" w:cs="Wingdings"/>
    </w:rPr>
  </w:style>
  <w:style w:type="character" w:styleId="WW8Num76z0">
    <w:name w:val="WW8Num76z0"/>
    <w:qFormat/>
    <w:rPr/>
  </w:style>
  <w:style w:type="character" w:styleId="WW8Num77z0">
    <w:name w:val="WW8Num77z0"/>
    <w:qFormat/>
    <w:rPr>
      <w:rFonts w:ascii="Times New Roman" w:hAnsi="Times New Roman" w:eastAsia="Times New Roman" w:cs="Times New Roman"/>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7z3">
    <w:name w:val="WW8Num77z3"/>
    <w:qFormat/>
    <w:rPr>
      <w:rFonts w:ascii="Symbol" w:hAnsi="Symbol" w:cs="Symbol"/>
    </w:rPr>
  </w:style>
  <w:style w:type="character" w:styleId="WW8Num78z0">
    <w:name w:val="WW8Num78z0"/>
    <w:qFormat/>
    <w:rPr>
      <w:rFonts w:ascii="Wingdings" w:hAnsi="Wingdings" w:cs="Wingdings"/>
      <w:sz w:val="16"/>
    </w:rPr>
  </w:style>
  <w:style w:type="character" w:styleId="WW8Num78z1">
    <w:name w:val="WW8Num78z1"/>
    <w:qFormat/>
    <w:rPr>
      <w:rFonts w:ascii="Courier New" w:hAnsi="Courier New" w:cs="Courier New"/>
    </w:rPr>
  </w:style>
  <w:style w:type="character" w:styleId="WW8Num78z2">
    <w:name w:val="WW8Num78z2"/>
    <w:qFormat/>
    <w:rPr>
      <w:rFonts w:ascii="Wingdings" w:hAnsi="Wingdings" w:cs="Wingdings"/>
    </w:rPr>
  </w:style>
  <w:style w:type="character" w:styleId="WW8Num78z3">
    <w:name w:val="WW8Num78z3"/>
    <w:qFormat/>
    <w:rPr>
      <w:rFonts w:ascii="Symbol" w:hAnsi="Symbol" w:cs="Symbol"/>
    </w:rPr>
  </w:style>
  <w:style w:type="character" w:styleId="WW8Num79z0">
    <w:name w:val="WW8Num79z0"/>
    <w:qFormat/>
    <w:rPr/>
  </w:style>
  <w:style w:type="character" w:styleId="WW8Num81z0">
    <w:name w:val="WW8Num81z0"/>
    <w:qFormat/>
    <w:rPr>
      <w:rFonts w:ascii="Symbol" w:hAnsi="Symbol" w:eastAsia="Times New Roman" w:cs="Times New Roman"/>
    </w:rPr>
  </w:style>
  <w:style w:type="character" w:styleId="WW8Num81z1">
    <w:name w:val="WW8Num81z1"/>
    <w:qFormat/>
    <w:rPr>
      <w:rFonts w:ascii="Courier New" w:hAnsi="Courier New" w:cs="Courier New"/>
    </w:rPr>
  </w:style>
  <w:style w:type="character" w:styleId="WW8Num81z2">
    <w:name w:val="WW8Num81z2"/>
    <w:qFormat/>
    <w:rPr>
      <w:rFonts w:ascii="Wingdings" w:hAnsi="Wingdings" w:cs="Wingdings"/>
    </w:rPr>
  </w:style>
  <w:style w:type="character" w:styleId="WW8Num81z3">
    <w:name w:val="WW8Num81z3"/>
    <w:qFormat/>
    <w:rPr>
      <w:rFonts w:ascii="Symbol" w:hAnsi="Symbol" w:cs="Symbol"/>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rFonts w:ascii="Wingdings" w:hAnsi="Wingdings" w:cs="Wingdings"/>
      <w:sz w:val="16"/>
    </w:rPr>
  </w:style>
  <w:style w:type="character" w:styleId="WW8Num87z1">
    <w:name w:val="WW8Num87z1"/>
    <w:qFormat/>
    <w:rPr>
      <w:rFonts w:ascii="Courier New" w:hAnsi="Courier New" w:cs="Courier New"/>
    </w:rPr>
  </w:style>
  <w:style w:type="character" w:styleId="WW8Num87z2">
    <w:name w:val="WW8Num87z2"/>
    <w:qFormat/>
    <w:rPr>
      <w:rFonts w:ascii="Wingdings" w:hAnsi="Wingdings" w:cs="Wingdings"/>
    </w:rPr>
  </w:style>
  <w:style w:type="character" w:styleId="WW8Num87z3">
    <w:name w:val="WW8Num87z3"/>
    <w:qFormat/>
    <w:rPr>
      <w:rFonts w:ascii="Symbol" w:hAnsi="Symbol" w:cs="Symbol"/>
    </w:rPr>
  </w:style>
  <w:style w:type="character" w:styleId="WW8Num88z0">
    <w:name w:val="WW8Num88z0"/>
    <w:qFormat/>
    <w:rPr/>
  </w:style>
  <w:style w:type="character" w:styleId="WW8Num89z0">
    <w:name w:val="WW8Num89z0"/>
    <w:qFormat/>
    <w:rPr/>
  </w:style>
  <w:style w:type="character" w:styleId="WW8Num89z5">
    <w:name w:val="WW8Num89z5"/>
    <w:qFormat/>
    <w:rPr>
      <w:rFonts w:ascii="Times New Roman" w:hAnsi="Times New Roman" w:eastAsia="ＭＳ 明朝;MS Mincho" w:cs="Times New Roman"/>
    </w:rPr>
  </w:style>
  <w:style w:type="character" w:styleId="WW8Num90z0">
    <w:name w:val="WW8Num90z0"/>
    <w:qFormat/>
    <w:rPr>
      <w:rFonts w:ascii="Wingdings" w:hAnsi="Wingdings" w:cs="Wingdings"/>
      <w:sz w:val="16"/>
    </w:rPr>
  </w:style>
  <w:style w:type="character" w:styleId="WW8Num90z1">
    <w:name w:val="WW8Num90z1"/>
    <w:qFormat/>
    <w:rPr>
      <w:rFonts w:ascii="Courier New" w:hAnsi="Courier New" w:cs="Courier New"/>
    </w:rPr>
  </w:style>
  <w:style w:type="character" w:styleId="WW8Num90z2">
    <w:name w:val="WW8Num90z2"/>
    <w:qFormat/>
    <w:rPr>
      <w:rFonts w:ascii="Wingdings" w:hAnsi="Wingdings" w:cs="Wingdings"/>
    </w:rPr>
  </w:style>
  <w:style w:type="character" w:styleId="WW8Num90z3">
    <w:name w:val="WW8Num90z3"/>
    <w:qFormat/>
    <w:rPr>
      <w:rFonts w:ascii="Symbol" w:hAnsi="Symbol" w:cs="Symbol"/>
    </w:rPr>
  </w:style>
  <w:style w:type="character" w:styleId="WW8Num92z0">
    <w:name w:val="WW8Num92z0"/>
    <w:qFormat/>
    <w:rPr>
      <w:rFonts w:ascii="Symbol" w:hAnsi="Symbol" w:eastAsia="ＭＳ 明朝;MS Mincho" w:cs="Arial"/>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2z3">
    <w:name w:val="WW8Num92z3"/>
    <w:qFormat/>
    <w:rPr>
      <w:rFonts w:ascii="Symbol" w:hAnsi="Symbol" w:cs="Symbol"/>
    </w:rPr>
  </w:style>
  <w:style w:type="character" w:styleId="WW8Num93z0">
    <w:name w:val="WW8Num93z0"/>
    <w:qFormat/>
    <w:rPr>
      <w:rFonts w:ascii="Times New Roman" w:hAnsi="Times New Roman" w:cs="Times New Roman"/>
      <w:b w:val="false"/>
      <w:i w:val="false"/>
      <w:sz w:val="24"/>
    </w:rPr>
  </w:style>
  <w:style w:type="character" w:styleId="WW8Num93z3">
    <w:name w:val="WW8Num93z3"/>
    <w:qFormat/>
    <w:rPr/>
  </w:style>
  <w:style w:type="character" w:styleId="WW8Num94z0">
    <w:name w:val="WW8Num94z0"/>
    <w:qFormat/>
    <w:rPr/>
  </w:style>
  <w:style w:type="character" w:styleId="WW8Num94z1">
    <w:name w:val="WW8Num94z1"/>
    <w:qFormat/>
    <w:rPr/>
  </w:style>
  <w:style w:type="character" w:styleId="WW8Num95z0">
    <w:name w:val="WW8Num95z0"/>
    <w:qFormat/>
    <w:rPr/>
  </w:style>
  <w:style w:type="character" w:styleId="WW8Num96z0">
    <w:name w:val="WW8Num96z0"/>
    <w:qFormat/>
    <w:rPr>
      <w:rFonts w:ascii="Wingdings" w:hAnsi="Wingdings" w:cs="Wingdings"/>
      <w:sz w:val="16"/>
    </w:rPr>
  </w:style>
  <w:style w:type="character" w:styleId="WW8Num96z1">
    <w:name w:val="WW8Num96z1"/>
    <w:qFormat/>
    <w:rPr>
      <w:rFonts w:ascii="Courier New" w:hAnsi="Courier New" w:cs="Courier New"/>
    </w:rPr>
  </w:style>
  <w:style w:type="character" w:styleId="WW8Num96z2">
    <w:name w:val="WW8Num96z2"/>
    <w:qFormat/>
    <w:rPr>
      <w:rFonts w:ascii="Wingdings" w:hAnsi="Wingdings" w:cs="Wingdings"/>
    </w:rPr>
  </w:style>
  <w:style w:type="character" w:styleId="WW8Num96z3">
    <w:name w:val="WW8Num96z3"/>
    <w:qFormat/>
    <w:rPr>
      <w:rFonts w:ascii="Symbol" w:hAnsi="Symbol" w:cs="Symbol"/>
    </w:rPr>
  </w:style>
  <w:style w:type="character" w:styleId="WW8Num97z0">
    <w:name w:val="WW8Num97z0"/>
    <w:qFormat/>
    <w:rPr>
      <w:rFonts w:ascii="Symbol" w:hAnsi="Symbol" w:cs="Symbol"/>
    </w:rPr>
  </w:style>
  <w:style w:type="character" w:styleId="WW8Num97z1">
    <w:name w:val="WW8Num97z1"/>
    <w:qFormat/>
    <w:rPr>
      <w:rFonts w:ascii="Courier New" w:hAnsi="Courier New" w:cs="Courier New"/>
    </w:rPr>
  </w:style>
  <w:style w:type="character" w:styleId="WW8Num97z2">
    <w:name w:val="WW8Num97z2"/>
    <w:qFormat/>
    <w:rPr>
      <w:rFonts w:ascii="Wingdings" w:hAnsi="Wingdings" w:cs="Wingdings"/>
    </w:rPr>
  </w:style>
  <w:style w:type="character" w:styleId="WW8Num98z0">
    <w:name w:val="WW8Num98z0"/>
    <w:qFormat/>
    <w:rPr>
      <w:rFonts w:ascii="Symbol" w:hAnsi="Symbol" w:cs="Symbol"/>
      <w:sz w:val="20"/>
    </w:rPr>
  </w:style>
  <w:style w:type="character" w:styleId="WW8Num98z1">
    <w:name w:val="WW8Num98z1"/>
    <w:qFormat/>
    <w:rPr>
      <w:rFonts w:ascii="Courier New" w:hAnsi="Courier New" w:cs="Courier New"/>
    </w:rPr>
  </w:style>
  <w:style w:type="character" w:styleId="WW8Num98z2">
    <w:name w:val="WW8Num98z2"/>
    <w:qFormat/>
    <w:rPr>
      <w:rFonts w:ascii="Wingdings" w:hAnsi="Wingdings" w:cs="Wingdings"/>
    </w:rPr>
  </w:style>
  <w:style w:type="character" w:styleId="WW8Num98z3">
    <w:name w:val="WW8Num98z3"/>
    <w:qFormat/>
    <w:rPr>
      <w:rFonts w:ascii="Symbol" w:hAnsi="Symbol" w:cs="Symbol"/>
    </w:rPr>
  </w:style>
  <w:style w:type="character" w:styleId="WW8Num99z0">
    <w:name w:val="WW8Num99z0"/>
    <w:qFormat/>
    <w:rPr>
      <w:rFonts w:ascii="Times New Roman" w:hAnsi="Times New Roman" w:cs="Times New Roman"/>
      <w:b w:val="false"/>
      <w:i w:val="false"/>
      <w:sz w:val="24"/>
    </w:rPr>
  </w:style>
  <w:style w:type="character" w:styleId="WW8Num100z0">
    <w:name w:val="WW8Num100z0"/>
    <w:qFormat/>
    <w:rPr>
      <w:rFonts w:ascii="Symbol" w:hAnsi="Symbol" w:eastAsia="ＭＳ 明朝;MS Mincho" w:cs="Times New Roman"/>
      <w:color w:val="000000"/>
    </w:rPr>
  </w:style>
  <w:style w:type="character" w:styleId="WW8Num100z1">
    <w:name w:val="WW8Num100z1"/>
    <w:qFormat/>
    <w:rPr>
      <w:rFonts w:ascii="Wingdings" w:hAnsi="Wingdings" w:cs="Wingdings"/>
    </w:rPr>
  </w:style>
  <w:style w:type="character" w:styleId="WW8Num101z0">
    <w:name w:val="WW8Num101z0"/>
    <w:qFormat/>
    <w:rPr/>
  </w:style>
  <w:style w:type="character" w:styleId="WW8Num102z0">
    <w:name w:val="WW8Num102z0"/>
    <w:qFormat/>
    <w:rPr>
      <w:rFonts w:ascii="Wingdings" w:hAnsi="Wingdings" w:cs="Wingdings"/>
      <w:sz w:val="16"/>
    </w:rPr>
  </w:style>
  <w:style w:type="character" w:styleId="WW8Num102z1">
    <w:name w:val="WW8Num102z1"/>
    <w:qFormat/>
    <w:rPr>
      <w:rFonts w:ascii="Courier New" w:hAnsi="Courier New" w:cs="Courier New"/>
    </w:rPr>
  </w:style>
  <w:style w:type="character" w:styleId="WW8Num102z2">
    <w:name w:val="WW8Num102z2"/>
    <w:qFormat/>
    <w:rPr>
      <w:rFonts w:ascii="Wingdings" w:hAnsi="Wingdings" w:cs="Wingdings"/>
    </w:rPr>
  </w:style>
  <w:style w:type="character" w:styleId="WW8Num102z3">
    <w:name w:val="WW8Num102z3"/>
    <w:qFormat/>
    <w:rPr>
      <w:rFonts w:ascii="Symbol" w:hAnsi="Symbol" w:cs="Symbol"/>
    </w:rPr>
  </w:style>
  <w:style w:type="character" w:styleId="WW8Num103z0">
    <w:name w:val="WW8Num103z0"/>
    <w:qFormat/>
    <w:rPr>
      <w:rFonts w:ascii="Wingdings" w:hAnsi="Wingdings" w:eastAsia="ＭＳ 明朝;MS Mincho" w:cs="Times New Roman"/>
    </w:rPr>
  </w:style>
  <w:style w:type="character" w:styleId="WW8Num103z1">
    <w:name w:val="WW8Num103z1"/>
    <w:qFormat/>
    <w:rPr>
      <w:rFonts w:ascii="Wingdings" w:hAnsi="Wingdings" w:cs="Wingdings"/>
    </w:rPr>
  </w:style>
  <w:style w:type="character" w:styleId="WW8Num104z0">
    <w:name w:val="WW8Num104z0"/>
    <w:qFormat/>
    <w:rPr>
      <w:rFonts w:ascii="Times New Roman" w:hAnsi="Times New Roman" w:cs="Times New Roman"/>
      <w:b w:val="false"/>
      <w:i w:val="false"/>
      <w:sz w:val="24"/>
    </w:rPr>
  </w:style>
  <w:style w:type="character" w:styleId="WW8Num106z0">
    <w:name w:val="WW8Num106z0"/>
    <w:qFormat/>
    <w:rPr>
      <w:rFonts w:ascii="Symbol" w:hAnsi="Symbol" w:cs="Symbol"/>
      <w:color w:val="000000"/>
    </w:rPr>
  </w:style>
  <w:style w:type="character" w:styleId="WW8Num106z1">
    <w:name w:val="WW8Num106z1"/>
    <w:qFormat/>
    <w:rPr>
      <w:rFonts w:ascii="Wingdings" w:hAnsi="Wingdings" w:cs="Wingdings"/>
    </w:rPr>
  </w:style>
  <w:style w:type="character" w:styleId="WW8Num107z0">
    <w:name w:val="WW8Num107z0"/>
    <w:qFormat/>
    <w:rPr>
      <w:rFonts w:ascii="Times New Roman" w:hAnsi="Times New Roman" w:cs="Times New Roman"/>
      <w:b w:val="false"/>
      <w:i w:val="false"/>
      <w:sz w:val="20"/>
    </w:rPr>
  </w:style>
  <w:style w:type="character" w:styleId="WW8Num108z0">
    <w:name w:val="WW8Num108z0"/>
    <w:qFormat/>
    <w:rPr>
      <w:rFonts w:ascii="Wingdings" w:hAnsi="Wingdings" w:cs="Wingdings"/>
      <w:sz w:val="16"/>
    </w:rPr>
  </w:style>
  <w:style w:type="character" w:styleId="WW8Num108z1">
    <w:name w:val="WW8Num108z1"/>
    <w:qFormat/>
    <w:rPr>
      <w:rFonts w:ascii="Courier New" w:hAnsi="Courier New" w:cs="Courier New"/>
    </w:rPr>
  </w:style>
  <w:style w:type="character" w:styleId="WW8Num108z2">
    <w:name w:val="WW8Num108z2"/>
    <w:qFormat/>
    <w:rPr>
      <w:rFonts w:ascii="Wingdings" w:hAnsi="Wingdings" w:cs="Wingdings"/>
    </w:rPr>
  </w:style>
  <w:style w:type="character" w:styleId="WW8Num108z3">
    <w:name w:val="WW8Num108z3"/>
    <w:qFormat/>
    <w:rPr>
      <w:rFonts w:ascii="Symbol" w:hAnsi="Symbol" w:cs="Symbol"/>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4z0">
    <w:name w:val="WW8Num114z0"/>
    <w:qFormat/>
    <w:rPr/>
  </w:style>
  <w:style w:type="character" w:styleId="WW8Num115z0">
    <w:name w:val="WW8Num115z0"/>
    <w:qFormat/>
    <w:rPr>
      <w:rFonts w:ascii="Wingdings" w:hAnsi="Wingdings" w:cs="Wingdings"/>
      <w:sz w:val="16"/>
    </w:rPr>
  </w:style>
  <w:style w:type="character" w:styleId="WW8Num115z1">
    <w:name w:val="WW8Num115z1"/>
    <w:qFormat/>
    <w:rPr>
      <w:rFonts w:ascii="Courier New" w:hAnsi="Courier New" w:cs="Courier New"/>
    </w:rPr>
  </w:style>
  <w:style w:type="character" w:styleId="WW8Num115z2">
    <w:name w:val="WW8Num115z2"/>
    <w:qFormat/>
    <w:rPr>
      <w:rFonts w:ascii="Wingdings" w:hAnsi="Wingdings" w:cs="Wingdings"/>
    </w:rPr>
  </w:style>
  <w:style w:type="character" w:styleId="WW8Num115z3">
    <w:name w:val="WW8Num115z3"/>
    <w:qFormat/>
    <w:rPr>
      <w:rFonts w:ascii="Symbol" w:hAnsi="Symbol" w:cs="Symbol"/>
    </w:rPr>
  </w:style>
  <w:style w:type="character" w:styleId="WW8Num117z0">
    <w:name w:val="WW8Num117z0"/>
    <w:qFormat/>
    <w:rPr>
      <w:rFonts w:ascii="Times New Roman" w:hAnsi="Times New Roman" w:cs="Times New Roman"/>
      <w:b w:val="false"/>
      <w:i w:val="false"/>
      <w:sz w:val="24"/>
    </w:rPr>
  </w:style>
  <w:style w:type="character" w:styleId="WW8Num118z0">
    <w:name w:val="WW8Num118z0"/>
    <w:qFormat/>
    <w:rPr>
      <w:rFonts w:ascii="Wingdings" w:hAnsi="Wingdings" w:eastAsia="ＭＳ 明朝;MS Mincho" w:cs="Times New Roman"/>
    </w:rPr>
  </w:style>
  <w:style w:type="character" w:styleId="WW8Num118z1">
    <w:name w:val="WW8Num118z1"/>
    <w:qFormat/>
    <w:rPr>
      <w:rFonts w:ascii="Wingdings" w:hAnsi="Wingdings" w:cs="Wingdings"/>
    </w:rPr>
  </w:style>
  <w:style w:type="character" w:styleId="WW8Num120z0">
    <w:name w:val="WW8Num120z0"/>
    <w:qFormat/>
    <w:rPr/>
  </w:style>
  <w:style w:type="character" w:styleId="WW8Num122z0">
    <w:name w:val="WW8Num122z0"/>
    <w:qFormat/>
    <w:rPr>
      <w:rFonts w:ascii="Wingdings" w:hAnsi="Wingdings" w:cs="Wingdings"/>
      <w:sz w:val="16"/>
    </w:rPr>
  </w:style>
  <w:style w:type="character" w:styleId="WW8Num122z1">
    <w:name w:val="WW8Num122z1"/>
    <w:qFormat/>
    <w:rPr>
      <w:rFonts w:ascii="Courier New" w:hAnsi="Courier New" w:cs="Courier New"/>
    </w:rPr>
  </w:style>
  <w:style w:type="character" w:styleId="WW8Num122z2">
    <w:name w:val="WW8Num122z2"/>
    <w:qFormat/>
    <w:rPr>
      <w:rFonts w:ascii="Wingdings" w:hAnsi="Wingdings" w:cs="Wingdings"/>
    </w:rPr>
  </w:style>
  <w:style w:type="character" w:styleId="WW8Num122z3">
    <w:name w:val="WW8Num122z3"/>
    <w:qFormat/>
    <w:rPr>
      <w:rFonts w:ascii="Symbol" w:hAnsi="Symbol" w:cs="Symbol"/>
    </w:rPr>
  </w:style>
  <w:style w:type="character" w:styleId="WW8Num123z0">
    <w:name w:val="WW8Num123z0"/>
    <w:qFormat/>
    <w:rPr/>
  </w:style>
  <w:style w:type="character" w:styleId="WW8Num125z0">
    <w:name w:val="WW8Num125z0"/>
    <w:qFormat/>
    <w:rPr>
      <w:rFonts w:ascii="Symbol" w:hAnsi="Symbol" w:eastAsia="ＭＳ 明朝;MS Mincho" w:cs="Times New Roman"/>
      <w:color w:val="000000"/>
    </w:rPr>
  </w:style>
  <w:style w:type="character" w:styleId="WW8Num125z1">
    <w:name w:val="WW8Num125z1"/>
    <w:qFormat/>
    <w:rPr>
      <w:rFonts w:ascii="Courier New" w:hAnsi="Courier New" w:cs="Courier New"/>
    </w:rPr>
  </w:style>
  <w:style w:type="character" w:styleId="WW8Num125z2">
    <w:name w:val="WW8Num125z2"/>
    <w:qFormat/>
    <w:rPr>
      <w:rFonts w:ascii="Wingdings" w:hAnsi="Wingdings" w:cs="Wingdings"/>
    </w:rPr>
  </w:style>
  <w:style w:type="character" w:styleId="WW8Num125z3">
    <w:name w:val="WW8Num125z3"/>
    <w:qFormat/>
    <w:rPr>
      <w:rFonts w:ascii="Symbol" w:hAnsi="Symbol" w:cs="Symbol"/>
    </w:rPr>
  </w:style>
  <w:style w:type="character" w:styleId="WW8Num126z0">
    <w:name w:val="WW8Num126z0"/>
    <w:qFormat/>
    <w:rPr/>
  </w:style>
  <w:style w:type="character" w:styleId="WW8Num127z0">
    <w:name w:val="WW8Num127z0"/>
    <w:qFormat/>
    <w:rPr/>
  </w:style>
  <w:style w:type="character" w:styleId="WW8Num128z0">
    <w:name w:val="WW8Num128z0"/>
    <w:qFormat/>
    <w:rPr/>
  </w:style>
  <w:style w:type="character" w:styleId="WW8Num130z0">
    <w:name w:val="WW8Num130z0"/>
    <w:qFormat/>
    <w:rPr/>
  </w:style>
  <w:style w:type="character" w:styleId="WW8Num131z0">
    <w:name w:val="WW8Num131z0"/>
    <w:qFormat/>
    <w:rPr/>
  </w:style>
  <w:style w:type="character" w:styleId="WW8Num133z0">
    <w:name w:val="WW8Num133z0"/>
    <w:qFormat/>
    <w:rPr/>
  </w:style>
  <w:style w:type="character" w:styleId="WW8Num134z0">
    <w:name w:val="WW8Num134z0"/>
    <w:qFormat/>
    <w:rPr/>
  </w:style>
  <w:style w:type="character" w:styleId="WW8Num135z0">
    <w:name w:val="WW8Num135z0"/>
    <w:qFormat/>
    <w:rPr>
      <w:rFonts w:ascii="Symbol" w:hAnsi="Symbol" w:cs="Symbol"/>
    </w:rPr>
  </w:style>
  <w:style w:type="character" w:styleId="WW8Num135z1">
    <w:name w:val="WW8Num135z1"/>
    <w:qFormat/>
    <w:rPr>
      <w:rFonts w:ascii="Courier New" w:hAnsi="Courier New" w:cs="Courier New"/>
    </w:rPr>
  </w:style>
  <w:style w:type="character" w:styleId="WW8Num135z2">
    <w:name w:val="WW8Num135z2"/>
    <w:qFormat/>
    <w:rPr>
      <w:rFonts w:ascii="Wingdings" w:hAnsi="Wingdings" w:cs="Wingdings"/>
    </w:rPr>
  </w:style>
  <w:style w:type="character" w:styleId="WW8Num136z0">
    <w:name w:val="WW8Num136z0"/>
    <w:qFormat/>
    <w:rPr/>
  </w:style>
  <w:style w:type="character" w:styleId="WW8Num137z0">
    <w:name w:val="WW8Num137z0"/>
    <w:qFormat/>
    <w:rPr>
      <w:rFonts w:ascii="Symbol" w:hAnsi="Symbol" w:cs="Symbol"/>
    </w:rPr>
  </w:style>
  <w:style w:type="character" w:styleId="WW8Num137z1">
    <w:name w:val="WW8Num137z1"/>
    <w:qFormat/>
    <w:rPr>
      <w:rFonts w:ascii="Courier New" w:hAnsi="Courier New" w:cs="Courier New"/>
    </w:rPr>
  </w:style>
  <w:style w:type="character" w:styleId="WW8Num137z2">
    <w:name w:val="WW8Num137z2"/>
    <w:qFormat/>
    <w:rPr>
      <w:rFonts w:ascii="Wingdings" w:hAnsi="Wingdings" w:cs="Wingdings"/>
    </w:rPr>
  </w:style>
  <w:style w:type="character" w:styleId="WW8Num138z0">
    <w:name w:val="WW8Num138z0"/>
    <w:qFormat/>
    <w:rPr/>
  </w:style>
  <w:style w:type="character" w:styleId="WW8Num138z3">
    <w:name w:val="WW8Num138z3"/>
    <w:qFormat/>
    <w:rPr>
      <w:rFonts w:ascii="Times New Roman" w:hAnsi="Times New Roman" w:eastAsia="ＭＳ 明朝;MS Mincho" w:cs="Times New Roman"/>
    </w:rPr>
  </w:style>
  <w:style w:type="character" w:styleId="WW8Num139z0">
    <w:name w:val="WW8Num139z0"/>
    <w:qFormat/>
    <w:rPr/>
  </w:style>
  <w:style w:type="character" w:styleId="WW8Num140z0">
    <w:name w:val="WW8Num140z0"/>
    <w:qFormat/>
    <w:rPr/>
  </w:style>
  <w:style w:type="character" w:styleId="WW8Num141z0">
    <w:name w:val="WW8Num141z0"/>
    <w:qFormat/>
    <w:rPr>
      <w:rFonts w:ascii="Wingdings" w:hAnsi="Wingdings" w:eastAsia="ＭＳ 明朝;MS Mincho" w:cs="Times New Roman"/>
    </w:rPr>
  </w:style>
  <w:style w:type="character" w:styleId="WW8Num141z1">
    <w:name w:val="WW8Num141z1"/>
    <w:qFormat/>
    <w:rPr>
      <w:rFonts w:ascii="Wingdings" w:hAnsi="Wingdings" w:cs="Wingdings"/>
    </w:rPr>
  </w:style>
  <w:style w:type="character" w:styleId="WW8Num142z0">
    <w:name w:val="WW8Num142z0"/>
    <w:qFormat/>
    <w:rPr/>
  </w:style>
  <w:style w:type="character" w:styleId="WW8Num143z0">
    <w:name w:val="WW8Num143z0"/>
    <w:qFormat/>
    <w:rPr>
      <w:rFonts w:ascii="Times New Roman" w:hAnsi="Times New Roman" w:cs="Times New Roman"/>
      <w:b w:val="false"/>
      <w:i w:val="false"/>
      <w:sz w:val="20"/>
    </w:rPr>
  </w:style>
  <w:style w:type="character" w:styleId="WW8Num145z0">
    <w:name w:val="WW8Num145z0"/>
    <w:qFormat/>
    <w:rPr>
      <w:rFonts w:ascii="Wingdings" w:hAnsi="Wingdings" w:eastAsia="ＭＳ 明朝;MS Mincho" w:cs="Times New Roman"/>
    </w:rPr>
  </w:style>
  <w:style w:type="character" w:styleId="WW8Num145z1">
    <w:name w:val="WW8Num145z1"/>
    <w:qFormat/>
    <w:rPr>
      <w:rFonts w:ascii="Wingdings" w:hAnsi="Wingdings" w:cs="Wingdings"/>
    </w:rPr>
  </w:style>
  <w:style w:type="character" w:styleId="WW8Num145z2">
    <w:name w:val="WW8Num145z2"/>
    <w:qFormat/>
    <w:rPr>
      <w:rFonts w:ascii="Symbol" w:hAnsi="Symbol" w:cs="Symbol"/>
      <w:color w:val="000000"/>
    </w:rPr>
  </w:style>
  <w:style w:type="character" w:styleId="WW8Num146z0">
    <w:name w:val="WW8Num146z0"/>
    <w:qFormat/>
    <w:rPr>
      <w:rFonts w:ascii="Wingdings" w:hAnsi="Wingdings" w:cs="Wingdings"/>
      <w:sz w:val="16"/>
    </w:rPr>
  </w:style>
  <w:style w:type="character" w:styleId="WW8Num146z1">
    <w:name w:val="WW8Num146z1"/>
    <w:qFormat/>
    <w:rPr>
      <w:rFonts w:ascii="Courier New" w:hAnsi="Courier New" w:cs="Courier New"/>
    </w:rPr>
  </w:style>
  <w:style w:type="character" w:styleId="WW8Num146z2">
    <w:name w:val="WW8Num146z2"/>
    <w:qFormat/>
    <w:rPr>
      <w:rFonts w:ascii="Wingdings" w:hAnsi="Wingdings" w:cs="Wingdings"/>
    </w:rPr>
  </w:style>
  <w:style w:type="character" w:styleId="WW8Num146z3">
    <w:name w:val="WW8Num146z3"/>
    <w:qFormat/>
    <w:rPr>
      <w:rFonts w:ascii="Symbol" w:hAnsi="Symbol" w:cs="Symbol"/>
    </w:rPr>
  </w:style>
  <w:style w:type="character" w:styleId="WW8Num147z0">
    <w:name w:val="WW8Num147z0"/>
    <w:qFormat/>
    <w:rPr/>
  </w:style>
  <w:style w:type="character" w:styleId="WW8Num148z0">
    <w:name w:val="WW8Num148z0"/>
    <w:qFormat/>
    <w:rPr>
      <w:rFonts w:ascii="Symbol" w:hAnsi="Symbol" w:cs="Symbol"/>
      <w:sz w:val="20"/>
    </w:rPr>
  </w:style>
  <w:style w:type="character" w:styleId="WW8Num148z1">
    <w:name w:val="WW8Num148z1"/>
    <w:qFormat/>
    <w:rPr>
      <w:rFonts w:ascii="Courier New" w:hAnsi="Courier New" w:cs="Courier New"/>
    </w:rPr>
  </w:style>
  <w:style w:type="character" w:styleId="WW8Num148z2">
    <w:name w:val="WW8Num148z2"/>
    <w:qFormat/>
    <w:rPr>
      <w:rFonts w:ascii="Wingdings" w:hAnsi="Wingdings" w:cs="Wingdings"/>
    </w:rPr>
  </w:style>
  <w:style w:type="character" w:styleId="WW8Num148z3">
    <w:name w:val="WW8Num148z3"/>
    <w:qFormat/>
    <w:rPr>
      <w:rFonts w:ascii="Symbol" w:hAnsi="Symbol" w:cs="Symbol"/>
    </w:rPr>
  </w:style>
  <w:style w:type="character" w:styleId="WW8Num149z0">
    <w:name w:val="WW8Num149z0"/>
    <w:qFormat/>
    <w:rPr/>
  </w:style>
  <w:style w:type="character" w:styleId="WW8Num150z0">
    <w:name w:val="WW8Num150z0"/>
    <w:qFormat/>
    <w:rPr/>
  </w:style>
  <w:style w:type="character" w:styleId="WW8Num151z0">
    <w:name w:val="WW8Num151z0"/>
    <w:qFormat/>
    <w:rPr/>
  </w:style>
  <w:style w:type="character" w:styleId="WW8Num152z0">
    <w:name w:val="WW8Num152z0"/>
    <w:qFormat/>
    <w:rPr>
      <w:rFonts w:ascii="Times New Roman" w:hAnsi="Times New Roman" w:cs="Times New Roman"/>
      <w:b w:val="false"/>
      <w:i w:val="false"/>
      <w:sz w:val="24"/>
    </w:rPr>
  </w:style>
  <w:style w:type="character" w:styleId="WW8Num153z0">
    <w:name w:val="WW8Num153z0"/>
    <w:qFormat/>
    <w:rPr/>
  </w:style>
  <w:style w:type="character" w:styleId="WW8Num155z0">
    <w:name w:val="WW8Num155z0"/>
    <w:qFormat/>
    <w:rPr>
      <w:rFonts w:ascii="Times New Roman" w:hAnsi="Times New Roman" w:cs="Times New Roman"/>
      <w:b w:val="false"/>
      <w:i w:val="false"/>
      <w:sz w:val="24"/>
    </w:rPr>
  </w:style>
  <w:style w:type="character" w:styleId="WW8Num156z0">
    <w:name w:val="WW8Num156z0"/>
    <w:qFormat/>
    <w:rPr>
      <w:rFonts w:ascii="ＭＳ 明朝;MS Mincho" w:hAnsi="ＭＳ 明朝;MS Mincho" w:eastAsia="ＭＳ 明朝;MS Mincho" w:cs="Times New Roman"/>
    </w:rPr>
  </w:style>
  <w:style w:type="character" w:styleId="WW8Num157z0">
    <w:name w:val="WW8Num157z0"/>
    <w:qFormat/>
    <w:rPr/>
  </w:style>
  <w:style w:type="character" w:styleId="WW8Num158z0">
    <w:name w:val="WW8Num158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eastAsia="ＭＳ 明朝;MS Mincho"/>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aws">
    <w:name w:val="Laws"/>
    <w:basedOn w:val="Heading1"/>
    <w:qFormat/>
    <w:pPr>
      <w:numPr>
        <w:ilvl w:val="0"/>
        <w:numId w:val="5"/>
      </w:numPr>
      <w:spacing w:before="0" w:after="0"/>
      <w:outlineLvl w:val="9"/>
    </w:pPr>
    <w:rPr>
      <w:rFonts w:ascii="Times New Roman" w:hAnsi="Times New Roman" w:cs="Times New Roman"/>
      <w:sz w:val="24"/>
    </w:rPr>
  </w:style>
  <w:style w:type="paragraph" w:styleId="EPowerNo">
    <w:name w:val="EPower No."/>
    <w:basedOn w:val="Laws"/>
    <w:qFormat/>
    <w:pPr>
      <w:numPr>
        <w:ilvl w:val="0"/>
        <w:numId w:val="2"/>
      </w:numPr>
    </w:pPr>
    <w:rPr/>
  </w:style>
  <w:style w:type="paragraph" w:styleId="BodyText3">
    <w:name w:val="Body Text 3"/>
    <w:basedOn w:val="Normal"/>
    <w:qFormat/>
    <w:pPr>
      <w:jc w:val="center"/>
    </w:pPr>
    <w:rPr>
      <w:rFonts w:eastAsia="ＭＳ 明朝;MS Mincho"/>
      <w:sz w:val="48"/>
    </w:rPr>
  </w:style>
  <w:style w:type="paragraph" w:styleId="Normalparagraph">
    <w:name w:val="Normal paragraph"/>
    <w:basedOn w:val="BodyText"/>
    <w:qFormat/>
    <w:pPr>
      <w:spacing w:before="20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eastAsia="ＭＳ 明朝;MS Mincho"/>
    </w:rPr>
  </w:style>
  <w:style w:type="paragraph" w:styleId="Footer">
    <w:name w:val="footer"/>
    <w:basedOn w:val="Normal"/>
    <w:pPr>
      <w:tabs>
        <w:tab w:val="clear" w:pos="720"/>
        <w:tab w:val="center" w:pos="4320" w:leader="none"/>
        <w:tab w:val="right" w:pos="8640" w:leader="none"/>
      </w:tabs>
    </w:pPr>
    <w:rPr>
      <w:rFonts w:eastAsia="ＭＳ 明朝;MS Mincho"/>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2001-06-15T09:21:00Z</dcterms:created>
  <dc:creator>Mark Crowther</dc:creator>
  <dc:description/>
  <dc:language>en-CA</dc:language>
  <cp:lastModifiedBy>Mark Crowther</cp:lastModifiedBy>
  <dcterms:modified xsi:type="dcterms:W3CDTF">2001-06-15T09:24:00Z</dcterms:modified>
  <cp:revision>1</cp:revision>
  <dc:subject/>
  <dc:title>Preliminary Regulatory Review of Independent Thermal Power Plant Development by EPower in Japan</dc:title>
</cp:coreProperties>
</file>