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2"/>
          <w:lang w:eastAsia="ja-JP"/>
        </w:rPr>
        <w:t>Outline</w:t>
      </w:r>
      <w:r>
        <w:rPr>
          <w:rFonts w:cs="Arial" w:ascii="Arial" w:hAnsi="Arial"/>
          <w:b/>
          <w:bCs/>
          <w:sz w:val="32"/>
        </w:rPr>
        <w:t xml:space="preserve"> for Review of Regulation Relating to Power Plant Development in Japan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1"/>
        <w:spacing w:before="0" w:after="0"/>
        <w:ind w:hanging="357" w:start="357" w:end="0"/>
        <w:rPr>
          <w:sz w:val="22"/>
        </w:rPr>
      </w:pPr>
      <w:r>
        <w:rPr>
          <w:sz w:val="22"/>
        </w:rPr>
        <w:t>Scope and Content</w:t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Definition</w:t>
      </w:r>
    </w:p>
    <w:p>
      <w:pPr>
        <w:pStyle w:val="Heading1"/>
        <w:numPr>
          <w:ilvl w:val="2"/>
          <w:numId w:val="1"/>
        </w:numPr>
        <w:tabs>
          <w:tab w:val="clear" w:pos="720"/>
          <w:tab w:val="left" w:pos="1418" w:leader="none"/>
        </w:tabs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Overview of current regulations governing the construction, ownership and operation of independent power plants and related facilities in Japan</w:t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Generating Facilities Development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List and describe applicable laws, ordinances, codes and standards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National regulation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Local regulation (where available</w:t>
      </w:r>
      <w:r>
        <w:rPr>
          <w:rStyle w:val="FootnoteCharacters"/>
          <w:rStyle w:val="FootnoteReference"/>
          <w:rFonts w:eastAsia="Symbol" w:cs="Symbol" w:ascii="Symbol" w:hAnsi="Symbol"/>
          <w:sz w:val="22"/>
        </w:rPr>
        <w:footnoteReference w:customMarkFollows="1" w:id="2"/>
        <w:t></w:t>
      </w:r>
      <w:r>
        <w:rPr>
          <w:rFonts w:cs="Arial" w:ascii="Arial" w:hAnsi="Arial"/>
          <w:sz w:val="22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Civil law and voluntary processes (local government voluntary agreements, compensation for fishing rights, etc.)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Separate processes into requirements at different stages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Facility development requirements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Business start-up requirements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Operational compliance requirements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Set parameters of study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Site type: greenfield, brownfield, inside the fence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Plant size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Generating plant type: gas, coal, oil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Related facilities: port, LNG terminal, coal yard, fly ash enclosure, environmental protection equipment, fuel storage, stack, other relevant plant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Transportation access (land, sea) 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processes for each defined item or combinations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effects on processes of indeterminate or variable factors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Create flow charts with timescales for separable items and combinations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Create combined flow charts with timescales for representative projects</w:t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Transmission Facilities Development and Access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applicable laws, ordinances, codes and standards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National regulation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Local regulation (where available</w:t>
      </w:r>
      <w:r>
        <w:rPr>
          <w:rStyle w:val="FootnoteCharacters"/>
          <w:rStyle w:val="FootnoteReference"/>
          <w:rFonts w:eastAsia="Symbol" w:cs="Symbol" w:ascii="Symbol" w:hAnsi="Symbol"/>
          <w:sz w:val="22"/>
        </w:rPr>
        <w:footnoteReference w:customMarkFollows="1" w:id="3"/>
        <w:t></w:t>
      </w:r>
      <w:r>
        <w:rPr>
          <w:rFonts w:cs="Arial" w:ascii="Arial" w:hAnsi="Arial"/>
          <w:sz w:val="22"/>
        </w:rPr>
        <w:t>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Utility terms and conditions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Set parameters of study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Grid access suitability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New transmission path or reinforcement of existing lines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Separate processes into requirements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Site location requirements (suitability for grid connection)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701" w:leader="none"/>
        </w:tabs>
        <w:ind w:hanging="283" w:start="1701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Utility requirements (estimated timescales, costs, contractual, operational)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processes for each item or combination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effects on processes of indeterminate or variable factors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Create flow charts with timescales for separable items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Create combined flow charts with timescales for representative projects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Analysis of Specific E-Power Projects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individual projects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Assign modular flow chart and add local characteristics as needed to modular flow charts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Review of action taken to date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Estimate time-scales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Define certainties and risks for individual projects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Strategy for accelerating the process and overcoming current roadblocks</w:t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sz w:val="22"/>
        </w:rPr>
      </w:pPr>
      <w:r>
        <w:rPr>
          <w:sz w:val="22"/>
        </w:rPr>
        <w:t>Annex: Description of International Processes and Standards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IPP precedents in Japan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Enron models</w:t>
      </w:r>
    </w:p>
    <w:p>
      <w:pPr>
        <w:pStyle w:val="Heading1"/>
        <w:numPr>
          <w:ilvl w:val="2"/>
          <w:numId w:val="1"/>
        </w:numPr>
        <w:spacing w:before="0" w:after="0"/>
        <w:ind w:hanging="698" w:start="1418" w:end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  <w:t>Describe OECD best international practice</w:t>
      </w:r>
    </w:p>
    <w:p>
      <w:pPr>
        <w:pStyle w:val="Normal"/>
        <w:rPr>
          <w:rFonts w:ascii="Arial" w:hAnsi="Arial" w:cs="Arial"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Heading1"/>
        <w:spacing w:before="0" w:after="0"/>
        <w:ind w:hanging="357" w:start="357" w:end="0"/>
        <w:rPr>
          <w:sz w:val="22"/>
        </w:rPr>
      </w:pPr>
      <w:r>
        <w:rPr>
          <w:sz w:val="22"/>
        </w:rPr>
        <w:t>Implementation</w:t>
      </w:r>
    </w:p>
    <w:p>
      <w:pPr>
        <w:pStyle w:val="Heading1"/>
        <w:numPr>
          <w:ilvl w:val="1"/>
          <w:numId w:val="1"/>
        </w:numPr>
        <w:spacing w:before="120" w:after="0"/>
        <w:ind w:hanging="431" w:start="788" w:end="0"/>
        <w:rPr>
          <w:b w:val="false"/>
          <w:bCs w:val="false"/>
          <w:sz w:val="22"/>
        </w:rPr>
      </w:pPr>
      <w:r>
        <w:rPr>
          <w:sz w:val="22"/>
        </w:rPr>
        <w:t xml:space="preserve">Target Completion Date: </w:t>
      </w:r>
      <w:r>
        <w:rPr>
          <w:b w:val="false"/>
          <w:bCs w:val="false"/>
          <w:sz w:val="22"/>
        </w:rPr>
        <w:t>15 June, 2001</w:t>
      </w:r>
    </w:p>
    <w:p>
      <w:pPr>
        <w:pStyle w:val="Heading1"/>
        <w:numPr>
          <w:ilvl w:val="1"/>
          <w:numId w:val="1"/>
        </w:numPr>
        <w:spacing w:before="120" w:after="120"/>
        <w:ind w:hanging="431" w:start="788" w:end="0"/>
        <w:rPr>
          <w:sz w:val="22"/>
        </w:rPr>
      </w:pPr>
      <w:r>
        <w:rPr>
          <w:sz w:val="22"/>
        </w:rPr>
        <w:t>Schedule</w:t>
      </w:r>
    </w:p>
    <w:tbl>
      <w:tblPr>
        <w:tblpPr w:vertAnchor="text" w:horzAnchor="text" w:leftFromText="180" w:rightFromText="180" w:tblpX="959" w:tblpY="1"/>
        <w:tblOverlap w:val="never"/>
        <w:tblW w:w="79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7"/>
        <w:gridCol w:w="6521"/>
      </w:tblGrid>
      <w:tr>
        <w:trPr/>
        <w:tc>
          <w:tcPr>
            <w:tcW w:w="1417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Week 1</w:t>
            </w:r>
          </w:p>
        </w:tc>
        <w:tc>
          <w:tcPr>
            <w:tcW w:w="6521" w:type="dxa"/>
            <w:tcBorders>
              <w:top w:val="doub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spacing w:before="120" w:after="0"/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Form consultation group: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Ariga, Crowther, Kimura, Suzuki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Identify main holders of information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Engineering: Nakamura, Kobayashi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Environmental Assessment: Uno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Fishing Compensation: Yoshisako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IPP development: Ariga, Suzuki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E-Power Project leaders: Fujinaga, Kuwabara, Shirota, Suzuki, Yamamoto</w:t>
            </w:r>
          </w:p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601" w:leader="none"/>
              </w:tabs>
              <w:ind w:hanging="283" w:start="601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Enron Developers: Cattigan, Foote,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Identify areas that require new or additional research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Confirm &amp; collate relevant existing information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Week 2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spacing w:before="120" w:after="0"/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Confirm structure and available detail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Initiate drafting of text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Request additional information from E-Power staff as necessary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Assign additional research needs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Week 3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spacing w:before="120" w:after="0"/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Complete first draft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Week 4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spacing w:before="120" w:after="0"/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Circulate within E-Power for review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18" w:leader="none"/>
              </w:tabs>
              <w:ind w:hanging="318" w:start="31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Complete and distribute report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/>
      <w:r>
        <w:rPr>
          <w:rFonts w:cs="Arial" w:ascii="Arial" w:hAnsi="Arial"/>
          <w:sz w:val="22"/>
        </w:rPr>
        <w:br w:type="textWrapping" w:clear="all"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440" w:right="1440" w:gutter="0" w:header="720" w:top="1702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t></w:t>
      </w:r>
      <w:r>
        <w:rPr>
          <w:rFonts w:eastAsia="Times New Roman"/>
        </w:rPr>
        <w:t xml:space="preserve"> </w:t>
      </w:r>
      <w:r>
        <w:rPr/>
        <w:t>In some cases local regulations are not readily available to the public</w:t>
      </w:r>
    </w:p>
  </w:footnote>
  <w:footnote w:id="3">
    <w:p>
      <w:pPr>
        <w:pStyle w:val="FootnoteText"/>
        <w:rPr/>
      </w:pPr>
      <w:r>
        <w:rPr>
          <w:rStyle w:val="FootnoteCharacters"/>
        </w:rPr>
        <w:t></w:t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</w:tabs>
      <w:ind w:start="7088" w:end="0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Public Affairs - Japan</w:t>
    </w:r>
  </w:p>
  <w:p>
    <w:pPr>
      <w:pStyle w:val="Header"/>
      <w:tabs>
        <w:tab w:val="clear" w:pos="8640"/>
        <w:tab w:val="center" w:pos="4320" w:leader="none"/>
      </w:tabs>
      <w:ind w:start="7088" w:end="0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24 May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2"/>
        <w:i w:val="false"/>
        <w:b w:val="false"/>
        <w:rFonts w:ascii="Arial" w:hAnsi="Arial" w:cs="Arial"/>
      </w:rPr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>
        <w:sz w:val="22"/>
        <w:i w:val="false"/>
        <w:b w:val="false"/>
        <w:rFonts w:ascii="Arial" w:hAnsi="Arial" w:cs="Arial"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>
        <w:sz w:val="22"/>
        <w:i w:val="false"/>
        <w:b w:val="false"/>
        <w:rFonts w:ascii="Arial" w:hAnsi="Arial" w:cs="Arial"/>
      </w:r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2"/>
    </w:rPr>
  </w:style>
  <w:style w:type="character" w:styleId="WW8Num3z3">
    <w:name w:val="WW8Num3z3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18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2001-05-23T23:28:00Z</dcterms:created>
  <dc:creator>Mark Crowther</dc:creator>
  <dc:description/>
  <dc:language>en-CA</dc:language>
  <cp:lastModifiedBy>noday</cp:lastModifiedBy>
  <cp:lastPrinted>2001-05-24T10:15:00Z</cp:lastPrinted>
  <dcterms:modified xsi:type="dcterms:W3CDTF">2001-05-24T01:35:00Z</dcterms:modified>
  <cp:revision>8</cp:revision>
  <dc:subject/>
  <dc:title>Review of Regulation Relating to Power Plant Development in Japan</dc:title>
</cp:coreProperties>
</file>