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_____, 2001, is made and entered into by and between </w:t>
      </w:r>
      <w:r>
        <w:rPr>
          <w:rFonts w:cs="Times New Roman" w:ascii="Times New Roman" w:hAnsi="Times New Roman"/>
          <w:b/>
          <w:sz w:val="24"/>
        </w:rPr>
        <w:t>[___________________________]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"Summer Months" means that period of time from June 1 through August 31 during each Contract Year.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xml:space="preserve">.  In addition to the Monthly Demand Charge, during the Non-Summer Months only, Customer shall pay ECS a monthly “HP-hour Charge” in MMBtus of natural gas ("Fuel Gas") as set forth below: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b/>
          <w:bCs/>
        </w:rPr>
        <w:t>Minimum HP-hour Charge</w:t>
      </w:r>
      <w:r>
        <w:rPr/>
        <w:t>.  Each month during the Non-Summer Months, Customer shall deliver to ECS the minimum HP-hour Charge as set forth in Exhibit “A” attached hereto for the applicable month (the "</w:t>
      </w:r>
      <w:r>
        <w:rPr>
          <w:u w:val="single"/>
        </w:rPr>
        <w:t>Minimum HP-hour Charge</w:t>
      </w:r>
      <w:r>
        <w:rPr/>
        <w:t>").  If the Actual HP-hour Charge minus the Minimum HP-hour Charge (the "</w:t>
      </w:r>
      <w:r>
        <w:rPr>
          <w:u w:val="single"/>
        </w:rPr>
        <w:t>True Up</w:t>
      </w:r>
      <w:r>
        <w:rPr/>
        <w:t xml:space="preserve">") for the applicable month is a positive number, the True Up shall be added to the Minimum HP-hour Charge to be delivered to ECS during the second month succeeding the current month.  For example, the True Up for the month of May shall be added or subtracted to/from the Minimum HP-hour Charge for the month of July.  ECS shall provide Customer with written notice specifying in reasonable detail the True Up volumes as soon as reasonably possible prior to the month during which the True Up will be applied.  In no event shall the Minimum HP-hour Charge be less than the mimimum HP-hour Charge for such month.  </w:t>
      </w:r>
    </w:p>
    <w:p>
      <w:pPr>
        <w:pStyle w:val="BodyTextIndent"/>
        <w:widowControl/>
        <w:rPr/>
      </w:pPr>
      <w:r>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Minimum HP-hour Charge</w:t>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13</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2001-04-27T18:25:00Z</dcterms:created>
  <dc:creator>ET&amp;S LAN Support</dc:creator>
  <dc:description/>
  <dc:language>en-CA</dc:language>
  <cp:lastModifiedBy>gnemec</cp:lastModifiedBy>
  <cp:lastPrinted>2001-02-26T15:48:00Z</cp:lastPrinted>
  <dcterms:modified xsi:type="dcterms:W3CDTF">2001-04-27T19:44:00Z</dcterms:modified>
  <cp:revision>5</cp:revision>
  <dc:subject/>
  <dc:title>COMPRESSION SERVICES AGREEMENT</dc:title>
</cp:coreProperties>
</file>