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numbering.xml" ContentType="application/vnd.openxmlformats-officedocument.wordprocessingml.numbering+xml"/>
  <Override PartName="/word/fontTable.xml" ContentType="application/vnd.openxmlformats-officedocument.wordprocessingml.fontTable+xml"/>
  <Override PartName="/word/footnotes.xml" ContentType="application/vnd.openxmlformats-officedocument.wordprocessingml.footnotes+xml"/>
  <Override PartName="/word/footer5.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footer3.xml" ContentType="application/vnd.openxmlformats-officedocument.wordprocessingml.footer+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styles.xml" ContentType="application/vnd.openxmlformats-officedocument.wordprocessingml.styles+xml"/>
  <Override PartName="/word/document.xml" ContentType="application/vnd.openxmlformats-officedocument.wordprocessingml.document.main+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ind w:firstLine="5760" w:end="0"/>
        <w:rPr/>
      </w:pPr>
      <w:r>
        <w:rPr/>
      </w:r>
    </w:p>
    <w:p>
      <w:pPr>
        <w:pStyle w:val="Normal"/>
        <w:widowControl/>
        <w:ind w:firstLine="5400" w:end="0"/>
        <w:rPr/>
      </w:pPr>
      <w:r>
        <w:rPr/>
        <w:t>Exhibit No.:</w:t>
      </w:r>
      <w:r>
        <w:rPr>
          <w:u w:val="single"/>
        </w:rPr>
        <w:t xml:space="preserve">                              _    </w:t>
      </w:r>
    </w:p>
    <w:p>
      <w:pPr>
        <w:pStyle w:val="Normal"/>
        <w:widowControl/>
        <w:ind w:firstLine="5400" w:end="0"/>
        <w:rPr/>
      </w:pPr>
      <w:r>
        <w:rPr/>
        <w:t xml:space="preserve">Date:       </w:t>
      </w:r>
      <w:r>
        <w:rPr>
          <w:u w:val="single"/>
        </w:rPr>
        <w:t xml:space="preserve">April 13, 2001            _   </w:t>
      </w:r>
    </w:p>
    <w:p>
      <w:pPr>
        <w:pStyle w:val="Normal"/>
        <w:widowControl/>
        <w:ind w:firstLine="5400" w:end="0"/>
        <w:rPr/>
      </w:pPr>
      <w:r>
        <w:rPr/>
        <w:t xml:space="preserve">Witness:  </w:t>
      </w:r>
      <w:r>
        <w:rPr>
          <w:u w:val="single"/>
        </w:rPr>
        <w:t xml:space="preserve">Donald W. Schoenbeck </w:t>
      </w:r>
    </w:p>
    <w:p>
      <w:pPr>
        <w:pStyle w:val="Normal"/>
        <w:widowControl/>
        <w:rPr/>
      </w:pPr>
      <w:r>
        <w:rPr/>
      </w:r>
    </w:p>
    <w:p>
      <w:pPr>
        <w:pStyle w:val="Normal"/>
        <w:widowControl/>
        <w:rPr/>
      </w:pPr>
      <w:r>
        <w:rPr/>
      </w:r>
    </w:p>
    <w:p>
      <w:pPr>
        <w:pStyle w:val="Normal"/>
        <w:widowControl/>
        <w:rPr/>
      </w:pPr>
      <w:r>
        <w:rPr/>
      </w:r>
    </w:p>
    <w:p>
      <w:pPr>
        <w:pStyle w:val="Normal"/>
        <w:widowControl/>
        <w:tabs>
          <w:tab w:val="clear" w:pos="720"/>
          <w:tab w:val="center" w:pos="4320" w:leader="none"/>
        </w:tabs>
        <w:jc w:val="center"/>
        <w:rPr/>
      </w:pPr>
      <w:r>
        <w:rPr/>
        <w:t>BEFORE THE PUBLIC UTILITIES COMMISSION</w:t>
      </w:r>
    </w:p>
    <w:p>
      <w:pPr>
        <w:pStyle w:val="Normal"/>
        <w:widowControl/>
        <w:tabs>
          <w:tab w:val="clear" w:pos="720"/>
          <w:tab w:val="center" w:pos="4680" w:leader="none"/>
        </w:tabs>
        <w:jc w:val="center"/>
        <w:rPr/>
      </w:pPr>
      <w:r>
        <w:rPr/>
        <w:t>OF THE</w:t>
      </w:r>
    </w:p>
    <w:p>
      <w:pPr>
        <w:pStyle w:val="Normal"/>
        <w:widowControl/>
        <w:tabs>
          <w:tab w:val="clear" w:pos="720"/>
          <w:tab w:val="center" w:pos="4680" w:leader="none"/>
        </w:tabs>
        <w:jc w:val="center"/>
        <w:rPr/>
      </w:pPr>
      <w:r>
        <w:rPr/>
        <w:t>STATE OF CALIFORNIA</w:t>
      </w:r>
    </w:p>
    <w:p>
      <w:pPr>
        <w:pStyle w:val="Header"/>
        <w:widowControl/>
        <w:tabs>
          <w:tab w:val="clear" w:pos="4320"/>
          <w:tab w:val="clear" w:pos="8640"/>
        </w:tabs>
        <w:rPr/>
      </w:pPr>
      <w:r>
        <w:rPr/>
      </w:r>
    </w:p>
    <w:p>
      <w:pPr>
        <w:pStyle w:val="Header"/>
        <w:widowControl/>
        <w:tabs>
          <w:tab w:val="clear" w:pos="4320"/>
          <w:tab w:val="clear" w:pos="8640"/>
        </w:tabs>
        <w:rPr/>
      </w:pPr>
      <w:r>
        <w:rPr/>
      </w:r>
    </w:p>
    <w:p>
      <w:pPr>
        <w:pStyle w:val="Normal"/>
        <w:widowControl/>
        <w:ind w:firstLine="720" w:end="0"/>
        <w:rPr/>
      </w:pPr>
      <w:r>
        <w:rPr/>
      </w:r>
    </w:p>
    <w:tbl>
      <w:tblPr>
        <w:tblW w:w="8856" w:type="dxa"/>
        <w:jc w:val="start"/>
        <w:tblInd w:w="0" w:type="dxa"/>
        <w:tblLayout w:type="fixed"/>
        <w:tblCellMar>
          <w:top w:w="0" w:type="dxa"/>
          <w:start w:w="108" w:type="dxa"/>
          <w:bottom w:w="0" w:type="dxa"/>
          <w:end w:w="108" w:type="dxa"/>
        </w:tblCellMar>
      </w:tblPr>
      <w:tblGrid>
        <w:gridCol w:w="5058"/>
        <w:gridCol w:w="3798"/>
      </w:tblGrid>
      <w:tr>
        <w:trPr>
          <w:trHeight w:val="1590" w:hRule="atLeast"/>
        </w:trPr>
        <w:tc>
          <w:tcPr>
            <w:tcW w:w="5058" w:type="dxa"/>
            <w:tcBorders>
              <w:top w:val="single" w:sz="4" w:space="0" w:color="000000"/>
              <w:bottom w:val="single" w:sz="4" w:space="0" w:color="000000"/>
              <w:end w:val="single" w:sz="4" w:space="0" w:color="000000"/>
            </w:tcBorders>
          </w:tcPr>
          <w:p>
            <w:pPr>
              <w:pStyle w:val="Normal"/>
              <w:snapToGrid w:val="false"/>
              <w:rPr/>
            </w:pPr>
            <w:r>
              <w:rPr/>
            </w:r>
          </w:p>
          <w:p>
            <w:pPr>
              <w:pStyle w:val="Normal"/>
              <w:rPr/>
            </w:pPr>
            <w:r>
              <w:rPr/>
              <w:t>Application of Southern California Edison Company (E333-E) for Authority to Institute a Rate Stabilization Plan with a Rate Increase and End of Rate Freeze Tariffs.</w:t>
            </w:r>
          </w:p>
          <w:p>
            <w:pPr>
              <w:pStyle w:val="Normal"/>
              <w:rPr/>
            </w:pPr>
            <w:r>
              <w:rPr/>
            </w:r>
          </w:p>
        </w:tc>
        <w:tc>
          <w:tcPr>
            <w:tcW w:w="3798" w:type="dxa"/>
            <w:vMerge w:val="restart"/>
            <w:tcBorders>
              <w:start w:val="single" w:sz="4" w:space="0" w:color="000000"/>
              <w:bottom w:val="single" w:sz="4" w:space="0" w:color="000000"/>
            </w:tcBorders>
          </w:tcPr>
          <w:p>
            <w:pPr>
              <w:pStyle w:val="Normal"/>
              <w:snapToGrid w:val="false"/>
              <w:rPr/>
            </w:pPr>
            <w:r>
              <w:rPr/>
            </w:r>
          </w:p>
          <w:p>
            <w:pPr>
              <w:pStyle w:val="Normal"/>
              <w:rPr/>
            </w:pPr>
            <w:r>
              <w:rPr/>
            </w:r>
          </w:p>
          <w:p>
            <w:pPr>
              <w:pStyle w:val="Normal"/>
              <w:jc w:val="center"/>
              <w:rPr/>
            </w:pPr>
            <w:r>
              <w:rPr/>
              <w:t xml:space="preserve">Application 00-11-038 </w:t>
            </w:r>
          </w:p>
          <w:p>
            <w:pPr>
              <w:pStyle w:val="Normal"/>
              <w:jc w:val="center"/>
              <w:rPr/>
            </w:pPr>
            <w:r>
              <w:rPr/>
              <w:t>(Filed November 16, 2000)</w:t>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t>Application 00-11-056</w:t>
            </w:r>
          </w:p>
          <w:p>
            <w:pPr>
              <w:pStyle w:val="Normal"/>
              <w:jc w:val="center"/>
              <w:rPr/>
            </w:pPr>
            <w:r>
              <w:rPr/>
              <w:t>(Filed November 22, 2000)</w:t>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t>Application 00-10-028</w:t>
            </w:r>
          </w:p>
          <w:p>
            <w:pPr>
              <w:pStyle w:val="Normal"/>
              <w:jc w:val="center"/>
              <w:rPr/>
            </w:pPr>
            <w:r>
              <w:rPr/>
              <w:t>(Filed October 17, 2000)</w:t>
            </w:r>
          </w:p>
        </w:tc>
      </w:tr>
      <w:tr>
        <w:trPr>
          <w:trHeight w:val="1540" w:hRule="atLeast"/>
        </w:trPr>
        <w:tc>
          <w:tcPr>
            <w:tcW w:w="5058" w:type="dxa"/>
            <w:tcBorders>
              <w:top w:val="single" w:sz="4" w:space="0" w:color="000000"/>
              <w:bottom w:val="single" w:sz="4" w:space="0" w:color="000000"/>
              <w:end w:val="single" w:sz="4" w:space="0" w:color="000000"/>
            </w:tcBorders>
          </w:tcPr>
          <w:p>
            <w:pPr>
              <w:pStyle w:val="Normal"/>
              <w:snapToGrid w:val="false"/>
              <w:rPr/>
            </w:pPr>
            <w:r>
              <w:rPr/>
            </w:r>
          </w:p>
          <w:p>
            <w:pPr>
              <w:pStyle w:val="Normal"/>
              <w:rPr/>
            </w:pPr>
            <w:r>
              <w:rPr/>
              <w:t>Emergency Application of Pacific Gas and Electric Company to Adopt a Rate Stabilization Plan.</w:t>
            </w:r>
          </w:p>
          <w:p>
            <w:pPr>
              <w:pStyle w:val="Normal"/>
              <w:jc w:val="center"/>
              <w:rPr/>
            </w:pPr>
            <w:r>
              <w:rPr/>
              <w:t>(U 39 E)</w:t>
            </w:r>
          </w:p>
          <w:p>
            <w:pPr>
              <w:pStyle w:val="Normal"/>
              <w:rPr/>
            </w:pPr>
            <w:r>
              <w:rPr/>
            </w:r>
          </w:p>
        </w:tc>
        <w:tc>
          <w:tcPr>
            <w:tcW w:w="3798" w:type="dxa"/>
            <w:vMerge w:val="continue"/>
            <w:tcBorders>
              <w:start w:val="single" w:sz="4" w:space="0" w:color="000000"/>
              <w:bottom w:val="single" w:sz="4" w:space="0" w:color="000000"/>
            </w:tcBorders>
          </w:tcPr>
          <w:p>
            <w:pPr>
              <w:pStyle w:val="Normal"/>
              <w:snapToGrid w:val="false"/>
              <w:rPr/>
            </w:pPr>
            <w:r>
              <w:rPr/>
            </w:r>
          </w:p>
        </w:tc>
      </w:tr>
      <w:tr>
        <w:trPr>
          <w:trHeight w:val="369" w:hRule="atLeast"/>
        </w:trPr>
        <w:tc>
          <w:tcPr>
            <w:tcW w:w="5058" w:type="dxa"/>
            <w:tcBorders>
              <w:top w:val="single" w:sz="4" w:space="0" w:color="000000"/>
              <w:bottom w:val="single" w:sz="4" w:space="0" w:color="000000"/>
              <w:end w:val="single" w:sz="4" w:space="0" w:color="000000"/>
            </w:tcBorders>
          </w:tcPr>
          <w:p>
            <w:pPr>
              <w:pStyle w:val="Normal"/>
              <w:snapToGrid w:val="false"/>
              <w:rPr/>
            </w:pPr>
            <w:r>
              <w:rPr/>
            </w:r>
          </w:p>
          <w:p>
            <w:pPr>
              <w:pStyle w:val="Normal"/>
              <w:rPr/>
            </w:pPr>
            <w:r>
              <w:rPr/>
              <w:t>Petition of THE UTILITY REFORM NETWORK for Modification of Resolution</w:t>
            </w:r>
          </w:p>
          <w:p>
            <w:pPr>
              <w:pStyle w:val="Normal"/>
              <w:rPr/>
            </w:pPr>
            <w:r>
              <w:rPr/>
              <w:t>E-3527.</w:t>
            </w:r>
          </w:p>
          <w:p>
            <w:pPr>
              <w:pStyle w:val="Normal"/>
              <w:rPr/>
            </w:pPr>
            <w:r>
              <w:rPr/>
            </w:r>
          </w:p>
        </w:tc>
        <w:tc>
          <w:tcPr>
            <w:tcW w:w="3798" w:type="dxa"/>
            <w:vMerge w:val="continue"/>
            <w:tcBorders>
              <w:start w:val="single" w:sz="4" w:space="0" w:color="000000"/>
              <w:bottom w:val="single" w:sz="4" w:space="0" w:color="000000"/>
            </w:tcBorders>
          </w:tcPr>
          <w:p>
            <w:pPr>
              <w:pStyle w:val="Normal"/>
              <w:snapToGrid w:val="false"/>
              <w:rPr/>
            </w:pPr>
            <w:r>
              <w:rPr/>
            </w:r>
          </w:p>
        </w:tc>
      </w:tr>
    </w:tbl>
    <w:p>
      <w:pPr>
        <w:pStyle w:val="Normal"/>
        <w:rPr/>
      </w:pPr>
      <w:r>
        <w:rPr/>
      </w:r>
    </w:p>
    <w:p>
      <w:pPr>
        <w:pStyle w:val="Normal"/>
        <w:widowControl/>
        <w:tabs>
          <w:tab w:val="clear" w:pos="720"/>
          <w:tab w:val="left" w:pos="3780" w:leader="none"/>
          <w:tab w:val="left" w:pos="4500" w:leader="none"/>
          <w:tab w:val="center" w:pos="4680" w:leader="none"/>
          <w:tab w:val="left" w:pos="5220" w:leader="none"/>
        </w:tabs>
        <w:suppressAutoHyphens w:val="true"/>
        <w:ind w:firstLine="720" w:end="0"/>
        <w:rPr/>
      </w:pPr>
      <w:r>
        <w:rPr/>
      </w:r>
    </w:p>
    <w:p>
      <w:pPr>
        <w:pStyle w:val="Normal"/>
        <w:widowControl/>
        <w:tabs>
          <w:tab w:val="clear" w:pos="720"/>
          <w:tab w:val="center" w:pos="4680" w:leader="none"/>
        </w:tabs>
        <w:rPr/>
      </w:pPr>
      <w:r>
        <w:rPr/>
      </w:r>
    </w:p>
    <w:p>
      <w:pPr>
        <w:pStyle w:val="Normal"/>
        <w:widowControl/>
        <w:tabs>
          <w:tab w:val="clear" w:pos="720"/>
          <w:tab w:val="center" w:pos="4680" w:leader="none"/>
        </w:tabs>
        <w:rPr/>
      </w:pPr>
      <w:r>
        <w:rPr/>
        <w:tab/>
      </w:r>
      <w:r>
        <w:rPr>
          <w:b/>
        </w:rPr>
        <w:t>PREPARED DIRECT TESTIMONY OF</w:t>
      </w:r>
    </w:p>
    <w:p>
      <w:pPr>
        <w:pStyle w:val="Normal"/>
        <w:widowControl/>
        <w:rPr>
          <w:b/>
        </w:rPr>
      </w:pPr>
      <w:r>
        <w:rPr>
          <w:b/>
        </w:rPr>
      </w:r>
    </w:p>
    <w:p>
      <w:pPr>
        <w:pStyle w:val="Normal"/>
        <w:widowControl/>
        <w:tabs>
          <w:tab w:val="clear" w:pos="720"/>
          <w:tab w:val="center" w:pos="4680" w:leader="none"/>
        </w:tabs>
        <w:rPr>
          <w:b/>
        </w:rPr>
      </w:pPr>
      <w:r>
        <w:rPr>
          <w:b/>
        </w:rPr>
        <w:tab/>
        <w:t>DONALD W. SCHOENBECK</w:t>
      </w:r>
    </w:p>
    <w:p>
      <w:pPr>
        <w:pStyle w:val="Normal"/>
        <w:widowControl/>
        <w:rPr>
          <w:b/>
        </w:rPr>
      </w:pPr>
      <w:r>
        <w:rPr>
          <w:b/>
        </w:rPr>
      </w:r>
    </w:p>
    <w:p>
      <w:pPr>
        <w:pStyle w:val="Normal"/>
        <w:widowControl/>
        <w:tabs>
          <w:tab w:val="clear" w:pos="720"/>
          <w:tab w:val="center" w:pos="4680" w:leader="none"/>
        </w:tabs>
        <w:rPr>
          <w:b/>
        </w:rPr>
      </w:pPr>
      <w:r>
        <w:rPr>
          <w:b/>
        </w:rPr>
        <w:tab/>
        <w:t>ON BEHALF OF THE</w:t>
      </w:r>
    </w:p>
    <w:p>
      <w:pPr>
        <w:pStyle w:val="Normal"/>
        <w:widowControl/>
        <w:tabs>
          <w:tab w:val="clear" w:pos="720"/>
          <w:tab w:val="center" w:pos="4680" w:leader="none"/>
        </w:tabs>
        <w:rPr>
          <w:b/>
        </w:rPr>
      </w:pPr>
      <w:r>
        <w:rPr>
          <w:b/>
        </w:rPr>
      </w:r>
    </w:p>
    <w:p>
      <w:pPr>
        <w:pStyle w:val="Normal"/>
        <w:widowControl/>
        <w:tabs>
          <w:tab w:val="clear" w:pos="720"/>
          <w:tab w:val="center" w:pos="4680" w:leader="none"/>
        </w:tabs>
        <w:rPr>
          <w:b/>
        </w:rPr>
      </w:pPr>
      <w:r>
        <w:rPr>
          <w:b/>
        </w:rPr>
        <w:tab/>
        <w:t>ENERGY PRODUCERS AND USERS COALITION</w:t>
      </w:r>
    </w:p>
    <w:p>
      <w:pPr>
        <w:pStyle w:val="Normal"/>
        <w:widowControl/>
        <w:tabs>
          <w:tab w:val="clear" w:pos="720"/>
          <w:tab w:val="center" w:pos="4680" w:leader="none"/>
        </w:tabs>
        <w:rPr>
          <w:b/>
        </w:rPr>
      </w:pPr>
      <w:r>
        <w:rPr>
          <w:b/>
        </w:rPr>
        <w:tab/>
      </w:r>
    </w:p>
    <w:p>
      <w:pPr>
        <w:pStyle w:val="Normal"/>
        <w:widowControl/>
        <w:rPr>
          <w:b/>
        </w:rPr>
      </w:pPr>
      <w:r>
        <w:rPr>
          <w:b/>
        </w:rPr>
      </w:r>
    </w:p>
    <w:p>
      <w:pPr>
        <w:pStyle w:val="Normal"/>
        <w:widowControl/>
        <w:ind w:firstLine="2880" w:end="0"/>
        <w:rPr>
          <w:b/>
          <w:bCs/>
        </w:rPr>
      </w:pPr>
      <w:r>
        <w:rPr>
          <w:b/>
          <w:bCs/>
        </w:rPr>
      </w:r>
    </w:p>
    <w:p>
      <w:pPr>
        <w:pStyle w:val="Normal"/>
        <w:widowControl/>
        <w:rPr>
          <w:b/>
          <w:bCs/>
        </w:rPr>
      </w:pPr>
      <w:r>
        <w:rPr>
          <w:b/>
          <w:bCs/>
        </w:rPr>
      </w:r>
    </w:p>
    <w:p>
      <w:pPr>
        <w:pStyle w:val="Normal"/>
        <w:widowControl/>
        <w:tabs>
          <w:tab w:val="clear" w:pos="720"/>
          <w:tab w:val="center" w:pos="4680" w:leader="none"/>
        </w:tabs>
        <w:rPr/>
      </w:pPr>
      <w:r>
        <w:rPr>
          <w:b/>
        </w:rPr>
        <w:tab/>
      </w:r>
      <w:r>
        <w:rPr>
          <w:b/>
          <w:sz w:val="20"/>
        </w:rPr>
        <w:t>APRIL 2001</w:t>
      </w:r>
    </w:p>
    <w:p>
      <w:pPr>
        <w:pStyle w:val="Normal"/>
        <w:widowControl/>
        <w:rPr>
          <w:b/>
          <w:sz w:val="20"/>
        </w:rPr>
      </w:pPr>
      <w:r>
        <w:rPr>
          <w:b/>
          <w:sz w:val="20"/>
        </w:rPr>
      </w:r>
    </w:p>
    <w:p>
      <w:pPr>
        <w:sectPr>
          <w:type w:val="nextPage"/>
          <w:pgSz w:w="12240" w:h="15840"/>
          <w:pgMar w:left="1440" w:right="1440" w:gutter="0" w:header="0" w:top="720" w:footer="0" w:bottom="1440"/>
          <w:lnNumType w:countBy="1" w:restart="newPage" w:distance="283"/>
          <w:pgNumType w:fmt="decimal"/>
          <w:formProt w:val="false"/>
          <w:textDirection w:val="lrTb"/>
          <w:docGrid w:type="default" w:linePitch="360" w:charSpace="0"/>
        </w:sectPr>
        <w:pStyle w:val="Normal"/>
        <w:widowControl/>
        <w:tabs>
          <w:tab w:val="clear" w:pos="720"/>
          <w:tab w:val="center" w:pos="4680" w:leader="none"/>
        </w:tabs>
        <w:rPr/>
      </w:pPr>
      <w:r>
        <w:rPr>
          <w:b/>
          <w:sz w:val="20"/>
        </w:rPr>
        <w:tab/>
        <w:t>REGULATORY &amp; COGENERATION SERVICES, INC</w:t>
      </w:r>
      <w:r>
        <w:rPr>
          <w:bCs/>
          <w:sz w:val="20"/>
        </w:rPr>
        <w:t>.</w:t>
      </w:r>
    </w:p>
    <w:p>
      <w:pPr>
        <w:pStyle w:val="Normal"/>
        <w:widowControl/>
        <w:tabs>
          <w:tab w:val="clear" w:pos="720"/>
          <w:tab w:val="center" w:pos="4680" w:leader="none"/>
        </w:tabs>
        <w:rPr/>
      </w:pPr>
      <w:r>
        <w:rPr/>
        <w:tab/>
      </w:r>
      <w:r>
        <w:rPr>
          <w:b/>
        </w:rPr>
        <w:t xml:space="preserve">PREPARED DIRECT TESTIMONY OF </w:t>
      </w:r>
    </w:p>
    <w:p>
      <w:pPr>
        <w:pStyle w:val="Normal"/>
        <w:widowControl/>
        <w:suppressLineNumbers/>
        <w:tabs>
          <w:tab w:val="clear" w:pos="720"/>
          <w:tab w:val="center" w:pos="4680" w:leader="none"/>
        </w:tabs>
        <w:rPr>
          <w:b/>
        </w:rPr>
      </w:pPr>
      <w:r>
        <w:rPr>
          <w:b/>
        </w:rPr>
      </w:r>
    </w:p>
    <w:p>
      <w:pPr>
        <w:pStyle w:val="Normal"/>
        <w:widowControl/>
        <w:tabs>
          <w:tab w:val="clear" w:pos="720"/>
          <w:tab w:val="center" w:pos="4680" w:leader="none"/>
        </w:tabs>
        <w:rPr>
          <w:b/>
        </w:rPr>
      </w:pPr>
      <w:r>
        <w:rPr>
          <w:b/>
        </w:rPr>
        <w:tab/>
        <w:t>DONALD W. SCHOENBECK</w:t>
      </w:r>
    </w:p>
    <w:p>
      <w:pPr>
        <w:pStyle w:val="Normal"/>
        <w:widowControl/>
        <w:suppressLineNumbers/>
        <w:rPr>
          <w:b/>
        </w:rPr>
      </w:pPr>
      <w:r>
        <w:rPr>
          <w:b/>
        </w:rPr>
      </w:r>
    </w:p>
    <w:p>
      <w:pPr>
        <w:pStyle w:val="Normal"/>
        <w:widowControl/>
        <w:tabs>
          <w:tab w:val="clear" w:pos="720"/>
          <w:tab w:val="center" w:pos="4680" w:leader="none"/>
        </w:tabs>
        <w:rPr>
          <w:b/>
        </w:rPr>
      </w:pPr>
      <w:r>
        <w:rPr>
          <w:b/>
        </w:rPr>
        <w:tab/>
        <w:t>ON BEHALF OF THE</w:t>
      </w:r>
    </w:p>
    <w:p>
      <w:pPr>
        <w:pStyle w:val="Normal"/>
        <w:widowControl/>
        <w:suppressLineNumbers/>
        <w:tabs>
          <w:tab w:val="clear" w:pos="720"/>
          <w:tab w:val="center" w:pos="4680" w:leader="none"/>
        </w:tabs>
        <w:rPr>
          <w:b/>
        </w:rPr>
      </w:pPr>
      <w:r>
        <w:rPr>
          <w:b/>
        </w:rPr>
      </w:r>
    </w:p>
    <w:p>
      <w:pPr>
        <w:pStyle w:val="Normal"/>
        <w:widowControl/>
        <w:tabs>
          <w:tab w:val="clear" w:pos="720"/>
          <w:tab w:val="center" w:pos="4680" w:leader="none"/>
        </w:tabs>
        <w:rPr>
          <w:b/>
        </w:rPr>
      </w:pPr>
      <w:r>
        <w:rPr>
          <w:b/>
        </w:rPr>
        <w:tab/>
        <w:t>ENERGY PRODUCERS AND USERS COALITION</w:t>
      </w:r>
    </w:p>
    <w:p>
      <w:pPr>
        <w:pStyle w:val="Normal"/>
        <w:widowControl/>
        <w:suppressLineNumbers/>
        <w:tabs>
          <w:tab w:val="clear" w:pos="720"/>
          <w:tab w:val="center" w:pos="4680" w:leader="none"/>
        </w:tabs>
        <w:rPr>
          <w:b/>
        </w:rPr>
      </w:pPr>
      <w:r>
        <w:rPr>
          <w:b/>
        </w:rPr>
      </w:r>
    </w:p>
    <w:p>
      <w:pPr>
        <w:pStyle w:val="Normal"/>
        <w:widowControl/>
        <w:suppressLineNumbers/>
        <w:rPr>
          <w:b/>
        </w:rPr>
      </w:pPr>
      <w:r>
        <w:rPr>
          <w:b/>
        </w:rPr>
      </w:r>
    </w:p>
    <w:p>
      <w:pPr>
        <w:pStyle w:val="Normal"/>
        <w:widowControl/>
        <w:suppressLineNumbers/>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480"/>
        <w:ind w:hanging="720" w:start="720" w:end="0"/>
        <w:rPr/>
      </w:pPr>
      <w:r>
        <w:rPr>
          <w:b/>
        </w:rPr>
        <w:t>I.</w:t>
        <w:tab/>
      </w:r>
      <w:r>
        <w:rPr>
          <w:b/>
          <w:u w:val="single"/>
        </w:rPr>
        <w:t>INTRODUCTION AND SUMMARY OF CONCLUSIONS</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480"/>
        <w:ind w:hanging="720" w:start="720" w:end="0"/>
        <w:rPr>
          <w:b/>
        </w:rPr>
      </w:pPr>
      <w:r>
        <w:rPr>
          <w:b/>
        </w:rPr>
        <w:t>Q</w:t>
        <w:tab/>
        <w:t>PLEASE STATE YOUR NAME, OCCUPATION AND BUSINESS ADDRESS.</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480"/>
        <w:ind w:hanging="720" w:start="720" w:end="0"/>
        <w:rPr/>
      </w:pPr>
      <w:r>
        <w:rPr>
          <w:b/>
        </w:rPr>
        <w:t>A</w:t>
      </w:r>
      <w:r>
        <w:rPr/>
        <w:tab/>
        <w:t>My name is Donald W. Schoenbeck.  I am a member of the consulting firm of Regulatory &amp; Cogeneration Services, Inc. ("RCS"), a utility rate and economic consulting firm.  My business address is 900 Washington Street, Suite 1000, Vancouver, Washington  98660.  A statement of my qualifications is attached as Appendix A.</w:t>
      </w:r>
    </w:p>
    <w:p>
      <w:pPr>
        <w:pStyle w:val="Header"/>
        <w:widowControl/>
        <w:suppressLineNumbers/>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480"/>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720" w:start="720" w:end="0"/>
        <w:rPr/>
      </w:pPr>
      <w:r>
        <w:rPr>
          <w:b/>
        </w:rPr>
        <w:t>Q</w:t>
      </w:r>
      <w:r>
        <w:rPr/>
        <w:tab/>
      </w:r>
      <w:r>
        <w:rPr>
          <w:b/>
        </w:rPr>
        <w:t>ON WHOSE BEHALF ARE YOU TESTIFYING IN THIS PROCEEDING?</w:t>
      </w:r>
    </w:p>
    <w:p>
      <w:pPr>
        <w:pStyle w:val="Normal"/>
        <w:widowControl/>
        <w:suppressLineNumbers/>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b/>
        </w:rPr>
      </w:pPr>
      <w:r>
        <w:rPr>
          <w:b/>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480"/>
        <w:ind w:hanging="720" w:start="720" w:end="0"/>
        <w:rPr/>
      </w:pPr>
      <w:r>
        <w:rPr>
          <w:b/>
        </w:rPr>
        <w:t>A</w:t>
      </w:r>
      <w:r>
        <w:rPr/>
        <w:tab/>
        <w:t>This testimony is presented on behalf of the Energy Producers and Users Coalition ("EPUC").</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480"/>
        <w:ind w:firstLine="720" w:start="720" w:end="0"/>
        <w:rPr/>
      </w:pPr>
      <w:r>
        <w:rPr/>
        <w:t xml:space="preserve">EPUC is an </w:t>
      </w:r>
      <w:r>
        <w:rPr>
          <w:i/>
        </w:rPr>
        <w:t>ad hoc</w:t>
      </w:r>
      <w:r>
        <w:rPr/>
        <w:t xml:space="preserve"> coalition representing the end-use and cogeneration interests of the following companies:  Aera Energy LLC; Atlantic Richfield Company; Chevron U.S.A. Inc.; Equilon Enterprises LLC; Texaco Inc.; and Tosco Corporation.</w:t>
      </w:r>
    </w:p>
    <w:p>
      <w:pPr>
        <w:pStyle w:val="Header"/>
        <w:widowControl/>
        <w:suppressLineNumbers/>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480"/>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480"/>
        <w:ind w:hanging="720" w:start="720" w:end="0"/>
        <w:rPr>
          <w:b/>
        </w:rPr>
      </w:pPr>
      <w:r>
        <w:rPr>
          <w:b/>
        </w:rPr>
        <w:t>Q</w:t>
        <w:tab/>
        <w:t>WHAT IS THE PURPOSE OF YOUR TESTIMONY?</w:t>
      </w:r>
    </w:p>
    <w:p>
      <w:pPr>
        <w:pStyle w:val="Normal"/>
        <w:widowControl/>
        <w:spacing w:lineRule="auto" w:line="480"/>
        <w:ind w:hanging="720" w:start="720" w:end="0"/>
        <w:rPr/>
      </w:pPr>
      <w:r>
        <w:rPr>
          <w:b/>
        </w:rPr>
        <w:t>A</w:t>
      </w:r>
      <w:r>
        <w:rPr/>
        <w:tab/>
        <w:t>The purpose of this testimony is to respond to the Assigned Commissioner’s Ruling (“ACR”) dated April 11, 2001 directing parties to file rate design testimony addressing the manner to recover the 3¢/kWh increase approved by the California Public Utilities Commission (“Commission”) in D.01-03-082 among the various customer classes.</w:t>
      </w:r>
    </w:p>
    <w:p>
      <w:pPr>
        <w:pStyle w:val="Normal"/>
        <w:widowControl/>
        <w:suppressLineNumbers/>
        <w:spacing w:lineRule="auto" w:line="480"/>
        <w:ind w:hanging="720" w:start="720" w:end="0"/>
        <w:rPr/>
      </w:pPr>
      <w:r>
        <w:rPr/>
      </w:r>
    </w:p>
    <w:p>
      <w:pPr>
        <w:pStyle w:val="Heading2"/>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1440" w:leader="none"/>
          <w:tab w:val="left" w:pos="-720" w:leader="none"/>
        </w:tabs>
        <w:spacing w:lineRule="auto" w:line="240"/>
        <w:rPr/>
      </w:pPr>
      <w:r>
        <w:rPr/>
        <w:t>Q</w:t>
        <w:tab/>
        <w:t>PLEASE SUMMARIZE YOUR CONCLUSIONS AND RECOMMENDATIONS.</w:t>
      </w:r>
    </w:p>
    <w:p>
      <w:pPr>
        <w:pStyle w:val="Normal"/>
        <w:widowControl/>
        <w:suppressLineNumbers/>
        <w:ind w:hanging="720" w:start="720" w:end="0"/>
        <w:rPr>
          <w:b/>
        </w:rPr>
      </w:pPr>
      <w:r>
        <w:rPr>
          <w:b/>
        </w:rPr>
      </w:r>
    </w:p>
    <w:p>
      <w:pPr>
        <w:pStyle w:val="Heading2"/>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1440" w:leader="none"/>
          <w:tab w:val="left" w:pos="-720" w:leader="none"/>
        </w:tabs>
        <w:rPr/>
      </w:pPr>
      <w:r>
        <w:rPr/>
        <w:t>A</w:t>
        <w:tab/>
      </w:r>
      <w:r>
        <w:rPr>
          <w:b w:val="false"/>
        </w:rPr>
        <w:t>The rate design adopted by the Commission must effectively balance the utilities’ need for a rate increase to cover procurement costs with:</w:t>
      </w:r>
    </w:p>
    <w:p>
      <w:pPr>
        <w:pStyle w:val="Normal"/>
        <w:numPr>
          <w:ilvl w:val="0"/>
          <w:numId w:val="4"/>
        </w:numPr>
        <w:ind w:hanging="720" w:start="2160" w:end="720"/>
        <w:rPr/>
      </w:pPr>
      <w:r>
        <w:rPr/>
        <w:t>The State’s need to maximize energy conservation by all customers during on-peak periods, both to reduce the cost of energy and to reduce the potential for outages during those periods;</w:t>
      </w:r>
    </w:p>
    <w:p>
      <w:pPr>
        <w:pStyle w:val="Normal"/>
        <w:suppressLineNumbers/>
        <w:ind w:start="1440" w:end="720"/>
        <w:rPr/>
      </w:pPr>
      <w:r>
        <w:rPr/>
      </w:r>
    </w:p>
    <w:p>
      <w:pPr>
        <w:pStyle w:val="Normal"/>
        <w:numPr>
          <w:ilvl w:val="0"/>
          <w:numId w:val="4"/>
        </w:numPr>
        <w:ind w:hanging="720" w:start="2160" w:end="720"/>
        <w:rPr/>
      </w:pPr>
      <w:r>
        <w:rPr/>
        <w:t>The need to moderate the impact on residential customers consistent with Water Code Section 80110; and</w:t>
      </w:r>
    </w:p>
    <w:p>
      <w:pPr>
        <w:pStyle w:val="Header"/>
        <w:suppressLineNumbers/>
        <w:tabs>
          <w:tab w:val="clear" w:pos="4320"/>
          <w:tab w:val="clear" w:pos="8640"/>
        </w:tabs>
        <w:ind w:end="720"/>
        <w:rPr/>
      </w:pPr>
      <w:r>
        <w:rPr/>
      </w:r>
    </w:p>
    <w:p>
      <w:pPr>
        <w:pStyle w:val="Normal"/>
        <w:numPr>
          <w:ilvl w:val="0"/>
          <w:numId w:val="4"/>
        </w:numPr>
        <w:ind w:hanging="720" w:start="2160" w:end="720"/>
        <w:rPr/>
      </w:pPr>
      <w:r>
        <w:rPr/>
        <w:t>The State’s vital interest in minimizing the impact of California’s businesses to assure the continued availability of jobs and to prevent the collapse of the State’s economy.</w:t>
      </w:r>
    </w:p>
    <w:p>
      <w:pPr>
        <w:pStyle w:val="Normal"/>
        <w:tabs>
          <w:tab w:val="clear" w:pos="720"/>
          <w:tab w:val="left" w:pos="8640" w:leader="none"/>
        </w:tabs>
        <w:ind w:end="720"/>
        <w:rPr/>
      </w:pPr>
      <w:r>
        <w:rPr/>
      </w:r>
    </w:p>
    <w:p>
      <w:pPr>
        <w:pStyle w:val="Normal"/>
        <w:tabs>
          <w:tab w:val="clear" w:pos="720"/>
          <w:tab w:val="left" w:pos="8640" w:leader="none"/>
        </w:tabs>
        <w:spacing w:lineRule="auto" w:line="480"/>
        <w:ind w:start="720" w:end="720"/>
        <w:rPr/>
      </w:pPr>
      <w:r>
        <w:rPr/>
        <w:t xml:space="preserve">As presented in Exhibit DWS-1, Schedule 1, the EPUC proposal allocates the revenue increase on an equal cents per kilowatthour using summer on-peak energy consumption.  For large industrial time-of-use (TOU) rate schedules, EPUC proposes to recover the amount allocated by increasing the summer on-peak energy charge, subject to a market-based cap.  The basis for this recommendation and the specific results from implementing this proposal are presented in Exhibit DWS-1, Schedules 1, 2 and 3.   </w:t>
      </w:r>
    </w:p>
    <w:p>
      <w:pPr>
        <w:pStyle w:val="Normal"/>
        <w:suppressLineNumbers/>
        <w:spacing w:lineRule="auto" w:line="480"/>
        <w:rPr/>
      </w:pPr>
      <w:r>
        <w:rPr/>
      </w:r>
    </w:p>
    <w:p>
      <w:pPr>
        <w:pStyle w:val="Normal"/>
        <w:suppressLineNumbers/>
        <w:rPr/>
      </w:pPr>
      <w:r>
        <w:rPr/>
      </w:r>
    </w:p>
    <w:p>
      <w:pPr>
        <w:pStyle w:val="Normal"/>
        <w:suppressLineNumbers/>
        <w:rPr/>
      </w:pPr>
      <w:r>
        <w:rPr/>
      </w:r>
    </w:p>
    <w:p>
      <w:pPr>
        <w:pStyle w:val="Heading5"/>
        <w:widowControl w:val="false"/>
        <w:rPr/>
      </w:pPr>
      <w:r>
        <w:rPr>
          <w:u w:val="none"/>
        </w:rPr>
        <w:t>II.</w:t>
        <w:tab/>
      </w:r>
      <w:r>
        <w:rPr/>
        <w:t>BACKGROUND</w:t>
      </w:r>
    </w:p>
    <w:p>
      <w:pPr>
        <w:pStyle w:val="Header"/>
        <w:suppressLineNumbers/>
        <w:tabs>
          <w:tab w:val="clear" w:pos="4320"/>
          <w:tab w:val="clear" w:pos="8640"/>
        </w:tabs>
        <w:rPr/>
      </w:pPr>
      <w:r>
        <w:rPr/>
      </w:r>
    </w:p>
    <w:p>
      <w:pPr>
        <w:pStyle w:val="Heading2"/>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1440" w:leader="none"/>
          <w:tab w:val="left" w:pos="-720" w:leader="none"/>
        </w:tabs>
        <w:spacing w:lineRule="auto" w:line="240"/>
        <w:rPr/>
      </w:pPr>
      <w:r>
        <w:rPr/>
        <w:t>Q</w:t>
        <w:tab/>
        <w:t>WHAT IS THE GENESIS OF THE EPUC COST ALLOCATION AND RATE DESIGN RECOMMENDATION?</w:t>
      </w:r>
    </w:p>
    <w:p>
      <w:pPr>
        <w:pStyle w:val="Normal"/>
        <w:widowControl/>
        <w:suppressLineNumbers/>
        <w:ind w:hanging="720" w:start="720" w:end="0"/>
        <w:rPr>
          <w:b/>
        </w:rPr>
      </w:pPr>
      <w:r>
        <w:rPr>
          <w:b/>
        </w:rPr>
      </w:r>
    </w:p>
    <w:p>
      <w:pPr>
        <w:pStyle w:val="Heading2"/>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1440" w:leader="none"/>
          <w:tab w:val="left" w:pos="-720" w:leader="none"/>
        </w:tabs>
        <w:rPr/>
      </w:pPr>
      <w:r>
        <w:rPr/>
        <w:t>A</w:t>
        <w:tab/>
      </w:r>
      <w:r>
        <w:rPr>
          <w:b w:val="false"/>
        </w:rPr>
        <w:t>Pursuant to the ACR’s Ruling dated March 26, 2001, and Oral Ruling of President Lynch during the April 2, 2001 Pre-hearing Conference in this proceeding, EPUC developed its recommended cost allocation and rate design recommendation to implement the rate increase authorized in D.01-03-082.</w:t>
      </w:r>
    </w:p>
    <w:p>
      <w:pPr>
        <w:pStyle w:val="Normal"/>
        <w:suppressLineNumbers/>
        <w:rPr>
          <w:b/>
        </w:rPr>
      </w:pPr>
      <w:r>
        <w:rPr>
          <w:b/>
        </w:rPr>
      </w:r>
    </w:p>
    <w:p>
      <w:pPr>
        <w:pStyle w:val="Normal"/>
        <w:suppressLineNumbers/>
        <w:rPr>
          <w:b/>
        </w:rPr>
      </w:pPr>
      <w:r>
        <w:rPr>
          <w:b/>
        </w:rPr>
      </w:r>
    </w:p>
    <w:p>
      <w:pPr>
        <w:pStyle w:val="Heading2"/>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1440" w:leader="none"/>
          <w:tab w:val="left" w:pos="-720" w:leader="none"/>
        </w:tabs>
        <w:spacing w:lineRule="auto" w:line="240"/>
        <w:rPr/>
      </w:pPr>
      <w:r>
        <w:rPr/>
        <w:t>Q</w:t>
        <w:tab/>
        <w:t>DID THE ACR PROVIDE ADDITIONAL GUIDANCE WITH REGARD TO A PRESENTATION OF PARTIES’ RECOMMENDATIONS IN THIS PROCEEDING?</w:t>
      </w:r>
    </w:p>
    <w:p>
      <w:pPr>
        <w:pStyle w:val="Normal"/>
        <w:widowControl/>
        <w:suppressLineNumbers/>
        <w:ind w:hanging="720" w:start="720" w:end="0"/>
        <w:rPr>
          <w:b/>
        </w:rPr>
      </w:pPr>
      <w:r>
        <w:rPr>
          <w:b/>
        </w:rPr>
      </w:r>
    </w:p>
    <w:p>
      <w:pPr>
        <w:pStyle w:val="Heading2"/>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1440" w:leader="none"/>
          <w:tab w:val="left" w:pos="-720" w:leader="none"/>
        </w:tabs>
        <w:rPr/>
      </w:pPr>
      <w:r>
        <w:rPr/>
        <w:t>A</w:t>
        <w:tab/>
      </w:r>
      <w:r>
        <w:rPr>
          <w:b w:val="false"/>
        </w:rPr>
        <w:t>Yes.</w:t>
      </w:r>
      <w:r>
        <w:rPr/>
        <w:t xml:space="preserve">  </w:t>
      </w:r>
      <w:r>
        <w:rPr>
          <w:b w:val="false"/>
        </w:rPr>
        <w:t xml:space="preserve">On April 11, 2001, President Lynch (the Assigned Commissioner) issued a ruling stating that  </w:t>
      </w:r>
    </w:p>
    <w:p>
      <w:pPr>
        <w:pStyle w:val="Heading2"/>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1440" w:leader="none"/>
          <w:tab w:val="left" w:pos="-720" w:leader="none"/>
        </w:tabs>
        <w:spacing w:lineRule="auto" w:line="240"/>
        <w:ind w:hanging="0" w:start="1440" w:end="1440"/>
        <w:rPr>
          <w:b w:val="false"/>
        </w:rPr>
      </w:pPr>
      <w:r>
        <w:rPr>
          <w:b w:val="false"/>
        </w:rPr>
        <w:t>The new rate design applies only to the rate surcharge of three-cents per kilowatt-hour (kWh) authorized in Decision (D.) 01-03-082.</w:t>
      </w:r>
    </w:p>
    <w:p>
      <w:pPr>
        <w:pStyle w:val="Normal"/>
        <w:rPr>
          <w:b/>
        </w:rPr>
      </w:pPr>
      <w:r>
        <w:rPr>
          <w:b/>
        </w:rPr>
      </w:r>
    </w:p>
    <w:p>
      <w:pPr>
        <w:pStyle w:val="Heading2"/>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1440" w:leader="none"/>
          <w:tab w:val="left" w:pos="-720" w:leader="none"/>
        </w:tabs>
        <w:ind w:hanging="0" w:end="0"/>
        <w:rPr>
          <w:b w:val="false"/>
        </w:rPr>
      </w:pPr>
      <w:r>
        <w:rPr>
          <w:b w:val="false"/>
        </w:rPr>
        <w:t>Furthermore, the Ruling stated that:</w:t>
      </w:r>
    </w:p>
    <w:p>
      <w:pPr>
        <w:pStyle w:val="Heading2"/>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1440" w:leader="none"/>
          <w:tab w:val="left" w:pos="-720" w:leader="none"/>
          <w:tab w:val="left" w:pos="8550" w:leader="none"/>
        </w:tabs>
        <w:spacing w:lineRule="auto" w:line="240"/>
        <w:ind w:hanging="0" w:start="1440" w:end="1440"/>
        <w:rPr/>
      </w:pPr>
      <w:r>
        <w:rPr>
          <w:b w:val="false"/>
        </w:rPr>
        <w:t>…</w:t>
      </w:r>
      <w:r>
        <w:rPr>
          <w:b w:val="false"/>
        </w:rPr>
        <w:t>[t]he Commission needs a fuller more robust evidentiary record to design new rates and that its decisionmaking should be based on evidentiary hearings, rather than written comments.  Therefore, rather than adopting the parties proposed schedule</w:t>
      </w:r>
      <w:r>
        <w:rPr>
          <w:b w:val="false"/>
          <w:vertAlign w:val="superscript"/>
        </w:rPr>
        <w:t>1</w:t>
      </w:r>
      <w:r>
        <w:rPr>
          <w:b w:val="false"/>
        </w:rPr>
        <w:t>, I direct parties to serve their rate design proposals as testimony on April 13, followed by a week of hearings beginning April 16…..To ensure a complete record that addresses the rate design goals of equity and conservation set forth in my March 29 ACR, the Commission may also invite expert witnesses to appear at hearing on April 23 and 24 to offer testimony evaluating how effectively the proposed rate design proposals meet these goals.</w:t>
      </w:r>
    </w:p>
    <w:p>
      <w:pPr>
        <w:pStyle w:val="Normal"/>
        <w:rPr>
          <w:b/>
        </w:rPr>
      </w:pPr>
      <w:r>
        <w:rPr>
          <w:b/>
        </w:rPr>
      </w:r>
    </w:p>
    <w:p>
      <w:pPr>
        <w:pStyle w:val="Normal"/>
        <w:spacing w:lineRule="auto" w:line="480"/>
        <w:ind w:hanging="720" w:start="720" w:end="0"/>
        <w:rPr/>
      </w:pPr>
      <w:r>
        <w:rPr/>
        <w:tab/>
        <w:t>Finally, the Ruling required the utilities to commence structural changes to the billing systems to accommodate a variety of possible rate designs including for non-residential tariffs:</w:t>
      </w:r>
    </w:p>
    <w:p>
      <w:pPr>
        <w:pStyle w:val="Normal"/>
        <w:rPr/>
      </w:pPr>
      <w:r>
        <w:rPr/>
        <w:tab/>
        <w:tab/>
        <w:t>Introduce tiering within the existing TOU rate structure,</w:t>
      </w:r>
    </w:p>
    <w:p>
      <w:pPr>
        <w:pStyle w:val="Normal"/>
        <w:rPr/>
      </w:pPr>
      <w:r>
        <w:rPr/>
      </w:r>
    </w:p>
    <w:p>
      <w:pPr>
        <w:pStyle w:val="Normal"/>
        <w:ind w:start="1440" w:end="0"/>
        <w:rPr/>
      </w:pPr>
      <w:r>
        <w:rPr/>
        <w:t>Design tiered and/or TOU rates for specific industries by Standard Industrial Classification Codes (SIC), and</w:t>
      </w:r>
    </w:p>
    <w:p>
      <w:pPr>
        <w:pStyle w:val="Normal"/>
        <w:rPr/>
      </w:pPr>
      <w:r>
        <w:rPr/>
      </w:r>
    </w:p>
    <w:p>
      <w:pPr>
        <w:pStyle w:val="Level1"/>
        <w:numPr>
          <w:ilvl w:val="0"/>
          <w:numId w:val="0"/>
        </w:numPr>
        <w:ind w:hanging="720" w:start="1440" w:end="0"/>
        <w:outlineLvl w:val="9"/>
        <w:rPr/>
      </w:pPr>
      <w:r>
        <w:rPr/>
        <w:tab/>
        <w:t>Create TOU tiers to capture energy usage above the individual customers’ previous year’s actual usage.</w:t>
      </w:r>
    </w:p>
    <w:p>
      <w:pPr>
        <w:pStyle w:val="Normal"/>
        <w:rPr/>
      </w:pPr>
      <w:r>
        <w:rPr/>
      </w:r>
    </w:p>
    <w:p>
      <w:pPr>
        <w:pStyle w:val="Normal"/>
        <w:rPr/>
      </w:pPr>
      <w:r>
        <w:rPr/>
      </w:r>
    </w:p>
    <w:p>
      <w:pPr>
        <w:pStyle w:val="Normal"/>
        <w:suppressLineNumbers/>
        <w:rPr/>
      </w:pPr>
      <w:r>
        <w:rPr/>
      </w:r>
    </w:p>
    <w:p>
      <w:pPr>
        <w:pStyle w:val="Normal"/>
        <w:widowControl/>
        <w:numPr>
          <w:ilvl w:val="0"/>
          <w:numId w:val="2"/>
        </w:numPr>
        <w:rPr>
          <w:b/>
          <w:u w:val="single"/>
        </w:rPr>
      </w:pPr>
      <w:r>
        <w:rPr>
          <w:b/>
          <w:u w:val="single"/>
        </w:rPr>
        <w:t>RECOMMENDED REVENUE ALLOCATION AND RATE DESIGN FOR THE ADOPTED PROCUREMENT INCREASE</w:t>
      </w:r>
    </w:p>
    <w:p>
      <w:pPr>
        <w:pStyle w:val="Normal"/>
        <w:widowControl/>
        <w:suppressLineNumbers/>
        <w:rPr>
          <w:b/>
          <w:u w:val="single"/>
        </w:rPr>
      </w:pPr>
      <w:r>
        <w:rPr>
          <w:b/>
          <w:u w:val="single"/>
        </w:rPr>
      </w:r>
    </w:p>
    <w:p>
      <w:pPr>
        <w:pStyle w:val="Heading2"/>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1440" w:leader="none"/>
          <w:tab w:val="left" w:pos="-720" w:leader="none"/>
        </w:tabs>
        <w:spacing w:lineRule="auto" w:line="240"/>
        <w:rPr/>
      </w:pPr>
      <w:r>
        <w:rPr/>
        <w:t>Q</w:t>
        <w:tab/>
        <w:t>WHAT IS EPUC’S RECOMMENDATION FOR ASSIGNING THE ADOPTED RATE INCREASE?</w:t>
      </w:r>
    </w:p>
    <w:p>
      <w:pPr>
        <w:pStyle w:val="Normal"/>
        <w:widowControl/>
        <w:suppressLineNumbers/>
        <w:ind w:hanging="720" w:start="720" w:end="0"/>
        <w:rPr>
          <w:b/>
        </w:rPr>
      </w:pPr>
      <w:r>
        <w:rPr>
          <w:b/>
        </w:rPr>
      </w:r>
    </w:p>
    <w:p>
      <w:pPr>
        <w:pStyle w:val="Heading2"/>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1440" w:leader="none"/>
          <w:tab w:val="left" w:pos="-720" w:leader="none"/>
        </w:tabs>
        <w:rPr/>
      </w:pPr>
      <w:r>
        <w:rPr/>
        <w:t>A</w:t>
        <w:tab/>
      </w:r>
      <w:r>
        <w:rPr>
          <w:b w:val="false"/>
        </w:rPr>
        <w:t>The EPUC recommendation assigns the adopted rate increase based upon an equal ¢/kWh basis for summer on-peak energy usage for each customer class, applying this same approach to the rate design of large industrial TOU rate tariffs.  The basis for EPUC’s recommendation is detailed in Exhibit DWS-1, Schedule 1, to this testimony.  Additionally, Exhibit DWS-1, Schedules 2 and 3, provide the detailed allocation and rate design for the Southern California Edison Company (“SCE”) and Pacific Gas and Electric Company (“PG&amp;E”), respectively.</w:t>
      </w:r>
    </w:p>
    <w:p>
      <w:pPr>
        <w:pStyle w:val="Normal"/>
        <w:suppressLineNumbers/>
        <w:rPr>
          <w:b/>
        </w:rPr>
      </w:pPr>
      <w:r>
        <w:rPr>
          <w:b/>
        </w:rPr>
      </w:r>
    </w:p>
    <w:p>
      <w:pPr>
        <w:pStyle w:val="Normal"/>
        <w:suppressLineNumbers/>
        <w:rPr>
          <w:b/>
        </w:rPr>
      </w:pPr>
      <w:r>
        <w:rPr>
          <w:b/>
        </w:rPr>
      </w:r>
    </w:p>
    <w:p>
      <w:pPr>
        <w:pStyle w:val="Heading2"/>
        <w:keepNext w:val="false"/>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1440" w:leader="none"/>
          <w:tab w:val="left" w:pos="-720" w:leader="none"/>
        </w:tabs>
        <w:spacing w:lineRule="auto" w:line="240"/>
        <w:rPr/>
      </w:pPr>
      <w:r>
        <w:rPr/>
        <w:t>Q</w:t>
        <w:tab/>
        <w:t>DOES THE EPUC RECOMMENDATION SATISFY THE ACR CONCERNS WITH RESPECT TO EQUITY AND CONSERVATION?</w:t>
      </w:r>
    </w:p>
    <w:p>
      <w:pPr>
        <w:pStyle w:val="Normal"/>
        <w:rPr/>
      </w:pPr>
      <w:r>
        <w:rPr/>
      </w:r>
    </w:p>
    <w:p>
      <w:pPr>
        <w:pStyle w:val="Heading2"/>
        <w:keepNext w:val="false"/>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1440" w:leader="none"/>
          <w:tab w:val="left" w:pos="-720" w:leader="none"/>
        </w:tabs>
        <w:rPr/>
      </w:pPr>
      <w:r>
        <w:rPr/>
        <w:t>A</w:t>
        <w:tab/>
        <w:t xml:space="preserve"> </w:t>
      </w:r>
      <w:r>
        <w:rPr>
          <w:b w:val="false"/>
        </w:rPr>
        <w:t xml:space="preserve">Absolutely.   By assigning and recovering the revenue increase to the summer on-peak hours of the large TOU rate schedules, the resulting rates send a clear and uniform price signal to these customers of the cost of providing service during this critical period.  On the one hand, it sends the strongest possible price signal for customers who choose to conserve or shift energy away from this period.  These customers are rewarded for their efforts at about the full marginal cost savings to the utility.  On the other hand, for those customers who elect to use any energy during this period, they pay roughly the full market cost of the power.  Thus, each customer can independently choose its course of action without imposing costs on any other customer.  For these and other reasons, the proposal fully and completely addresses the equity and conservation concerns.  </w:t>
      </w:r>
    </w:p>
    <w:p>
      <w:pPr>
        <w:pStyle w:val="Heading2"/>
        <w:keepNext w:val="false"/>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1440" w:leader="none"/>
          <w:tab w:val="left" w:pos="-720" w:leader="none"/>
        </w:tabs>
        <w:spacing w:lineRule="auto" w:line="240"/>
        <w:rPr/>
      </w:pPr>
      <w:r>
        <w:rPr/>
        <w:t>Q.</w:t>
        <w:tab/>
        <w:t>DOES EPUC SUPPORT THE INTRODUCTION OF TIERING EXISTING TOU SCHEDULES OR NEW SIC SCHEDULES?</w:t>
      </w:r>
    </w:p>
    <w:p>
      <w:pPr>
        <w:pStyle w:val="Normal"/>
        <w:rPr/>
      </w:pPr>
      <w:r>
        <w:rPr/>
      </w:r>
    </w:p>
    <w:p>
      <w:pPr>
        <w:pStyle w:val="Normal"/>
        <w:spacing w:lineRule="auto" w:line="480"/>
        <w:ind w:hanging="720" w:start="720" w:end="0"/>
        <w:rPr/>
      </w:pPr>
      <w:r>
        <w:rPr>
          <w:b/>
        </w:rPr>
        <w:t>A.</w:t>
      </w:r>
      <w:r>
        <w:rPr/>
        <w:tab/>
        <w:t xml:space="preserve">No.  EPUC opposes these types of rate designs since they are not equitable; they do not encourage conservation and would be an administrative nightmare to maintain.  Instituting tiers within a properly designed TOU schedule makes no sense since all energy used during a given time period—such as summer on-peak hours-has about the same cost and consequently, should be charged at the same price.  What would be particularly inequitable would be introducing tiers based upon a prior years’ usage level.  No matter how appealing it may sound to price load growth above some prior years’ benchmark, in reality, there is no distinction between the cost of serving “existing” or “vintage”  kilowatthours versus “load growth” kilowatthours at any particular time.  </w:t>
      </w:r>
    </w:p>
    <w:p>
      <w:pPr>
        <w:pStyle w:val="Normal"/>
        <w:spacing w:lineRule="auto" w:line="480"/>
        <w:ind w:hanging="720" w:start="720" w:end="0"/>
        <w:rPr/>
      </w:pPr>
      <w:r>
        <w:rPr/>
      </w:r>
    </w:p>
    <w:p>
      <w:pPr>
        <w:pStyle w:val="Normal"/>
        <w:spacing w:lineRule="auto" w:line="480"/>
        <w:ind w:start="720" w:end="0"/>
        <w:rPr/>
      </w:pPr>
      <w:r>
        <w:rPr/>
        <w:t>To illustrate, assume a new industrial customer would like to compete with an existing industry which supplies pure silicon for later use in the manufacture of computer chips.  The introduction of “vintage” or benchmark tiering would place the potential competitor at a severe disadvantage.  All the “new” consumption in this energy intensive process would be at the marginal price while his less efficient competitor could simply maintain the current energy level and have a substantially lower energy, and consequently production, cost.  Both common sense and equity demands that these two customers should be charged the same price for their electric consumption.  In addition, only the new customer is given a strong signal to conserve energy while the existing customer is given no incentive to conserve energy.  Similar logic can be applied to two industries with different SIC codes but identical energy usage patterns.  It is simply inequitable to charge these two customers different prices.</w:t>
      </w:r>
    </w:p>
    <w:p>
      <w:pPr>
        <w:pStyle w:val="Normal"/>
        <w:spacing w:lineRule="auto" w:line="480"/>
        <w:ind w:hanging="720" w:start="720" w:end="0"/>
        <w:rPr/>
      </w:pPr>
      <w:r>
        <w:rPr/>
      </w:r>
    </w:p>
    <w:p>
      <w:pPr>
        <w:pStyle w:val="BodyText"/>
        <w:widowControl w:val="false"/>
        <w:ind w:hanging="720" w:start="720" w:end="0"/>
        <w:rPr/>
      </w:pPr>
      <w:r>
        <w:rPr/>
        <w:t>Q.</w:t>
        <w:tab/>
        <w:t>WHY WOULD THE INTRODUCTION OF TIERED RATES BASED UPON HISTORICAL USAGE BE AN ADMINISTRATIVE NIGHTMARE?</w:t>
      </w:r>
    </w:p>
    <w:p>
      <w:pPr>
        <w:pStyle w:val="Normal"/>
        <w:rPr>
          <w:b/>
        </w:rPr>
      </w:pPr>
      <w:r>
        <w:rPr>
          <w:b/>
        </w:rPr>
      </w:r>
    </w:p>
    <w:p>
      <w:pPr>
        <w:pStyle w:val="Normal"/>
        <w:spacing w:lineRule="auto" w:line="480"/>
        <w:ind w:hanging="720" w:start="720" w:end="0"/>
        <w:rPr/>
      </w:pPr>
      <w:r>
        <w:rPr>
          <w:b/>
        </w:rPr>
        <w:t>A.</w:t>
      </w:r>
      <w:r>
        <w:rPr/>
        <w:tab/>
        <w:t xml:space="preserve">A utility’s customer base is not static.  Both commercial and industrial operations are continually changing through re-location, going out of business, starting new operations or processes at an existing or new location.  All these—and many, many more--examples and real life circumstances will have to be dealt with on a continuous, ongoing basis.  It would be impossible to establish the needed rules to deal with these numerous situations in the short time there is to establish rates in this proceeding.  </w:t>
      </w:r>
    </w:p>
    <w:p>
      <w:pPr>
        <w:pStyle w:val="Normal"/>
        <w:rPr/>
      </w:pPr>
      <w:r>
        <w:rPr/>
      </w:r>
    </w:p>
    <w:p>
      <w:pPr>
        <w:pStyle w:val="BodyText"/>
        <w:widowControl w:val="false"/>
        <w:ind w:hanging="720" w:start="720" w:end="0"/>
        <w:rPr/>
      </w:pPr>
      <w:r>
        <w:rPr/>
        <w:t>Q.</w:t>
        <w:tab/>
        <w:t>ARE YOU AWARE OF A UTILITY THAT IMPLEMENTED TIERED RATES BASED UPON PRIOR USAGE CONSUMPTION?</w:t>
      </w:r>
    </w:p>
    <w:p>
      <w:pPr>
        <w:pStyle w:val="Normal"/>
        <w:rPr>
          <w:b/>
        </w:rPr>
      </w:pPr>
      <w:r>
        <w:rPr>
          <w:b/>
        </w:rPr>
      </w:r>
    </w:p>
    <w:p>
      <w:pPr>
        <w:pStyle w:val="Normal"/>
        <w:spacing w:lineRule="auto" w:line="480"/>
        <w:ind w:hanging="720" w:start="720" w:end="0"/>
        <w:rPr/>
      </w:pPr>
      <w:r>
        <w:rPr>
          <w:b/>
        </w:rPr>
        <w:t>A.</w:t>
      </w:r>
      <w:r>
        <w:rPr/>
        <w:tab/>
        <w:t xml:space="preserve">Yes.  Many years ago, Seattle City Light (the municipal utility serving the city of Seattle) put tiered rates in place to reflect the transition from being a hydro-based utility to having to acquire supplemental thermal resources or purchased power.  The lower tier was based on prior customer usage.  These “benchmark” rates were in place for only one rate period because of the impracticality—the administrative burden—of maintaining the rates coupled with concerns over rate payer equity. </w:t>
      </w:r>
    </w:p>
    <w:p>
      <w:pPr>
        <w:pStyle w:val="Normal"/>
        <w:rPr>
          <w:rFonts w:eastAsia="Arial"/>
        </w:rPr>
      </w:pPr>
      <w:r>
        <w:rPr>
          <w:rFonts w:eastAsia="Arial"/>
        </w:rPr>
        <w:t xml:space="preserve">  </w:t>
      </w:r>
    </w:p>
    <w:p>
      <w:pPr>
        <w:pStyle w:val="Normal"/>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480"/>
        <w:ind w:hanging="720" w:start="720" w:end="0"/>
        <w:rPr>
          <w:b/>
        </w:rPr>
      </w:pPr>
      <w:r>
        <w:rPr>
          <w:b/>
        </w:rPr>
        <w:t>Q</w:t>
        <w:tab/>
        <w:t>DOES THIS CONCLUDE YOUR TESTIMONY?</w:t>
      </w:r>
    </w:p>
    <w:p>
      <w:pPr>
        <w:sectPr>
          <w:footerReference w:type="default" r:id="rId2"/>
          <w:type w:val="nextPage"/>
          <w:pgSz w:w="12240" w:h="15840"/>
          <w:pgMar w:left="1440" w:right="1440" w:gutter="0" w:header="0" w:top="1440" w:footer="1440" w:bottom="1496"/>
          <w:lnNumType w:countBy="1" w:restart="newPage" w:distance="283"/>
          <w:pgNumType w:start="1" w:fmt="decimal"/>
          <w:formProt w:val="false"/>
          <w:textDirection w:val="lrTb"/>
          <w:docGrid w:type="default" w:linePitch="360" w:charSpace="0"/>
        </w:sect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480"/>
        <w:ind w:hanging="720" w:start="720" w:end="0"/>
        <w:rPr/>
      </w:pPr>
      <w:r>
        <w:rPr>
          <w:b/>
        </w:rPr>
        <w:t>A</w:t>
      </w:r>
      <w:r>
        <w:rPr/>
        <w:tab/>
        <w:t>Yes, it does.</w:t>
      </w:r>
    </w:p>
    <w:p>
      <w:pPr>
        <w:pStyle w:val="Header"/>
        <w:widowControl/>
        <w:tabs>
          <w:tab w:val="clear" w:pos="4320"/>
          <w:tab w:val="center" w:pos="4680" w:leader="none"/>
          <w:tab w:val="left" w:pos="5760" w:leader="none"/>
          <w:tab w:val="left" w:pos="7200" w:leader="none"/>
          <w:tab w:val="left" w:pos="8640" w:leader="none"/>
        </w:tabs>
        <w:jc w:val="end"/>
        <w:rPr>
          <w:lang w:val="fr-FR"/>
        </w:rPr>
      </w:pPr>
      <w:r>
        <w:rPr>
          <w:lang w:val="fr-FR"/>
        </w:rPr>
        <w:t>Appendix A</w:t>
      </w:r>
    </w:p>
    <w:p>
      <w:pPr>
        <w:pStyle w:val="Normal"/>
        <w:widowControl/>
        <w:tabs>
          <w:tab w:val="clear" w:pos="720"/>
          <w:tab w:val="center" w:pos="4680" w:leader="none"/>
          <w:tab w:val="left" w:pos="5760" w:leader="none"/>
          <w:tab w:val="left" w:pos="7200" w:leader="none"/>
          <w:tab w:val="left" w:pos="8640" w:leader="none"/>
        </w:tabs>
        <w:jc w:val="end"/>
        <w:rPr>
          <w:lang w:val="fr-FR"/>
        </w:rPr>
      </w:pPr>
      <w:r>
        <w:rPr>
          <w:lang w:val="fr-FR"/>
        </w:rPr>
        <w:t>Donald W. Schoenbeck</w:t>
      </w:r>
    </w:p>
    <w:p>
      <w:pPr>
        <w:pStyle w:val="Normal"/>
        <w:widowControl/>
        <w:tabs>
          <w:tab w:val="clear" w:pos="720"/>
          <w:tab w:val="center" w:pos="4680" w:leader="none"/>
          <w:tab w:val="left" w:pos="5760" w:leader="none"/>
          <w:tab w:val="left" w:pos="7200" w:leader="none"/>
          <w:tab w:val="left" w:pos="8640" w:leader="none"/>
        </w:tabs>
        <w:jc w:val="end"/>
        <w:rPr/>
      </w:pPr>
      <w:r>
        <w:rPr/>
        <w:t>Page 1 of 2</w:t>
      </w:r>
    </w:p>
    <w:p>
      <w:pPr>
        <w:pStyle w:val="Normal"/>
        <w:widowControl/>
        <w:tabs>
          <w:tab w:val="clear" w:pos="720"/>
          <w:tab w:val="center" w:pos="4680" w:leader="none"/>
          <w:tab w:val="left" w:pos="5760" w:leader="none"/>
          <w:tab w:val="left" w:pos="7200" w:leader="none"/>
          <w:tab w:val="left" w:pos="8640" w:leader="none"/>
        </w:tabs>
        <w:rPr/>
      </w:pPr>
      <w:r>
        <w:rPr/>
      </w:r>
    </w:p>
    <w:p>
      <w:pPr>
        <w:pStyle w:val="Normal"/>
        <w:widowControl/>
        <w:tabs>
          <w:tab w:val="clear" w:pos="720"/>
          <w:tab w:val="center" w:pos="4680" w:leader="none"/>
          <w:tab w:val="left" w:pos="5760" w:leader="none"/>
          <w:tab w:val="left" w:pos="7200" w:leader="none"/>
          <w:tab w:val="left" w:pos="8640" w:leader="none"/>
        </w:tabs>
        <w:rPr/>
      </w:pPr>
      <w:r>
        <w:rPr/>
      </w:r>
    </w:p>
    <w:p>
      <w:pPr>
        <w:pStyle w:val="Normal"/>
        <w:tabs>
          <w:tab w:val="clear" w:pos="720"/>
          <w:tab w:val="center" w:pos="4680" w:leader="none"/>
        </w:tabs>
        <w:jc w:val="both"/>
        <w:rPr/>
      </w:pPr>
      <w:r>
        <w:rPr/>
        <w:tab/>
      </w:r>
      <w:r>
        <w:rPr>
          <w:b/>
        </w:rPr>
        <w:t>QUALIFICATIONS AND BACKGROUND</w:t>
      </w:r>
    </w:p>
    <w:p>
      <w:pPr>
        <w:pStyle w:val="Normal"/>
        <w:tabs>
          <w:tab w:val="clear" w:pos="720"/>
          <w:tab w:val="center" w:pos="4680" w:leader="none"/>
        </w:tabs>
        <w:jc w:val="both"/>
        <w:rPr>
          <w:b/>
        </w:rPr>
      </w:pPr>
      <w:r>
        <w:rPr>
          <w:b/>
        </w:rPr>
        <w:tab/>
        <w:t>OF</w:t>
      </w:r>
    </w:p>
    <w:p>
      <w:pPr>
        <w:pStyle w:val="Normal"/>
        <w:tabs>
          <w:tab w:val="clear" w:pos="720"/>
          <w:tab w:val="center" w:pos="4680" w:leader="none"/>
        </w:tabs>
        <w:spacing w:lineRule="auto" w:line="480"/>
        <w:jc w:val="both"/>
        <w:rPr>
          <w:b/>
        </w:rPr>
      </w:pPr>
      <w:r>
        <w:rPr>
          <w:b/>
        </w:rPr>
        <w:tab/>
        <w:t>DONALD W. SCHOENBECK</w:t>
      </w:r>
    </w:p>
    <w:p>
      <w:pPr>
        <w:pStyle w:val="Normal"/>
        <w:tabs>
          <w:tab w:val="clear" w:pos="720"/>
          <w:tab w:val="left" w:pos="-1440" w:leader="none"/>
        </w:tabs>
        <w:spacing w:lineRule="auto" w:line="480"/>
        <w:jc w:val="both"/>
        <w:rPr>
          <w:b/>
        </w:rPr>
      </w:pPr>
      <w:r>
        <w:rPr>
          <w:b/>
        </w:rPr>
        <w:t>Q</w:t>
        <w:tab/>
        <w:t>PLEASE STATE YOUR NAME AND BUSINESS ADDRESS.</w:t>
      </w:r>
    </w:p>
    <w:p>
      <w:pPr>
        <w:pStyle w:val="Normal"/>
        <w:tabs>
          <w:tab w:val="clear" w:pos="720"/>
          <w:tab w:val="left" w:pos="-1440" w:leader="none"/>
        </w:tabs>
        <w:spacing w:lineRule="auto" w:line="480"/>
        <w:ind w:hanging="720" w:start="720" w:end="0"/>
        <w:jc w:val="both"/>
        <w:rPr/>
      </w:pPr>
      <w:r>
        <w:rPr>
          <w:b/>
        </w:rPr>
        <w:t>A</w:t>
      </w:r>
      <w:r>
        <w:rPr/>
        <w:tab/>
        <w:t>Donald W. Schoenbeck, 900 Washington Street, Suite 1000, Vancouver, Washington 98660.</w:t>
      </w:r>
    </w:p>
    <w:p>
      <w:pPr>
        <w:pStyle w:val="Normal"/>
        <w:spacing w:lineRule="auto" w:line="480"/>
        <w:jc w:val="both"/>
        <w:rPr/>
      </w:pPr>
      <w:r>
        <w:rPr/>
      </w:r>
    </w:p>
    <w:p>
      <w:pPr>
        <w:pStyle w:val="Normal"/>
        <w:tabs>
          <w:tab w:val="clear" w:pos="720"/>
          <w:tab w:val="left" w:pos="-1440" w:leader="none"/>
        </w:tabs>
        <w:spacing w:lineRule="auto" w:line="480"/>
        <w:ind w:hanging="720" w:start="720" w:end="0"/>
        <w:jc w:val="both"/>
        <w:rPr>
          <w:b/>
        </w:rPr>
      </w:pPr>
      <w:r>
        <w:rPr>
          <w:b/>
        </w:rPr>
        <w:t>Q</w:t>
        <w:tab/>
        <w:t>PLEASE STATE YOUR OCCUPATION.</w:t>
      </w:r>
    </w:p>
    <w:p>
      <w:pPr>
        <w:pStyle w:val="Normal"/>
        <w:tabs>
          <w:tab w:val="clear" w:pos="720"/>
          <w:tab w:val="left" w:pos="-1440" w:leader="none"/>
        </w:tabs>
        <w:spacing w:lineRule="auto" w:line="480"/>
        <w:ind w:hanging="720" w:start="720" w:end="0"/>
        <w:jc w:val="both"/>
        <w:rPr/>
      </w:pPr>
      <w:r>
        <w:rPr>
          <w:b/>
        </w:rPr>
        <w:t>A</w:t>
      </w:r>
      <w:r>
        <w:rPr/>
        <w:tab/>
        <w:t>I am a consultant in the field of public utility regulation and I am a member of Regulatory &amp; Cogener</w:t>
        <w:softHyphen/>
        <w:t>ation Services, Inc. (RCS).</w:t>
      </w:r>
    </w:p>
    <w:p>
      <w:pPr>
        <w:pStyle w:val="Normal"/>
        <w:spacing w:lineRule="auto" w:line="480"/>
        <w:jc w:val="both"/>
        <w:rPr/>
      </w:pPr>
      <w:r>
        <w:rPr/>
      </w:r>
    </w:p>
    <w:p>
      <w:pPr>
        <w:pStyle w:val="Normal"/>
        <w:tabs>
          <w:tab w:val="clear" w:pos="720"/>
          <w:tab w:val="left" w:pos="-1440" w:leader="none"/>
        </w:tabs>
        <w:ind w:hanging="720" w:start="720" w:end="0"/>
        <w:jc w:val="both"/>
        <w:rPr>
          <w:b/>
        </w:rPr>
      </w:pPr>
      <w:r>
        <w:rPr>
          <w:b/>
        </w:rPr>
        <w:t>Q</w:t>
        <w:tab/>
        <w:t>PLEASE SUMMARIZE YOUR EDUCATIONAL BACKGROUND AND EXPERIENCE.</w:t>
      </w:r>
    </w:p>
    <w:p>
      <w:pPr>
        <w:pStyle w:val="Normal"/>
        <w:jc w:val="both"/>
        <w:rPr>
          <w:b/>
        </w:rPr>
      </w:pPr>
      <w:r>
        <w:rPr>
          <w:b/>
        </w:rPr>
      </w:r>
    </w:p>
    <w:p>
      <w:pPr>
        <w:pStyle w:val="Normal"/>
        <w:tabs>
          <w:tab w:val="clear" w:pos="720"/>
          <w:tab w:val="left" w:pos="-1440" w:leader="none"/>
        </w:tabs>
        <w:spacing w:lineRule="auto" w:line="480"/>
        <w:ind w:hanging="720" w:start="720" w:end="0"/>
        <w:jc w:val="both"/>
        <w:rPr/>
      </w:pPr>
      <w:r>
        <w:rPr>
          <w:b/>
        </w:rPr>
        <w:t>A</w:t>
      </w:r>
      <w:r>
        <w:rPr/>
        <w:tab/>
        <w:t>I have a Bachelor of Science Degree in Electrical Engineer</w:t>
        <w:softHyphen/>
        <w:t xml:space="preserve">ing from the University of Kansas and a Master of Science Degree in Engineering Management from the University of Missouri.  </w:t>
      </w:r>
    </w:p>
    <w:p>
      <w:pPr>
        <w:pStyle w:val="Normal"/>
        <w:spacing w:lineRule="auto" w:line="480"/>
        <w:ind w:firstLine="720" w:start="720" w:end="0"/>
        <w:jc w:val="both"/>
        <w:rPr/>
      </w:pPr>
      <w:r>
        <w:rPr/>
        <w:t>From June of 1972 until June of 1980, I was employed by Union Electric Company in the Transmission and Distribution, Rates, and Corporate Planning functions.  In the Transmis</w:t>
        <w:softHyphen/>
        <w:t>sion and Distribution function, I had various areas of responsibility, including load management, budget proposals and special studies.  While in the Rates function, I worked on rate design studies, filings and exhibits for</w:t>
      </w:r>
    </w:p>
    <w:p>
      <w:pPr>
        <w:pStyle w:val="Normal"/>
        <w:spacing w:lineRule="auto" w:line="480"/>
        <w:ind w:start="720" w:end="0"/>
        <w:jc w:val="both"/>
        <w:rPr/>
      </w:pPr>
      <w:r>
        <w:rPr>
          <w:rFonts w:eastAsia="Arial"/>
        </w:rPr>
        <w:t xml:space="preserve"> </w:t>
      </w:r>
      <w:r>
        <w:rPr/>
        <w:t xml:space="preserve">several regulatory jurisdictions.  In Corporate Planning, I was responsible for the </w:t>
      </w:r>
      <w:r>
        <w:br w:type="page"/>
      </w:r>
    </w:p>
    <w:p>
      <w:pPr>
        <w:pStyle w:val="Header"/>
        <w:widowControl/>
        <w:tabs>
          <w:tab w:val="clear" w:pos="4320"/>
          <w:tab w:val="center" w:pos="4680" w:leader="none"/>
          <w:tab w:val="left" w:pos="5760" w:leader="none"/>
          <w:tab w:val="left" w:pos="7200" w:leader="none"/>
          <w:tab w:val="left" w:pos="8640" w:leader="none"/>
        </w:tabs>
        <w:jc w:val="end"/>
        <w:rPr>
          <w:lang w:val="fr-FR"/>
        </w:rPr>
      </w:pPr>
      <w:r>
        <w:rPr>
          <w:lang w:val="fr-FR"/>
        </w:rPr>
        <w:t>Appendix A</w:t>
      </w:r>
    </w:p>
    <w:p>
      <w:pPr>
        <w:pStyle w:val="Normal"/>
        <w:widowControl/>
        <w:tabs>
          <w:tab w:val="clear" w:pos="720"/>
          <w:tab w:val="center" w:pos="4680" w:leader="none"/>
          <w:tab w:val="left" w:pos="5760" w:leader="none"/>
          <w:tab w:val="left" w:pos="7200" w:leader="none"/>
          <w:tab w:val="left" w:pos="8640" w:leader="none"/>
        </w:tabs>
        <w:jc w:val="end"/>
        <w:rPr>
          <w:lang w:val="fr-FR"/>
        </w:rPr>
      </w:pPr>
      <w:r>
        <w:rPr>
          <w:lang w:val="fr-FR"/>
        </w:rPr>
        <w:t>Donald W. Schoenbeck</w:t>
      </w:r>
    </w:p>
    <w:p>
      <w:pPr>
        <w:pStyle w:val="Normal"/>
        <w:spacing w:lineRule="auto" w:line="480"/>
        <w:ind w:firstLine="720" w:start="720" w:end="0"/>
        <w:jc w:val="end"/>
        <w:rPr>
          <w:sz w:val="20"/>
        </w:rPr>
      </w:pPr>
      <w:r>
        <w:rPr/>
        <w:t>Page 2 of 2</w:t>
      </w:r>
    </w:p>
    <w:p>
      <w:pPr>
        <w:pStyle w:val="Normal"/>
        <w:spacing w:lineRule="auto" w:line="480"/>
        <w:ind w:start="720" w:end="0"/>
        <w:jc w:val="both"/>
        <w:rPr/>
      </w:pPr>
      <w:r>
        <w:rPr/>
        <w:t xml:space="preserve">development and maintenance of computer models used to simulate the Company's financial and economic operations.  </w:t>
      </w:r>
    </w:p>
    <w:p>
      <w:pPr>
        <w:pStyle w:val="Normal"/>
        <w:spacing w:lineRule="auto" w:line="480"/>
        <w:ind w:firstLine="720" w:start="720" w:end="0"/>
        <w:jc w:val="both"/>
        <w:rPr/>
      </w:pPr>
      <w:r>
        <w:rPr/>
        <w:t>In June of 1980, I joined the national consulting firm of Drazen-Brubaker &amp; Associates, Inc.  Since that time, I have participated in the analysis of various utilities for power cost forecasts, avoid</w:t>
        <w:softHyphen/>
        <w:t>ed cost pricing, contract nego</w:t>
        <w:softHyphen/>
        <w:t>tiations for gas and electric services, siting and licensing pro</w:t>
        <w:softHyphen/>
        <w:t>ceedings, and rate case purposes including revenue re</w:t>
        <w:softHyphen/>
        <w:t>quirement determination, class cost-of-service and rate de</w:t>
        <w:softHyphen/>
        <w:t>sign.</w:t>
      </w:r>
    </w:p>
    <w:p>
      <w:pPr>
        <w:pStyle w:val="Normal"/>
        <w:spacing w:lineRule="auto" w:line="480"/>
        <w:ind w:firstLine="720" w:start="720" w:end="0"/>
        <w:jc w:val="both"/>
        <w:rPr/>
      </w:pPr>
      <w:r>
        <w:rPr/>
        <w:t>RCS provides consulting services in the field of public utility regulation to many clients, including large indus</w:t>
        <w:softHyphen/>
        <w:t>trial and institutional customers.  We also assist in the negotiation of con</w:t>
        <w:softHyphen/>
        <w:t>tracts for utility services for large users.  In general, we are engaged in regulatory consulting, rate work, feasibility, economic and cost-of-service studies, design of rates for utility service and con</w:t>
        <w:softHyphen/>
        <w:t xml:space="preserve">tract negotiations.  </w:t>
      </w:r>
    </w:p>
    <w:p>
      <w:pPr>
        <w:pStyle w:val="Normal"/>
        <w:spacing w:lineRule="auto" w:line="480"/>
        <w:jc w:val="both"/>
        <w:rPr/>
      </w:pPr>
      <w:r>
        <w:rPr/>
      </w:r>
    </w:p>
    <w:p>
      <w:pPr>
        <w:pStyle w:val="Normal"/>
        <w:tabs>
          <w:tab w:val="clear" w:pos="720"/>
          <w:tab w:val="left" w:pos="-1440" w:leader="none"/>
        </w:tabs>
        <w:ind w:hanging="720" w:start="720" w:end="0"/>
        <w:jc w:val="both"/>
        <w:rPr>
          <w:b/>
        </w:rPr>
      </w:pPr>
      <w:r>
        <w:rPr>
          <w:b/>
        </w:rPr>
        <w:t>Q</w:t>
        <w:tab/>
        <w:t>IN WHICH JURISDICTIONS HAVE YOU TESTIFIED AS AN EXPERT WIT</w:t>
        <w:softHyphen/>
        <w:t>NESS REGARDING UTILITY COST AND RATE MATTERS?</w:t>
      </w:r>
    </w:p>
    <w:p>
      <w:pPr>
        <w:pStyle w:val="Normal"/>
        <w:jc w:val="both"/>
        <w:rPr>
          <w:b/>
        </w:rPr>
      </w:pPr>
      <w:r>
        <w:rPr>
          <w:b/>
        </w:rPr>
      </w:r>
    </w:p>
    <w:p>
      <w:pPr>
        <w:pStyle w:val="Normal"/>
        <w:tabs>
          <w:tab w:val="clear" w:pos="720"/>
          <w:tab w:val="left" w:pos="-1440" w:leader="none"/>
        </w:tabs>
        <w:spacing w:lineRule="auto" w:line="480"/>
        <w:ind w:hanging="720" w:start="720" w:end="0"/>
        <w:jc w:val="both"/>
        <w:rPr/>
      </w:pPr>
      <w:r>
        <w:rPr>
          <w:b/>
        </w:rPr>
        <w:t>A</w:t>
      </w:r>
      <w:r>
        <w:rPr/>
        <w:tab/>
        <w:t>I have testified as an expert witness in rate proceedings before commissions in the States of Alaska, Arizona, California, Delaware, Idaho, Illinois, Montana, Nevada, North Carolina, Ohio, Oregon, Washington, Wisconsin and Wyoming.  In addition, I have presented testimony before the Bonne</w:t>
        <w:softHyphen/>
        <w:t>ville Power Administration, the National Energy Board of Canada, the Federal Energy Regulatory Commission, publicly-owned utility boards and in court pro</w:t>
        <w:softHyphen/>
        <w:t>ceedings in the States of Washington, Oregon and California.</w:t>
      </w:r>
    </w:p>
    <w:p>
      <w:pPr>
        <w:pStyle w:val="Heading"/>
        <w:jc w:val="end"/>
        <w:rPr/>
      </w:pPr>
      <w:r>
        <w:rPr/>
      </w:r>
    </w:p>
    <w:p>
      <w:pPr>
        <w:pStyle w:val="Heading"/>
        <w:tabs>
          <w:tab w:val="clear" w:pos="720"/>
          <w:tab w:val="left" w:pos="440" w:leader="none"/>
        </w:tabs>
        <w:jc w:val="start"/>
        <w:rPr>
          <w:b w:val="false"/>
        </w:rPr>
      </w:pPr>
      <w:r>
        <w:rPr>
          <w:b w:val="false"/>
        </w:rPr>
        <w:tab/>
        <w:tab/>
        <w:tab/>
        <w:tab/>
        <w:tab/>
        <w:tab/>
        <w:tab/>
        <w:tab/>
        <w:tab/>
        <w:tab/>
        <w:t xml:space="preserve">          Exhibit DWS-1 (      )</w:t>
      </w:r>
    </w:p>
    <w:p>
      <w:pPr>
        <w:pStyle w:val="Heading"/>
        <w:jc w:val="end"/>
        <w:rPr>
          <w:b w:val="false"/>
        </w:rPr>
      </w:pPr>
      <w:r>
        <w:rPr>
          <w:b w:val="false"/>
        </w:rPr>
        <w:t>Schedule 1</w:t>
      </w:r>
    </w:p>
    <w:p>
      <w:pPr>
        <w:pStyle w:val="Heading"/>
        <w:rPr>
          <w:b w:val="false"/>
        </w:rPr>
      </w:pPr>
      <w:r>
        <w:rPr>
          <w:b w:val="false"/>
        </w:rPr>
      </w:r>
    </w:p>
    <w:p>
      <w:pPr>
        <w:pStyle w:val="Heading"/>
        <w:rPr/>
      </w:pPr>
      <w:r>
        <w:rPr/>
      </w:r>
    </w:p>
    <w:p>
      <w:pPr>
        <w:pStyle w:val="Heading"/>
        <w:rPr/>
      </w:pPr>
      <w:r>
        <w:rPr/>
      </w:r>
    </w:p>
    <w:p>
      <w:pPr>
        <w:pStyle w:val="Heading"/>
        <w:rPr/>
      </w:pPr>
      <w:r>
        <w:rPr/>
      </w:r>
    </w:p>
    <w:p>
      <w:pPr>
        <w:pStyle w:val="Heading"/>
        <w:rPr/>
      </w:pPr>
      <w:r>
        <w:rPr/>
      </w:r>
    </w:p>
    <w:p>
      <w:pPr>
        <w:pStyle w:val="Heading"/>
        <w:rPr/>
      </w:pPr>
      <w:r>
        <w:rPr/>
      </w:r>
    </w:p>
    <w:p>
      <w:pPr>
        <w:pStyle w:val="Heading"/>
        <w:rPr/>
      </w:pPr>
      <w:r>
        <w:rPr/>
      </w:r>
    </w:p>
    <w:p>
      <w:pPr>
        <w:pStyle w:val="Heading"/>
        <w:rPr/>
      </w:pPr>
      <w:r>
        <w:rPr/>
      </w:r>
    </w:p>
    <w:p>
      <w:pPr>
        <w:pStyle w:val="Heading"/>
        <w:rPr/>
      </w:pPr>
      <w:r>
        <w:rPr/>
        <w:t>BEFORE THE PUBLIC UTILITIES COMMISSION</w:t>
      </w:r>
    </w:p>
    <w:p>
      <w:pPr>
        <w:pStyle w:val="Subtitle"/>
        <w:rPr/>
      </w:pPr>
      <w:r>
        <w:rPr/>
        <w:t>OF THE STATE OF CALIFORNIA</w:t>
      </w:r>
    </w:p>
    <w:p>
      <w:pPr>
        <w:pStyle w:val="Normal"/>
        <w:rPr/>
      </w:pPr>
      <w:r>
        <w:rPr/>
      </w:r>
    </w:p>
    <w:p>
      <w:pPr>
        <w:pStyle w:val="Normal"/>
        <w:rPr/>
      </w:pPr>
      <w:r>
        <w:rPr/>
      </w:r>
    </w:p>
    <w:tbl>
      <w:tblPr>
        <w:tblW w:w="8856" w:type="dxa"/>
        <w:jc w:val="start"/>
        <w:tblInd w:w="0" w:type="dxa"/>
        <w:tblLayout w:type="fixed"/>
        <w:tblCellMar>
          <w:top w:w="0" w:type="dxa"/>
          <w:start w:w="108" w:type="dxa"/>
          <w:bottom w:w="0" w:type="dxa"/>
          <w:end w:w="108" w:type="dxa"/>
        </w:tblCellMar>
      </w:tblPr>
      <w:tblGrid>
        <w:gridCol w:w="5058"/>
        <w:gridCol w:w="3798"/>
      </w:tblGrid>
      <w:tr>
        <w:trPr>
          <w:trHeight w:val="1590" w:hRule="atLeast"/>
        </w:trPr>
        <w:tc>
          <w:tcPr>
            <w:tcW w:w="5058" w:type="dxa"/>
            <w:tcBorders>
              <w:top w:val="single" w:sz="4" w:space="0" w:color="000000"/>
              <w:bottom w:val="single" w:sz="4" w:space="0" w:color="000000"/>
              <w:end w:val="single" w:sz="4" w:space="0" w:color="000000"/>
            </w:tcBorders>
          </w:tcPr>
          <w:p>
            <w:pPr>
              <w:pStyle w:val="Normal"/>
              <w:snapToGrid w:val="false"/>
              <w:rPr/>
            </w:pPr>
            <w:r>
              <w:rPr/>
            </w:r>
          </w:p>
          <w:p>
            <w:pPr>
              <w:pStyle w:val="Normal"/>
              <w:rPr/>
            </w:pPr>
            <w:r>
              <w:rPr/>
              <w:t>Application of Southern California Edison Company (E333-E) for Authority to Institute a Rate Stabilization Plan with a Rate Increase and End of Rate Freeze Tariffs.</w:t>
            </w:r>
          </w:p>
          <w:p>
            <w:pPr>
              <w:pStyle w:val="Normal"/>
              <w:rPr/>
            </w:pPr>
            <w:r>
              <w:rPr/>
            </w:r>
          </w:p>
        </w:tc>
        <w:tc>
          <w:tcPr>
            <w:tcW w:w="3798" w:type="dxa"/>
            <w:vMerge w:val="restart"/>
            <w:tcBorders>
              <w:start w:val="single" w:sz="4" w:space="0" w:color="000000"/>
              <w:bottom w:val="single" w:sz="4" w:space="0" w:color="000000"/>
            </w:tcBorders>
          </w:tcPr>
          <w:p>
            <w:pPr>
              <w:pStyle w:val="Normal"/>
              <w:snapToGrid w:val="false"/>
              <w:rPr/>
            </w:pPr>
            <w:r>
              <w:rPr/>
            </w:r>
          </w:p>
          <w:p>
            <w:pPr>
              <w:pStyle w:val="Normal"/>
              <w:rPr/>
            </w:pPr>
            <w:r>
              <w:rPr/>
            </w:r>
          </w:p>
          <w:p>
            <w:pPr>
              <w:pStyle w:val="Normal"/>
              <w:jc w:val="center"/>
              <w:rPr/>
            </w:pPr>
            <w:r>
              <w:rPr/>
              <w:t xml:space="preserve">Application 00-11-038 </w:t>
            </w:r>
          </w:p>
          <w:p>
            <w:pPr>
              <w:pStyle w:val="Normal"/>
              <w:jc w:val="center"/>
              <w:rPr/>
            </w:pPr>
            <w:r>
              <w:rPr/>
              <w:t>(Filed November 16, 2000)</w:t>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t>Application 00-11-056</w:t>
            </w:r>
          </w:p>
          <w:p>
            <w:pPr>
              <w:pStyle w:val="Normal"/>
              <w:jc w:val="center"/>
              <w:rPr/>
            </w:pPr>
            <w:r>
              <w:rPr/>
              <w:t>(Filed November 22, 2000)</w:t>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t>Application 00-10-028</w:t>
            </w:r>
          </w:p>
          <w:p>
            <w:pPr>
              <w:pStyle w:val="Normal"/>
              <w:jc w:val="center"/>
              <w:rPr/>
            </w:pPr>
            <w:r>
              <w:rPr/>
              <w:t>(Filed October 17, 2000)</w:t>
            </w:r>
          </w:p>
        </w:tc>
      </w:tr>
      <w:tr>
        <w:trPr>
          <w:trHeight w:val="1540" w:hRule="atLeast"/>
        </w:trPr>
        <w:tc>
          <w:tcPr>
            <w:tcW w:w="5058" w:type="dxa"/>
            <w:tcBorders>
              <w:top w:val="single" w:sz="4" w:space="0" w:color="000000"/>
              <w:bottom w:val="single" w:sz="4" w:space="0" w:color="000000"/>
              <w:end w:val="single" w:sz="4" w:space="0" w:color="000000"/>
            </w:tcBorders>
          </w:tcPr>
          <w:p>
            <w:pPr>
              <w:pStyle w:val="Normal"/>
              <w:snapToGrid w:val="false"/>
              <w:rPr/>
            </w:pPr>
            <w:r>
              <w:rPr/>
            </w:r>
          </w:p>
          <w:p>
            <w:pPr>
              <w:pStyle w:val="Normal"/>
              <w:rPr/>
            </w:pPr>
            <w:r>
              <w:rPr/>
              <w:t>Emergency Application of Pacific Gas and Electric Company to Adopt a Rate Stabilization Plan.</w:t>
            </w:r>
          </w:p>
          <w:p>
            <w:pPr>
              <w:pStyle w:val="Normal"/>
              <w:jc w:val="center"/>
              <w:rPr/>
            </w:pPr>
            <w:r>
              <w:rPr/>
              <w:t>(U 39 E)</w:t>
            </w:r>
          </w:p>
          <w:p>
            <w:pPr>
              <w:pStyle w:val="Normal"/>
              <w:rPr/>
            </w:pPr>
            <w:r>
              <w:rPr/>
            </w:r>
          </w:p>
        </w:tc>
        <w:tc>
          <w:tcPr>
            <w:tcW w:w="3798" w:type="dxa"/>
            <w:vMerge w:val="continue"/>
            <w:tcBorders>
              <w:start w:val="single" w:sz="4" w:space="0" w:color="000000"/>
              <w:bottom w:val="single" w:sz="4" w:space="0" w:color="000000"/>
            </w:tcBorders>
          </w:tcPr>
          <w:p>
            <w:pPr>
              <w:pStyle w:val="Normal"/>
              <w:snapToGrid w:val="false"/>
              <w:rPr/>
            </w:pPr>
            <w:r>
              <w:rPr/>
            </w:r>
          </w:p>
        </w:tc>
      </w:tr>
      <w:tr>
        <w:trPr>
          <w:trHeight w:val="369" w:hRule="atLeast"/>
        </w:trPr>
        <w:tc>
          <w:tcPr>
            <w:tcW w:w="5058" w:type="dxa"/>
            <w:tcBorders>
              <w:top w:val="single" w:sz="4" w:space="0" w:color="000000"/>
              <w:bottom w:val="single" w:sz="4" w:space="0" w:color="000000"/>
              <w:end w:val="single" w:sz="4" w:space="0" w:color="000000"/>
            </w:tcBorders>
          </w:tcPr>
          <w:p>
            <w:pPr>
              <w:pStyle w:val="Normal"/>
              <w:snapToGrid w:val="false"/>
              <w:rPr/>
            </w:pPr>
            <w:r>
              <w:rPr/>
            </w:r>
          </w:p>
          <w:p>
            <w:pPr>
              <w:pStyle w:val="Normal"/>
              <w:rPr/>
            </w:pPr>
            <w:r>
              <w:rPr/>
              <w:t>Petition of THE UTILITY REFORM NETWORK for Modification of Resolution</w:t>
            </w:r>
          </w:p>
          <w:p>
            <w:pPr>
              <w:pStyle w:val="Normal"/>
              <w:rPr/>
            </w:pPr>
            <w:r>
              <w:rPr/>
              <w:t>E-3527.</w:t>
            </w:r>
          </w:p>
          <w:p>
            <w:pPr>
              <w:pStyle w:val="Normal"/>
              <w:rPr/>
            </w:pPr>
            <w:r>
              <w:rPr/>
            </w:r>
          </w:p>
        </w:tc>
        <w:tc>
          <w:tcPr>
            <w:tcW w:w="3798" w:type="dxa"/>
            <w:vMerge w:val="continue"/>
            <w:tcBorders>
              <w:start w:val="single" w:sz="4" w:space="0" w:color="000000"/>
              <w:bottom w:val="single" w:sz="4" w:space="0" w:color="000000"/>
            </w:tcBorders>
          </w:tcPr>
          <w:p>
            <w:pPr>
              <w:pStyle w:val="Normal"/>
              <w:snapToGrid w:val="false"/>
              <w:rPr/>
            </w:pPr>
            <w:r>
              <w:rPr/>
            </w:r>
          </w:p>
        </w:tc>
      </w:tr>
    </w:tbl>
    <w:p>
      <w:pPr>
        <w:pStyle w:val="Normal"/>
        <w:rPr/>
      </w:pPr>
      <w:r>
        <w:rPr/>
      </w:r>
    </w:p>
    <w:p>
      <w:pPr>
        <w:pStyle w:val="Normal"/>
        <w:rPr/>
      </w:pPr>
      <w:r>
        <w:rPr/>
      </w:r>
    </w:p>
    <w:p>
      <w:pPr>
        <w:pStyle w:val="Normal"/>
        <w:rPr/>
      </w:pPr>
      <w:r>
        <w:rPr/>
      </w:r>
    </w:p>
    <w:p>
      <w:pPr>
        <w:pStyle w:val="Normal"/>
        <w:rPr/>
      </w:pPr>
      <w:r>
        <w:rPr/>
      </w:r>
    </w:p>
    <w:p>
      <w:pPr>
        <w:pStyle w:val="Normal"/>
        <w:rPr/>
      </w:pPr>
      <w:r>
        <w:rPr/>
      </w:r>
    </w:p>
    <w:p>
      <w:pPr>
        <w:pStyle w:val="Heading1"/>
        <w:rPr/>
      </w:pPr>
      <w:r>
        <w:rPr/>
        <w:t>RATE SPREAD AND RATE DESIGN PROPOSAL</w:t>
      </w:r>
    </w:p>
    <w:p>
      <w:pPr>
        <w:pStyle w:val="Normal"/>
        <w:jc w:val="center"/>
        <w:rPr>
          <w:b/>
        </w:rPr>
      </w:pPr>
      <w:r>
        <w:rPr>
          <w:b/>
        </w:rPr>
        <w:t>OF THE ENERGY PRODUCERS AND USERS COALITION</w:t>
      </w:r>
    </w:p>
    <w:p>
      <w:pPr>
        <w:pStyle w:val="Normal"/>
        <w:jc w:val="end"/>
        <w:rPr/>
      </w:pPr>
      <w:r>
        <w:rPr/>
      </w:r>
    </w:p>
    <w:p>
      <w:pPr>
        <w:pStyle w:val="Normal"/>
        <w:jc w:val="end"/>
        <w:rPr/>
      </w:pPr>
      <w:r>
        <w:rPr/>
      </w:r>
    </w:p>
    <w:p>
      <w:pPr>
        <w:pStyle w:val="Normal"/>
        <w:tabs>
          <w:tab w:val="clear" w:pos="720"/>
          <w:tab w:val="left" w:pos="3960" w:leader="none"/>
          <w:tab w:val="right" w:pos="9000" w:leader="none"/>
        </w:tabs>
        <w:ind w:hanging="4140" w:start="4140" w:end="0"/>
        <w:rPr/>
      </w:pPr>
      <w:r>
        <w:rPr/>
      </w:r>
    </w:p>
    <w:p>
      <w:pPr>
        <w:pStyle w:val="Normal"/>
        <w:tabs>
          <w:tab w:val="clear" w:pos="720"/>
          <w:tab w:val="left" w:pos="3960" w:leader="none"/>
          <w:tab w:val="right" w:pos="9000" w:leader="none"/>
        </w:tabs>
        <w:ind w:hanging="4140" w:start="4140" w:end="0"/>
        <w:rPr/>
      </w:pPr>
      <w:r>
        <w:rPr/>
      </w:r>
    </w:p>
    <w:p>
      <w:pPr>
        <w:pStyle w:val="Normal"/>
        <w:tabs>
          <w:tab w:val="clear" w:pos="720"/>
          <w:tab w:val="left" w:pos="3960" w:leader="none"/>
          <w:tab w:val="right" w:pos="9000" w:leader="none"/>
        </w:tabs>
        <w:ind w:hanging="4140" w:start="4140" w:end="0"/>
        <w:rPr/>
      </w:pPr>
      <w:r>
        <w:rPr/>
      </w:r>
    </w:p>
    <w:p>
      <w:pPr>
        <w:pStyle w:val="Normal"/>
        <w:tabs>
          <w:tab w:val="clear" w:pos="720"/>
          <w:tab w:val="left" w:pos="3960" w:leader="none"/>
          <w:tab w:val="right" w:pos="9000" w:leader="none"/>
        </w:tabs>
        <w:ind w:hanging="4140" w:start="4140" w:end="0"/>
        <w:rPr/>
      </w:pPr>
      <w:r>
        <w:rPr/>
      </w:r>
    </w:p>
    <w:p>
      <w:pPr>
        <w:sectPr>
          <w:footerReference w:type="default" r:id="rId3"/>
          <w:footerReference w:type="first" r:id="rId4"/>
          <w:type w:val="nextPage"/>
          <w:pgSz w:w="12240" w:h="15840"/>
          <w:pgMar w:left="1440" w:right="1440" w:gutter="0" w:header="0" w:top="720" w:footer="1440" w:bottom="1496"/>
          <w:lnNumType w:countBy="1" w:restart="newPage" w:distance="283"/>
          <w:pgNumType w:fmt="decimal"/>
          <w:formProt w:val="false"/>
          <w:textDirection w:val="lrTb"/>
          <w:docGrid w:type="default" w:linePitch="360" w:charSpace="0"/>
        </w:sectPr>
        <w:pStyle w:val="Normal"/>
        <w:tabs>
          <w:tab w:val="clear" w:pos="720"/>
          <w:tab w:val="left" w:pos="3960" w:leader="none"/>
          <w:tab w:val="right" w:pos="9000" w:leader="none"/>
        </w:tabs>
        <w:ind w:hanging="4140" w:start="4140" w:end="0"/>
        <w:rPr/>
      </w:pPr>
      <w:r>
        <w:rPr/>
        <w:t>Dated:  April 12, 2001</w:t>
      </w:r>
    </w:p>
    <w:p>
      <w:pPr>
        <w:pStyle w:val="Heading1"/>
        <w:rPr/>
      </w:pPr>
      <w:r>
        <w:rPr/>
        <w:t>RATE SPREAD AND RATE DESIGN PROPOSAL</w:t>
      </w:r>
    </w:p>
    <w:p>
      <w:pPr>
        <w:pStyle w:val="Pleading"/>
        <w:numPr>
          <w:ilvl w:val="0"/>
          <w:numId w:val="0"/>
        </w:numPr>
        <w:spacing w:lineRule="auto" w:line="480"/>
        <w:ind w:hanging="0" w:start="0"/>
        <w:jc w:val="center"/>
        <w:rPr>
          <w:u w:val="single"/>
        </w:rPr>
      </w:pPr>
      <w:r>
        <w:rPr>
          <w:b/>
          <w:u w:val="single"/>
        </w:rPr>
        <w:t>OF THE ENERGY PRODUCERS AND USERS COALITION</w:t>
      </w:r>
    </w:p>
    <w:p>
      <w:pPr>
        <w:pStyle w:val="Pleading"/>
        <w:numPr>
          <w:ilvl w:val="0"/>
          <w:numId w:val="0"/>
        </w:numPr>
        <w:spacing w:lineRule="auto" w:line="480"/>
        <w:ind w:firstLine="720" w:start="0" w:end="0"/>
        <w:rPr/>
      </w:pPr>
      <w:r>
        <w:rPr/>
        <w:t>Pursuant to the Assigned Commissioner’s Ruling dated March 26, 2001, and the oral ruling of President Lynch during the April 2, 2001 prehearing conference in this proceeding, the Energy Producers and Users Coalition (EPUC)</w:t>
      </w:r>
      <w:r>
        <w:rPr>
          <w:rStyle w:val="FootnoteCharacters"/>
          <w:rStyle w:val="FootnoteReference"/>
          <w:vertAlign w:val="superscript"/>
        </w:rPr>
        <w:footnoteReference w:id="2"/>
      </w:r>
      <w:r>
        <w:rPr/>
        <w:t xml:space="preserve"> developed a specific proposal for cost allocation and rate design implementing Decision 01-03-082 (“Proposal”).  Consistent with the April 11, 2001 Ruling by President Lynch, the Proposal only addresses the 3-cent/kWh increase authorized in D.01-3-082.</w:t>
      </w:r>
    </w:p>
    <w:p>
      <w:pPr>
        <w:pStyle w:val="Pleading"/>
        <w:numPr>
          <w:ilvl w:val="0"/>
          <w:numId w:val="0"/>
        </w:numPr>
        <w:ind w:hanging="0" w:start="0"/>
        <w:rPr>
          <w:b/>
        </w:rPr>
      </w:pPr>
      <w:r>
        <w:rPr>
          <w:b/>
        </w:rPr>
      </w:r>
    </w:p>
    <w:p>
      <w:pPr>
        <w:pStyle w:val="Pleading"/>
        <w:numPr>
          <w:ilvl w:val="0"/>
          <w:numId w:val="9"/>
        </w:numPr>
        <w:ind w:hanging="0" w:start="0"/>
        <w:rPr>
          <w:b/>
        </w:rPr>
      </w:pPr>
      <w:r>
        <w:rPr>
          <w:b/>
        </w:rPr>
        <w:t>OBJECTIVES AND BENEFITS OF THE EPUC PROPOSAL</w:t>
      </w:r>
    </w:p>
    <w:p>
      <w:pPr>
        <w:pStyle w:val="Pleading"/>
        <w:numPr>
          <w:ilvl w:val="0"/>
          <w:numId w:val="0"/>
        </w:numPr>
        <w:ind w:hanging="0" w:start="0"/>
        <w:rPr>
          <w:b/>
        </w:rPr>
      </w:pPr>
      <w:r>
        <w:rPr>
          <w:b/>
        </w:rPr>
      </w:r>
    </w:p>
    <w:p>
      <w:pPr>
        <w:pStyle w:val="Pleading"/>
        <w:numPr>
          <w:ilvl w:val="0"/>
          <w:numId w:val="0"/>
        </w:numPr>
        <w:spacing w:lineRule="auto" w:line="480"/>
        <w:ind w:firstLine="720" w:start="0" w:end="0"/>
        <w:rPr/>
      </w:pPr>
      <w:r>
        <w:rPr/>
        <w:t>The Commission has undertaken a difficult balancing act in this proceeding.  It must effectively balance the utilities’ need for a rate increase to cover procurement costs with:</w:t>
      </w:r>
    </w:p>
    <w:p>
      <w:pPr>
        <w:pStyle w:val="Pleading"/>
        <w:numPr>
          <w:ilvl w:val="0"/>
          <w:numId w:val="6"/>
        </w:numPr>
        <w:rPr/>
      </w:pPr>
      <w:r>
        <w:rPr/>
        <w:t>the state’s need to maximize energy conservation by all customers during on-peak periods, both to reduce the cost of energy and to reduce the potential for service outages during those periods;</w:t>
      </w:r>
    </w:p>
    <w:p>
      <w:pPr>
        <w:pStyle w:val="Pleading"/>
        <w:numPr>
          <w:ilvl w:val="0"/>
          <w:numId w:val="0"/>
        </w:numPr>
        <w:ind w:hanging="0" w:start="0"/>
        <w:rPr/>
      </w:pPr>
      <w:r>
        <w:rPr/>
      </w:r>
    </w:p>
    <w:p>
      <w:pPr>
        <w:pStyle w:val="Pleading"/>
        <w:numPr>
          <w:ilvl w:val="0"/>
          <w:numId w:val="6"/>
        </w:numPr>
        <w:rPr/>
      </w:pPr>
      <w:r>
        <w:rPr/>
        <w:t>the need to moderate the impact on residential customers consistent with Water Code section 80110; and</w:t>
      </w:r>
    </w:p>
    <w:p>
      <w:pPr>
        <w:pStyle w:val="Pleading"/>
        <w:numPr>
          <w:ilvl w:val="0"/>
          <w:numId w:val="0"/>
        </w:numPr>
        <w:ind w:hanging="0" w:start="0"/>
        <w:rPr/>
      </w:pPr>
      <w:r>
        <w:rPr/>
      </w:r>
    </w:p>
    <w:p>
      <w:pPr>
        <w:pStyle w:val="Pleading"/>
        <w:numPr>
          <w:ilvl w:val="0"/>
          <w:numId w:val="6"/>
        </w:numPr>
        <w:rPr/>
      </w:pPr>
      <w:r>
        <w:rPr/>
        <w:t>the state’s vital interest in minimizing the impact on California’s businesses to ensure the continued availability of jobs and to prevent the collapse of the state’s economy.</w:t>
      </w:r>
    </w:p>
    <w:p>
      <w:pPr>
        <w:pStyle w:val="Pleading"/>
        <w:numPr>
          <w:ilvl w:val="0"/>
          <w:numId w:val="0"/>
        </w:numPr>
        <w:ind w:hanging="0" w:start="0"/>
        <w:rPr/>
      </w:pPr>
      <w:r>
        <w:rPr/>
      </w:r>
    </w:p>
    <w:p>
      <w:pPr>
        <w:pStyle w:val="Pleading"/>
        <w:numPr>
          <w:ilvl w:val="0"/>
          <w:numId w:val="0"/>
        </w:numPr>
        <w:spacing w:lineRule="auto" w:line="480"/>
        <w:ind w:hanging="0" w:start="0"/>
        <w:rPr/>
      </w:pPr>
      <w:r>
        <w:rPr/>
        <w:t xml:space="preserve">The Proposal balances these interests. </w:t>
      </w:r>
    </w:p>
    <w:p>
      <w:pPr>
        <w:pStyle w:val="Pleading"/>
        <w:numPr>
          <w:ilvl w:val="0"/>
          <w:numId w:val="0"/>
        </w:numPr>
        <w:spacing w:lineRule="auto" w:line="480"/>
        <w:ind w:firstLine="720" w:start="0" w:end="0"/>
        <w:rPr/>
      </w:pPr>
      <w:r>
        <w:rPr/>
        <w:t xml:space="preserve">Mechanically, the Proposal takes the full revenue requirement associated with the 3¢/kWh increase mandated in Decision 01-03-082.  It spreads the increase to customer classes based on each class’ summer on-peak energy use.  With regard to large TOU customer rate design, the revenue increase is recovered through the summer on-peak energy charge subject to a 50¢/kWh cap.  Costs in excess of the cap would be spread back to summer mid-peak hours as described further below.  </w:t>
      </w:r>
    </w:p>
    <w:p>
      <w:pPr>
        <w:pStyle w:val="Pleading"/>
        <w:numPr>
          <w:ilvl w:val="0"/>
          <w:numId w:val="0"/>
        </w:numPr>
        <w:spacing w:lineRule="auto" w:line="480"/>
        <w:ind w:firstLine="720" w:start="0" w:end="0"/>
        <w:rPr/>
      </w:pPr>
      <w:r>
        <w:rPr/>
        <w:t xml:space="preserve">The Proposal moderates the potential impact on residential customers.  It recognizes the sensitivity of residential customers to rate shock by incorporating, as mandated, the 130% baseline exemption.  It further, however, both exempts </w:t>
      </w:r>
      <w:r>
        <w:rPr>
          <w:i/>
        </w:rPr>
        <w:t>all</w:t>
      </w:r>
      <w:r>
        <w:rPr/>
        <w:t xml:space="preserve"> CARE use and continues to spread this subsidy to </w:t>
      </w:r>
      <w:r>
        <w:rPr>
          <w:i/>
        </w:rPr>
        <w:t xml:space="preserve">all </w:t>
      </w:r>
      <w:r>
        <w:rPr/>
        <w:t>customers on an equal cents per kWh basis.  The full CARE exemption, indeed, goes beyond the Tiered Rate Design “straw” proposal advanced by Commissioner Lynch, which left a portion of the increase on CARE customers.</w:t>
      </w:r>
    </w:p>
    <w:p>
      <w:pPr>
        <w:pStyle w:val="Pleading"/>
        <w:numPr>
          <w:ilvl w:val="0"/>
          <w:numId w:val="0"/>
        </w:numPr>
        <w:spacing w:lineRule="auto" w:line="480"/>
        <w:ind w:firstLine="720" w:start="0" w:end="0"/>
        <w:rPr/>
      </w:pPr>
      <w:r>
        <w:rPr/>
        <w:t xml:space="preserve">The Proposal makes a clear effort to aim the conservation benefits of the rate increase directly at the target: on-peak conservation.  The allocation methodology underlying the Proposal rests on on-peak hours, </w:t>
      </w:r>
      <w:r>
        <w:rPr>
          <w:i/>
        </w:rPr>
        <w:t>i.e</w:t>
      </w:r>
      <w:r>
        <w:rPr/>
        <w:t>., noon until 6:00 p.m. weekdays during summer months.  Additionally, the proposed large customer rate design places the full extent of the increase in those on-peak hours.  While not precisely a “real-time” pricing proposal, this Proposal takes a measured and reasonable step toward that goal.  This approach:</w:t>
      </w:r>
    </w:p>
    <w:p>
      <w:pPr>
        <w:pStyle w:val="Pleading"/>
        <w:numPr>
          <w:ilvl w:val="0"/>
          <w:numId w:val="5"/>
        </w:numPr>
        <w:ind w:hanging="792" w:start="1512" w:end="0"/>
        <w:rPr/>
      </w:pPr>
      <w:r>
        <w:rPr/>
        <w:t>maximizes the opportunity of customers to avoid rate increases by reducing load or shifting load to other periods;</w:t>
      </w:r>
    </w:p>
    <w:p>
      <w:pPr>
        <w:pStyle w:val="Pleading"/>
        <w:numPr>
          <w:ilvl w:val="0"/>
          <w:numId w:val="0"/>
        </w:numPr>
        <w:ind w:hanging="0" w:start="720" w:end="0"/>
        <w:rPr/>
      </w:pPr>
      <w:r>
        <w:rPr/>
      </w:r>
    </w:p>
    <w:p>
      <w:pPr>
        <w:pStyle w:val="Pleading"/>
        <w:numPr>
          <w:ilvl w:val="0"/>
          <w:numId w:val="5"/>
        </w:numPr>
        <w:ind w:hanging="792" w:start="1512" w:end="0"/>
        <w:rPr/>
      </w:pPr>
      <w:r>
        <w:rPr/>
        <w:t>reduces the need to procure high-priced energy during on-peak hours;</w:t>
      </w:r>
    </w:p>
    <w:p>
      <w:pPr>
        <w:pStyle w:val="Pleading"/>
        <w:numPr>
          <w:ilvl w:val="0"/>
          <w:numId w:val="0"/>
        </w:numPr>
        <w:ind w:hanging="0" w:start="0"/>
        <w:rPr/>
      </w:pPr>
      <w:r>
        <w:rPr/>
      </w:r>
    </w:p>
    <w:p>
      <w:pPr>
        <w:pStyle w:val="Pleading"/>
        <w:numPr>
          <w:ilvl w:val="0"/>
          <w:numId w:val="5"/>
        </w:numPr>
        <w:ind w:hanging="792" w:start="1512" w:end="0"/>
        <w:rPr/>
      </w:pPr>
      <w:r>
        <w:rPr/>
        <w:t>by reducing on-peak consumption, reduces the potential for shortages and blackouts and</w:t>
      </w:r>
    </w:p>
    <w:p>
      <w:pPr>
        <w:pStyle w:val="Pleading"/>
        <w:numPr>
          <w:ilvl w:val="0"/>
          <w:numId w:val="0"/>
        </w:numPr>
        <w:ind w:hanging="0" w:start="0"/>
        <w:rPr/>
      </w:pPr>
      <w:r>
        <w:rPr/>
      </w:r>
    </w:p>
    <w:p>
      <w:pPr>
        <w:pStyle w:val="Pleading"/>
        <w:numPr>
          <w:ilvl w:val="0"/>
          <w:numId w:val="5"/>
        </w:numPr>
        <w:ind w:hanging="792" w:start="1512" w:end="0"/>
        <w:rPr/>
      </w:pPr>
      <w:r>
        <w:rPr/>
        <w:t>ultimately reduces the need to site and build new peaking plants.</w:t>
      </w:r>
    </w:p>
    <w:p>
      <w:pPr>
        <w:pStyle w:val="Pleading"/>
        <w:numPr>
          <w:ilvl w:val="0"/>
          <w:numId w:val="0"/>
        </w:numPr>
        <w:ind w:hanging="0" w:start="0"/>
        <w:rPr/>
      </w:pPr>
      <w:r>
        <w:rPr/>
      </w:r>
    </w:p>
    <w:p>
      <w:pPr>
        <w:pStyle w:val="Pleading"/>
        <w:numPr>
          <w:ilvl w:val="0"/>
          <w:numId w:val="0"/>
        </w:numPr>
        <w:spacing w:lineRule="auto" w:line="480"/>
        <w:ind w:hanging="0" w:start="0"/>
        <w:rPr/>
      </w:pPr>
      <w:r>
        <w:rPr/>
        <w:t>These benefits are unique to a proposal targeted directly at on-peak periods.</w:t>
      </w:r>
    </w:p>
    <w:p>
      <w:pPr>
        <w:pStyle w:val="Pleading"/>
        <w:numPr>
          <w:ilvl w:val="0"/>
          <w:numId w:val="0"/>
        </w:numPr>
        <w:spacing w:lineRule="auto" w:line="480"/>
        <w:ind w:hanging="0" w:start="0"/>
        <w:rPr/>
      </w:pPr>
      <w:r>
        <w:rPr/>
        <w:tab/>
        <w:t xml:space="preserve">Finally, the Proposal takes into careful consideration the potential impact of rate increases on business and, thus, the California economy.  As noted above, by placing increases in the on-peak periods, it maximizes the potential of a customer to avoid the increase by conserving during a targeted and limited period.  Additionally, it proposes increases at levels that are more moderate than those proposed by the Tiered Rate Design “straw” proposal.  The ultimate goal is to shift to business and industry their proportionate share of higher energy costs, maximize conservation during periods that matter and avoid rate shock that could result in loss of jobs and damage to the state’s economy. </w:t>
      </w:r>
    </w:p>
    <w:p>
      <w:pPr>
        <w:pStyle w:val="Pleading"/>
        <w:numPr>
          <w:ilvl w:val="0"/>
          <w:numId w:val="0"/>
        </w:numPr>
        <w:spacing w:lineRule="auto" w:line="480"/>
        <w:ind w:hanging="0" w:start="0"/>
        <w:rPr/>
      </w:pPr>
      <w:r>
        <w:rPr/>
        <w:tab/>
        <w:t>Beyond meeting beneficial policy objectives, the Proposal carries material advantages from the standpoint of simplicity and timely implementation.  No party to this proceeding – including the utilities – has had sufficient time to reach high levels of assurance on the accuracy of input data and reliability of spreadsheet calculations.  Parties have been asked to perform in roughly a week calculations that normally would require a month or more to achieve an adequate comfort level.  Unlike other suggested alternatives, the Proposal recognizes these constraints and keeps it simple.  As ordered by President Lynch, it does not contemplate any reallocation of existing generation revenues.  To redesign allocations and rates would require more substantial discovery, analysis, testimony, hearings and briefs -- implementation of the increase by June 1, 2001 would be impossible.  By avoiding reallocation of existing generation costs, adoption of the Proposal would minimize the time, potential error and controversy that would surround changes in long-standing allocation principles.  The following tables present the EPUC proposed revenue allocation by customer group for SCE and PG&amp;E.</w:t>
      </w:r>
      <w:r>
        <w:br w:type="page"/>
      </w:r>
    </w:p>
    <w:p>
      <w:pPr>
        <w:pStyle w:val="Pleading"/>
        <w:numPr>
          <w:ilvl w:val="0"/>
          <w:numId w:val="0"/>
        </w:numPr>
        <w:spacing w:lineRule="auto" w:line="480"/>
        <w:ind w:hanging="0" w:start="0"/>
        <w:rPr/>
      </w:pPr>
      <w:r>
        <w:rPr/>
      </w:r>
    </w:p>
    <w:tbl>
      <w:tblPr>
        <w:tblW w:w="8760" w:type="dxa"/>
        <w:jc w:val="start"/>
        <w:tblInd w:w="0" w:type="dxa"/>
        <w:tblLayout w:type="fixed"/>
        <w:tblCellMar>
          <w:top w:w="0" w:type="dxa"/>
          <w:start w:w="30" w:type="dxa"/>
          <w:bottom w:w="0" w:type="dxa"/>
          <w:end w:w="30" w:type="dxa"/>
        </w:tblCellMar>
      </w:tblPr>
      <w:tblGrid>
        <w:gridCol w:w="2945"/>
        <w:gridCol w:w="993"/>
        <w:gridCol w:w="932"/>
        <w:gridCol w:w="1010"/>
        <w:gridCol w:w="1260"/>
        <w:gridCol w:w="1620"/>
      </w:tblGrid>
      <w:tr>
        <w:trPr>
          <w:trHeight w:val="598" w:hRule="atLeast"/>
        </w:trPr>
        <w:tc>
          <w:tcPr>
            <w:tcW w:w="8760" w:type="dxa"/>
            <w:gridSpan w:val="6"/>
            <w:tcBorders>
              <w:top w:val="single" w:sz="2" w:space="0" w:color="000000"/>
              <w:start w:val="single" w:sz="2" w:space="0" w:color="000000"/>
              <w:bottom w:val="single" w:sz="2" w:space="0" w:color="000000"/>
              <w:end w:val="single" w:sz="2" w:space="0" w:color="000000"/>
            </w:tcBorders>
          </w:tcPr>
          <w:p>
            <w:pPr>
              <w:pStyle w:val="Normal"/>
              <w:jc w:val="center"/>
              <w:rPr>
                <w:b/>
                <w:color w:val="000000"/>
                <w:sz w:val="20"/>
              </w:rPr>
            </w:pPr>
            <w:r>
              <w:rPr>
                <w:b/>
                <w:color w:val="000000"/>
                <w:sz w:val="20"/>
              </w:rPr>
              <w:t>Southern California Edison</w:t>
            </w:r>
          </w:p>
          <w:p>
            <w:pPr>
              <w:pStyle w:val="Normal"/>
              <w:jc w:val="center"/>
              <w:rPr>
                <w:b/>
                <w:color w:val="000000"/>
                <w:sz w:val="20"/>
              </w:rPr>
            </w:pPr>
            <w:r>
              <w:rPr>
                <w:b/>
                <w:color w:val="000000"/>
                <w:sz w:val="20"/>
              </w:rPr>
              <w:t>EPUC Summary Results</w:t>
            </w:r>
          </w:p>
          <w:p>
            <w:pPr>
              <w:pStyle w:val="Normal"/>
              <w:jc w:val="center"/>
              <w:rPr>
                <w:b/>
                <w:color w:val="000000"/>
                <w:sz w:val="20"/>
              </w:rPr>
            </w:pPr>
            <w:r>
              <w:rPr>
                <w:color w:val="000000"/>
                <w:sz w:val="20"/>
              </w:rPr>
              <w:t xml:space="preserve">Based on 1/05/2001 rate </w:t>
            </w:r>
            <w:r>
              <w:rPr>
                <w:b/>
                <w:color w:val="000000"/>
                <w:sz w:val="20"/>
                <w:u w:val="single"/>
              </w:rPr>
              <w:t xml:space="preserve">with </w:t>
            </w:r>
            <w:r>
              <w:rPr>
                <w:color w:val="000000"/>
                <w:sz w:val="20"/>
              </w:rPr>
              <w:t>the 1¢/kWh EPS</w:t>
            </w:r>
          </w:p>
        </w:tc>
      </w:tr>
      <w:tr>
        <w:trPr>
          <w:trHeight w:val="264" w:hRule="atLeast"/>
        </w:trPr>
        <w:tc>
          <w:tcPr>
            <w:tcW w:w="2945" w:type="dxa"/>
            <w:tcBorders>
              <w:top w:val="single" w:sz="2" w:space="0" w:color="000000"/>
              <w:start w:val="single" w:sz="2" w:space="0" w:color="000000"/>
              <w:bottom w:val="single" w:sz="12" w:space="0" w:color="000000"/>
              <w:end w:val="single" w:sz="2" w:space="0" w:color="000000"/>
            </w:tcBorders>
          </w:tcPr>
          <w:p>
            <w:pPr>
              <w:pStyle w:val="Normal"/>
              <w:snapToGrid w:val="false"/>
              <w:jc w:val="end"/>
              <w:rPr>
                <w:b/>
                <w:color w:val="000000"/>
                <w:sz w:val="16"/>
              </w:rPr>
            </w:pPr>
            <w:r>
              <w:rPr>
                <w:b/>
                <w:color w:val="000000"/>
                <w:sz w:val="16"/>
              </w:rPr>
            </w:r>
          </w:p>
        </w:tc>
        <w:tc>
          <w:tcPr>
            <w:tcW w:w="993" w:type="dxa"/>
            <w:tcBorders>
              <w:top w:val="single" w:sz="2" w:space="0" w:color="000000"/>
              <w:start w:val="single" w:sz="2" w:space="0" w:color="000000"/>
              <w:bottom w:val="single" w:sz="12" w:space="0" w:color="000000"/>
              <w:end w:val="single" w:sz="2" w:space="0" w:color="000000"/>
            </w:tcBorders>
          </w:tcPr>
          <w:p>
            <w:pPr>
              <w:pStyle w:val="Normal"/>
              <w:snapToGrid w:val="false"/>
              <w:jc w:val="end"/>
              <w:rPr>
                <w:color w:val="000000"/>
                <w:sz w:val="16"/>
              </w:rPr>
            </w:pPr>
            <w:r>
              <w:rPr>
                <w:color w:val="000000"/>
                <w:sz w:val="16"/>
              </w:rPr>
            </w:r>
          </w:p>
        </w:tc>
        <w:tc>
          <w:tcPr>
            <w:tcW w:w="932" w:type="dxa"/>
            <w:tcBorders>
              <w:top w:val="single" w:sz="2" w:space="0" w:color="000000"/>
              <w:start w:val="single" w:sz="2" w:space="0" w:color="000000"/>
              <w:bottom w:val="single" w:sz="12" w:space="0" w:color="000000"/>
              <w:end w:val="single" w:sz="2" w:space="0" w:color="000000"/>
            </w:tcBorders>
          </w:tcPr>
          <w:p>
            <w:pPr>
              <w:pStyle w:val="Normal"/>
              <w:snapToGrid w:val="false"/>
              <w:jc w:val="end"/>
              <w:rPr>
                <w:color w:val="000000"/>
                <w:sz w:val="16"/>
              </w:rPr>
            </w:pPr>
            <w:r>
              <w:rPr>
                <w:color w:val="000000"/>
                <w:sz w:val="16"/>
              </w:rPr>
            </w:r>
          </w:p>
        </w:tc>
        <w:tc>
          <w:tcPr>
            <w:tcW w:w="1010" w:type="dxa"/>
            <w:tcBorders>
              <w:top w:val="single" w:sz="2" w:space="0" w:color="000000"/>
              <w:start w:val="single" w:sz="2" w:space="0" w:color="000000"/>
              <w:bottom w:val="single" w:sz="12" w:space="0" w:color="000000"/>
              <w:end w:val="single" w:sz="2" w:space="0" w:color="000000"/>
            </w:tcBorders>
          </w:tcPr>
          <w:p>
            <w:pPr>
              <w:pStyle w:val="Normal"/>
              <w:snapToGrid w:val="false"/>
              <w:jc w:val="end"/>
              <w:rPr>
                <w:color w:val="000000"/>
                <w:sz w:val="16"/>
              </w:rPr>
            </w:pPr>
            <w:r>
              <w:rPr>
                <w:color w:val="000000"/>
                <w:sz w:val="16"/>
              </w:rPr>
            </w:r>
          </w:p>
        </w:tc>
        <w:tc>
          <w:tcPr>
            <w:tcW w:w="1260" w:type="dxa"/>
            <w:tcBorders>
              <w:top w:val="single" w:sz="2" w:space="0" w:color="000000"/>
              <w:start w:val="single" w:sz="2" w:space="0" w:color="000000"/>
              <w:bottom w:val="single" w:sz="12" w:space="0" w:color="000000"/>
              <w:end w:val="single" w:sz="2" w:space="0" w:color="000000"/>
            </w:tcBorders>
          </w:tcPr>
          <w:p>
            <w:pPr>
              <w:pStyle w:val="Normal"/>
              <w:snapToGrid w:val="false"/>
              <w:jc w:val="end"/>
              <w:rPr>
                <w:color w:val="000000"/>
                <w:sz w:val="16"/>
              </w:rPr>
            </w:pPr>
            <w:r>
              <w:rPr>
                <w:color w:val="000000"/>
                <w:sz w:val="16"/>
              </w:rPr>
            </w:r>
          </w:p>
        </w:tc>
        <w:tc>
          <w:tcPr>
            <w:tcW w:w="1620" w:type="dxa"/>
            <w:tcBorders>
              <w:top w:val="single" w:sz="2" w:space="0" w:color="000000"/>
              <w:start w:val="single" w:sz="2" w:space="0" w:color="000000"/>
              <w:bottom w:val="single" w:sz="12" w:space="0" w:color="000000"/>
              <w:end w:val="single" w:sz="2" w:space="0" w:color="000000"/>
            </w:tcBorders>
          </w:tcPr>
          <w:p>
            <w:pPr>
              <w:pStyle w:val="Normal"/>
              <w:snapToGrid w:val="false"/>
              <w:jc w:val="end"/>
              <w:rPr>
                <w:color w:val="000000"/>
                <w:sz w:val="16"/>
              </w:rPr>
            </w:pPr>
            <w:r>
              <w:rPr>
                <w:color w:val="000000"/>
                <w:sz w:val="16"/>
              </w:rPr>
            </w:r>
          </w:p>
        </w:tc>
      </w:tr>
      <w:tr>
        <w:trPr>
          <w:trHeight w:val="263" w:hRule="atLeast"/>
        </w:trPr>
        <w:tc>
          <w:tcPr>
            <w:tcW w:w="2945" w:type="dxa"/>
            <w:tcBorders>
              <w:top w:val="single" w:sz="12" w:space="0" w:color="000000"/>
              <w:start w:val="single" w:sz="12" w:space="0" w:color="000000"/>
              <w:bottom w:val="single" w:sz="12" w:space="0" w:color="000000"/>
              <w:end w:val="single" w:sz="12" w:space="0" w:color="000000"/>
            </w:tcBorders>
          </w:tcPr>
          <w:p>
            <w:pPr>
              <w:pStyle w:val="Normal"/>
              <w:snapToGrid w:val="false"/>
              <w:rPr>
                <w:color w:val="000000"/>
                <w:sz w:val="18"/>
              </w:rPr>
            </w:pPr>
            <w:r>
              <w:rPr>
                <w:color w:val="000000"/>
                <w:sz w:val="18"/>
              </w:rPr>
            </w:r>
          </w:p>
          <w:p>
            <w:pPr>
              <w:pStyle w:val="Normal"/>
              <w:rPr>
                <w:color w:val="000000"/>
                <w:sz w:val="18"/>
              </w:rPr>
            </w:pPr>
            <w:r>
              <w:rPr>
                <w:color w:val="000000"/>
                <w:sz w:val="18"/>
              </w:rPr>
            </w:r>
          </w:p>
          <w:p>
            <w:pPr>
              <w:pStyle w:val="Normal"/>
              <w:rPr>
                <w:color w:val="000000"/>
                <w:sz w:val="18"/>
              </w:rPr>
            </w:pPr>
            <w:r>
              <w:rPr>
                <w:color w:val="000000"/>
                <w:sz w:val="18"/>
              </w:rPr>
              <w:t>Rate Group</w:t>
            </w:r>
          </w:p>
        </w:tc>
        <w:tc>
          <w:tcPr>
            <w:tcW w:w="993" w:type="dxa"/>
            <w:tcBorders>
              <w:top w:val="single" w:sz="12" w:space="0" w:color="000000"/>
              <w:start w:val="single" w:sz="12" w:space="0" w:color="000000"/>
              <w:bottom w:val="single" w:sz="12" w:space="0" w:color="000000"/>
              <w:end w:val="single" w:sz="12" w:space="0" w:color="000000"/>
            </w:tcBorders>
          </w:tcPr>
          <w:p>
            <w:pPr>
              <w:pStyle w:val="Normal"/>
              <w:snapToGrid w:val="false"/>
              <w:jc w:val="center"/>
              <w:rPr>
                <w:color w:val="000000"/>
                <w:sz w:val="18"/>
              </w:rPr>
            </w:pPr>
            <w:r>
              <w:rPr>
                <w:color w:val="000000"/>
                <w:sz w:val="18"/>
              </w:rPr>
            </w:r>
          </w:p>
          <w:p>
            <w:pPr>
              <w:pStyle w:val="Normal"/>
              <w:jc w:val="center"/>
              <w:rPr>
                <w:color w:val="000000"/>
                <w:sz w:val="18"/>
              </w:rPr>
            </w:pPr>
            <w:r>
              <w:rPr>
                <w:color w:val="000000"/>
                <w:sz w:val="18"/>
              </w:rPr>
              <w:t>2001 Sales Forecast</w:t>
            </w:r>
          </w:p>
        </w:tc>
        <w:tc>
          <w:tcPr>
            <w:tcW w:w="932" w:type="dxa"/>
            <w:tcBorders>
              <w:top w:val="single" w:sz="12" w:space="0" w:color="000000"/>
              <w:start w:val="single" w:sz="12" w:space="0" w:color="000000"/>
              <w:bottom w:val="single" w:sz="12" w:space="0" w:color="000000"/>
              <w:end w:val="single" w:sz="12" w:space="0" w:color="000000"/>
            </w:tcBorders>
          </w:tcPr>
          <w:p>
            <w:pPr>
              <w:pStyle w:val="Normal"/>
              <w:jc w:val="center"/>
              <w:rPr>
                <w:color w:val="000000"/>
                <w:sz w:val="18"/>
              </w:rPr>
            </w:pPr>
            <w:r>
              <w:rPr>
                <w:color w:val="000000"/>
                <w:sz w:val="18"/>
              </w:rPr>
              <w:t>Total Revenue ($MM)</w:t>
            </w:r>
          </w:p>
        </w:tc>
        <w:tc>
          <w:tcPr>
            <w:tcW w:w="1010" w:type="dxa"/>
            <w:tcBorders>
              <w:top w:val="single" w:sz="12" w:space="0" w:color="000000"/>
              <w:start w:val="single" w:sz="12" w:space="0" w:color="000000"/>
              <w:bottom w:val="single" w:sz="12" w:space="0" w:color="000000"/>
              <w:end w:val="single" w:sz="12" w:space="0" w:color="000000"/>
            </w:tcBorders>
          </w:tcPr>
          <w:p>
            <w:pPr>
              <w:pStyle w:val="Normal"/>
              <w:jc w:val="center"/>
              <w:rPr>
                <w:color w:val="FF0000"/>
                <w:sz w:val="18"/>
              </w:rPr>
            </w:pPr>
            <w:r>
              <w:rPr>
                <w:color w:val="FF0000"/>
                <w:sz w:val="18"/>
              </w:rPr>
              <w:t>Revenue Increase ($MM)</w:t>
            </w:r>
          </w:p>
        </w:tc>
        <w:tc>
          <w:tcPr>
            <w:tcW w:w="1260" w:type="dxa"/>
            <w:tcBorders>
              <w:top w:val="single" w:sz="12" w:space="0" w:color="000000"/>
              <w:start w:val="single" w:sz="12" w:space="0" w:color="000000"/>
              <w:bottom w:val="single" w:sz="12" w:space="0" w:color="000000"/>
              <w:end w:val="single" w:sz="12" w:space="0" w:color="000000"/>
            </w:tcBorders>
          </w:tcPr>
          <w:p>
            <w:pPr>
              <w:pStyle w:val="Normal"/>
              <w:jc w:val="center"/>
              <w:rPr>
                <w:color w:val="000000"/>
                <w:sz w:val="18"/>
              </w:rPr>
            </w:pPr>
            <w:r>
              <w:rPr>
                <w:color w:val="000000"/>
                <w:sz w:val="18"/>
              </w:rPr>
              <w:t>New Total Revenue ($MM)</w:t>
            </w:r>
          </w:p>
        </w:tc>
        <w:tc>
          <w:tcPr>
            <w:tcW w:w="1620" w:type="dxa"/>
            <w:tcBorders>
              <w:top w:val="single" w:sz="12" w:space="0" w:color="000000"/>
              <w:start w:val="single" w:sz="12" w:space="0" w:color="000000"/>
              <w:bottom w:val="single" w:sz="12" w:space="0" w:color="000000"/>
              <w:end w:val="single" w:sz="12" w:space="0" w:color="000000"/>
            </w:tcBorders>
          </w:tcPr>
          <w:p>
            <w:pPr>
              <w:pStyle w:val="Normal"/>
              <w:jc w:val="center"/>
              <w:rPr>
                <w:rFonts w:eastAsia="Arial"/>
                <w:color w:val="000000"/>
                <w:sz w:val="18"/>
              </w:rPr>
            </w:pPr>
            <w:r>
              <w:rPr>
                <w:rFonts w:eastAsia="Arial"/>
                <w:color w:val="000000"/>
                <w:sz w:val="18"/>
              </w:rPr>
              <w:t xml:space="preserve"> </w:t>
            </w:r>
          </w:p>
          <w:p>
            <w:pPr>
              <w:pStyle w:val="Normal"/>
              <w:jc w:val="center"/>
              <w:rPr>
                <w:color w:val="000000"/>
                <w:sz w:val="18"/>
              </w:rPr>
            </w:pPr>
            <w:r>
              <w:rPr>
                <w:color w:val="000000"/>
                <w:sz w:val="18"/>
              </w:rPr>
              <w:t xml:space="preserve">Increase in Class Average </w:t>
            </w:r>
          </w:p>
        </w:tc>
      </w:tr>
      <w:tr>
        <w:trPr>
          <w:trHeight w:val="264" w:hRule="atLeast"/>
        </w:trPr>
        <w:tc>
          <w:tcPr>
            <w:tcW w:w="2945" w:type="dxa"/>
            <w:tcBorders>
              <w:top w:val="single" w:sz="2" w:space="0" w:color="000000"/>
              <w:start w:val="single" w:sz="2" w:space="0" w:color="000000"/>
              <w:bottom w:val="single" w:sz="2" w:space="0" w:color="000000"/>
              <w:end w:val="single" w:sz="2" w:space="0" w:color="000000"/>
            </w:tcBorders>
          </w:tcPr>
          <w:p>
            <w:pPr>
              <w:pStyle w:val="Normal"/>
              <w:rPr>
                <w:b/>
                <w:color w:val="000000"/>
                <w:sz w:val="18"/>
              </w:rPr>
            </w:pPr>
            <w:r>
              <w:rPr>
                <w:b/>
                <w:color w:val="000000"/>
                <w:sz w:val="18"/>
              </w:rPr>
              <w:t>Residential</w:t>
            </w:r>
          </w:p>
        </w:tc>
        <w:tc>
          <w:tcPr>
            <w:tcW w:w="993" w:type="dxa"/>
            <w:tcBorders>
              <w:top w:val="single" w:sz="2" w:space="0" w:color="000000"/>
              <w:start w:val="single" w:sz="2" w:space="0" w:color="000000"/>
              <w:bottom w:val="single" w:sz="2" w:space="0" w:color="000000"/>
              <w:end w:val="single" w:sz="2" w:space="0" w:color="000000"/>
            </w:tcBorders>
          </w:tcPr>
          <w:p>
            <w:pPr>
              <w:pStyle w:val="Normal"/>
              <w:snapToGrid w:val="false"/>
              <w:jc w:val="end"/>
              <w:rPr>
                <w:b/>
                <w:color w:val="000000"/>
                <w:sz w:val="18"/>
                <w:u w:val="single"/>
              </w:rPr>
            </w:pPr>
            <w:r>
              <w:rPr>
                <w:b/>
                <w:color w:val="000000"/>
                <w:sz w:val="18"/>
                <w:u w:val="single"/>
              </w:rPr>
            </w:r>
          </w:p>
        </w:tc>
        <w:tc>
          <w:tcPr>
            <w:tcW w:w="932" w:type="dxa"/>
            <w:tcBorders>
              <w:top w:val="single" w:sz="2" w:space="0" w:color="000000"/>
              <w:start w:val="single" w:sz="2" w:space="0" w:color="000000"/>
              <w:bottom w:val="single" w:sz="2" w:space="0" w:color="000000"/>
              <w:end w:val="single" w:sz="2" w:space="0" w:color="000000"/>
            </w:tcBorders>
          </w:tcPr>
          <w:p>
            <w:pPr>
              <w:pStyle w:val="Normal"/>
              <w:snapToGrid w:val="false"/>
              <w:jc w:val="end"/>
              <w:rPr>
                <w:b/>
                <w:color w:val="000000"/>
                <w:sz w:val="18"/>
                <w:u w:val="single"/>
              </w:rPr>
            </w:pPr>
            <w:r>
              <w:rPr>
                <w:b/>
                <w:color w:val="000000"/>
                <w:sz w:val="18"/>
                <w:u w:val="single"/>
              </w:rPr>
            </w:r>
          </w:p>
        </w:tc>
        <w:tc>
          <w:tcPr>
            <w:tcW w:w="1010" w:type="dxa"/>
            <w:tcBorders>
              <w:top w:val="single" w:sz="2" w:space="0" w:color="000000"/>
              <w:start w:val="single" w:sz="2" w:space="0" w:color="000000"/>
              <w:bottom w:val="single" w:sz="2" w:space="0" w:color="000000"/>
              <w:end w:val="single" w:sz="2" w:space="0" w:color="000000"/>
            </w:tcBorders>
          </w:tcPr>
          <w:p>
            <w:pPr>
              <w:pStyle w:val="Normal"/>
              <w:snapToGrid w:val="false"/>
              <w:jc w:val="end"/>
              <w:rPr>
                <w:b/>
                <w:color w:val="000000"/>
                <w:sz w:val="18"/>
                <w:u w:val="single"/>
              </w:rPr>
            </w:pPr>
            <w:r>
              <w:rPr>
                <w:b/>
                <w:color w:val="000000"/>
                <w:sz w:val="18"/>
                <w:u w:val="single"/>
              </w:rPr>
            </w:r>
          </w:p>
        </w:tc>
        <w:tc>
          <w:tcPr>
            <w:tcW w:w="1260" w:type="dxa"/>
            <w:tcBorders>
              <w:top w:val="single" w:sz="2" w:space="0" w:color="000000"/>
              <w:start w:val="single" w:sz="2" w:space="0" w:color="000000"/>
              <w:bottom w:val="single" w:sz="2" w:space="0" w:color="000000"/>
              <w:end w:val="single" w:sz="2" w:space="0" w:color="000000"/>
            </w:tcBorders>
          </w:tcPr>
          <w:p>
            <w:pPr>
              <w:pStyle w:val="Normal"/>
              <w:snapToGrid w:val="false"/>
              <w:jc w:val="end"/>
              <w:rPr>
                <w:b/>
                <w:color w:val="000000"/>
                <w:sz w:val="18"/>
                <w:u w:val="single"/>
              </w:rPr>
            </w:pPr>
            <w:r>
              <w:rPr>
                <w:b/>
                <w:color w:val="000000"/>
                <w:sz w:val="18"/>
                <w:u w:val="single"/>
              </w:rPr>
            </w:r>
          </w:p>
        </w:tc>
        <w:tc>
          <w:tcPr>
            <w:tcW w:w="1620" w:type="dxa"/>
            <w:tcBorders>
              <w:top w:val="single" w:sz="2" w:space="0" w:color="000000"/>
              <w:start w:val="single" w:sz="2" w:space="0" w:color="000000"/>
              <w:bottom w:val="single" w:sz="2" w:space="0" w:color="000000"/>
              <w:end w:val="single" w:sz="2" w:space="0" w:color="000000"/>
            </w:tcBorders>
          </w:tcPr>
          <w:p>
            <w:pPr>
              <w:pStyle w:val="Normal"/>
              <w:snapToGrid w:val="false"/>
              <w:jc w:val="end"/>
              <w:rPr>
                <w:b/>
                <w:color w:val="000000"/>
                <w:sz w:val="18"/>
                <w:u w:val="single"/>
              </w:rPr>
            </w:pPr>
            <w:r>
              <w:rPr>
                <w:b/>
                <w:color w:val="000000"/>
                <w:sz w:val="18"/>
                <w:u w:val="single"/>
              </w:rPr>
            </w:r>
          </w:p>
        </w:tc>
      </w:tr>
      <w:tr>
        <w:trPr>
          <w:trHeight w:val="263" w:hRule="atLeast"/>
        </w:trPr>
        <w:tc>
          <w:tcPr>
            <w:tcW w:w="2945" w:type="dxa"/>
            <w:tcBorders>
              <w:top w:val="single" w:sz="2" w:space="0" w:color="000000"/>
              <w:start w:val="single" w:sz="2" w:space="0" w:color="000000"/>
              <w:bottom w:val="single" w:sz="2" w:space="0" w:color="000000"/>
              <w:end w:val="single" w:sz="2" w:space="0" w:color="000000"/>
            </w:tcBorders>
          </w:tcPr>
          <w:p>
            <w:pPr>
              <w:pStyle w:val="Normal"/>
              <w:jc w:val="end"/>
              <w:rPr>
                <w:b/>
                <w:color w:val="000000"/>
                <w:sz w:val="18"/>
              </w:rPr>
            </w:pPr>
            <w:r>
              <w:rPr>
                <w:rFonts w:eastAsia="Arial"/>
                <w:b/>
                <w:color w:val="000000"/>
                <w:sz w:val="18"/>
              </w:rPr>
              <w:t xml:space="preserve"> </w:t>
            </w:r>
            <w:r>
              <w:rPr>
                <w:b/>
                <w:color w:val="000000"/>
                <w:sz w:val="18"/>
              </w:rPr>
              <w:t xml:space="preserve">Total NON-CARE </w:t>
            </w:r>
          </w:p>
        </w:tc>
        <w:tc>
          <w:tcPr>
            <w:tcW w:w="993" w:type="dxa"/>
            <w:tcBorders>
              <w:top w:val="single" w:sz="2" w:space="0" w:color="000000"/>
              <w:start w:val="single" w:sz="2" w:space="0" w:color="000000"/>
              <w:bottom w:val="single" w:sz="2" w:space="0" w:color="000000"/>
              <w:end w:val="single" w:sz="2" w:space="0" w:color="000000"/>
            </w:tcBorders>
          </w:tcPr>
          <w:p>
            <w:pPr>
              <w:pStyle w:val="Normal"/>
              <w:jc w:val="end"/>
              <w:rPr>
                <w:b/>
                <w:color w:val="000000"/>
                <w:sz w:val="18"/>
              </w:rPr>
            </w:pPr>
            <w:r>
              <w:rPr>
                <w:rFonts w:eastAsia="Arial"/>
                <w:b/>
                <w:color w:val="000000"/>
                <w:sz w:val="18"/>
              </w:rPr>
              <w:t xml:space="preserve">    </w:t>
            </w:r>
            <w:r>
              <w:rPr>
                <w:b/>
                <w:color w:val="000000"/>
                <w:sz w:val="18"/>
              </w:rPr>
              <w:t xml:space="preserve">22,261.8 </w:t>
            </w:r>
          </w:p>
        </w:tc>
        <w:tc>
          <w:tcPr>
            <w:tcW w:w="932" w:type="dxa"/>
            <w:tcBorders>
              <w:top w:val="single" w:sz="2" w:space="0" w:color="000000"/>
              <w:start w:val="single" w:sz="2" w:space="0" w:color="000000"/>
              <w:bottom w:val="single" w:sz="2" w:space="0" w:color="000000"/>
              <w:end w:val="single" w:sz="2" w:space="0" w:color="000000"/>
            </w:tcBorders>
          </w:tcPr>
          <w:p>
            <w:pPr>
              <w:pStyle w:val="Normal"/>
              <w:jc w:val="end"/>
              <w:rPr>
                <w:b/>
                <w:color w:val="000000"/>
                <w:sz w:val="18"/>
              </w:rPr>
            </w:pPr>
            <w:r>
              <w:rPr>
                <w:b/>
                <w:color w:val="000000"/>
                <w:sz w:val="18"/>
              </w:rPr>
              <w:t xml:space="preserve">$3,156.1 </w:t>
            </w:r>
          </w:p>
        </w:tc>
        <w:tc>
          <w:tcPr>
            <w:tcW w:w="1010" w:type="dxa"/>
            <w:tcBorders>
              <w:top w:val="single" w:sz="2" w:space="0" w:color="000000"/>
              <w:start w:val="single" w:sz="2" w:space="0" w:color="000000"/>
              <w:bottom w:val="single" w:sz="2" w:space="0" w:color="000000"/>
              <w:end w:val="single" w:sz="2" w:space="0" w:color="000000"/>
            </w:tcBorders>
          </w:tcPr>
          <w:p>
            <w:pPr>
              <w:pStyle w:val="Normal"/>
              <w:jc w:val="end"/>
              <w:rPr>
                <w:b/>
                <w:color w:val="000000"/>
                <w:sz w:val="18"/>
              </w:rPr>
            </w:pPr>
            <w:r>
              <w:rPr>
                <w:b/>
                <w:color w:val="000000"/>
                <w:sz w:val="18"/>
              </w:rPr>
              <w:t xml:space="preserve">$761.0 </w:t>
            </w:r>
          </w:p>
        </w:tc>
        <w:tc>
          <w:tcPr>
            <w:tcW w:w="1260" w:type="dxa"/>
            <w:tcBorders>
              <w:top w:val="single" w:sz="2" w:space="0" w:color="000000"/>
              <w:start w:val="single" w:sz="2" w:space="0" w:color="000000"/>
              <w:bottom w:val="single" w:sz="2" w:space="0" w:color="000000"/>
              <w:end w:val="single" w:sz="2" w:space="0" w:color="000000"/>
            </w:tcBorders>
          </w:tcPr>
          <w:p>
            <w:pPr>
              <w:pStyle w:val="Normal"/>
              <w:jc w:val="end"/>
              <w:rPr>
                <w:b/>
                <w:color w:val="000000"/>
                <w:sz w:val="18"/>
              </w:rPr>
            </w:pPr>
            <w:r>
              <w:rPr>
                <w:b/>
                <w:color w:val="000000"/>
                <w:sz w:val="18"/>
              </w:rPr>
              <w:t xml:space="preserve">$3,917.1 </w:t>
            </w:r>
          </w:p>
        </w:tc>
        <w:tc>
          <w:tcPr>
            <w:tcW w:w="1620" w:type="dxa"/>
            <w:tcBorders>
              <w:top w:val="single" w:sz="2" w:space="0" w:color="000000"/>
              <w:start w:val="single" w:sz="2" w:space="0" w:color="000000"/>
              <w:bottom w:val="single" w:sz="2" w:space="0" w:color="000000"/>
              <w:end w:val="single" w:sz="2" w:space="0" w:color="000000"/>
            </w:tcBorders>
          </w:tcPr>
          <w:p>
            <w:pPr>
              <w:pStyle w:val="Normal"/>
              <w:jc w:val="end"/>
              <w:rPr>
                <w:b/>
                <w:color w:val="000000"/>
                <w:sz w:val="18"/>
              </w:rPr>
            </w:pPr>
            <w:r>
              <w:rPr>
                <w:b/>
                <w:color w:val="000000"/>
                <w:sz w:val="18"/>
              </w:rPr>
              <w:t>24.1%</w:t>
            </w:r>
          </w:p>
        </w:tc>
      </w:tr>
      <w:tr>
        <w:trPr>
          <w:trHeight w:val="264" w:hRule="atLeast"/>
        </w:trPr>
        <w:tc>
          <w:tcPr>
            <w:tcW w:w="2945" w:type="dxa"/>
            <w:tcBorders>
              <w:top w:val="single" w:sz="2" w:space="0" w:color="000000"/>
              <w:start w:val="single" w:sz="2" w:space="0" w:color="000000"/>
              <w:bottom w:val="single" w:sz="2" w:space="0" w:color="000000"/>
              <w:end w:val="single" w:sz="2" w:space="0" w:color="000000"/>
            </w:tcBorders>
          </w:tcPr>
          <w:p>
            <w:pPr>
              <w:pStyle w:val="Normal"/>
              <w:jc w:val="end"/>
              <w:rPr>
                <w:b/>
                <w:color w:val="000000"/>
                <w:sz w:val="18"/>
              </w:rPr>
            </w:pPr>
            <w:r>
              <w:rPr>
                <w:rFonts w:eastAsia="Arial"/>
                <w:b/>
                <w:color w:val="000000"/>
                <w:sz w:val="18"/>
              </w:rPr>
              <w:t xml:space="preserve"> </w:t>
            </w:r>
            <w:r>
              <w:rPr>
                <w:b/>
                <w:color w:val="000000"/>
                <w:sz w:val="18"/>
              </w:rPr>
              <w:t xml:space="preserve">Total CARE </w:t>
            </w:r>
          </w:p>
        </w:tc>
        <w:tc>
          <w:tcPr>
            <w:tcW w:w="993" w:type="dxa"/>
            <w:tcBorders>
              <w:top w:val="single" w:sz="2" w:space="0" w:color="000000"/>
              <w:start w:val="single" w:sz="2" w:space="0" w:color="000000"/>
              <w:bottom w:val="single" w:sz="2" w:space="0" w:color="000000"/>
              <w:end w:val="single" w:sz="2" w:space="0" w:color="000000"/>
            </w:tcBorders>
          </w:tcPr>
          <w:p>
            <w:pPr>
              <w:pStyle w:val="Normal"/>
              <w:jc w:val="end"/>
              <w:rPr>
                <w:b/>
                <w:color w:val="000000"/>
                <w:sz w:val="18"/>
              </w:rPr>
            </w:pPr>
            <w:r>
              <w:rPr>
                <w:rFonts w:eastAsia="Arial"/>
                <w:b/>
                <w:color w:val="000000"/>
                <w:sz w:val="18"/>
              </w:rPr>
              <w:t xml:space="preserve">      </w:t>
            </w:r>
            <w:r>
              <w:rPr>
                <w:b/>
                <w:color w:val="000000"/>
                <w:sz w:val="18"/>
              </w:rPr>
              <w:t xml:space="preserve">2,656.5 </w:t>
            </w:r>
          </w:p>
        </w:tc>
        <w:tc>
          <w:tcPr>
            <w:tcW w:w="932" w:type="dxa"/>
            <w:tcBorders>
              <w:top w:val="single" w:sz="2" w:space="0" w:color="000000"/>
              <w:start w:val="single" w:sz="2" w:space="0" w:color="000000"/>
              <w:bottom w:val="single" w:sz="2" w:space="0" w:color="000000"/>
              <w:end w:val="single" w:sz="2" w:space="0" w:color="000000"/>
            </w:tcBorders>
          </w:tcPr>
          <w:p>
            <w:pPr>
              <w:pStyle w:val="Normal"/>
              <w:jc w:val="end"/>
              <w:rPr>
                <w:b/>
                <w:color w:val="000000"/>
                <w:sz w:val="18"/>
              </w:rPr>
            </w:pPr>
            <w:r>
              <w:rPr>
                <w:b/>
                <w:color w:val="000000"/>
                <w:sz w:val="18"/>
              </w:rPr>
              <w:t xml:space="preserve">$288.9 </w:t>
            </w:r>
          </w:p>
        </w:tc>
        <w:tc>
          <w:tcPr>
            <w:tcW w:w="1010" w:type="dxa"/>
            <w:tcBorders>
              <w:top w:val="single" w:sz="2" w:space="0" w:color="000000"/>
              <w:start w:val="single" w:sz="2" w:space="0" w:color="000000"/>
              <w:bottom w:val="single" w:sz="2" w:space="0" w:color="000000"/>
              <w:end w:val="single" w:sz="2" w:space="0" w:color="000000"/>
            </w:tcBorders>
          </w:tcPr>
          <w:p>
            <w:pPr>
              <w:pStyle w:val="Normal"/>
              <w:jc w:val="end"/>
              <w:rPr>
                <w:b/>
                <w:color w:val="000000"/>
                <w:sz w:val="18"/>
              </w:rPr>
            </w:pPr>
            <w:r>
              <w:rPr>
                <w:b/>
                <w:color w:val="000000"/>
                <w:sz w:val="18"/>
              </w:rPr>
              <w:t xml:space="preserve">$0.0 </w:t>
            </w:r>
          </w:p>
        </w:tc>
        <w:tc>
          <w:tcPr>
            <w:tcW w:w="1260" w:type="dxa"/>
            <w:tcBorders>
              <w:top w:val="single" w:sz="2" w:space="0" w:color="000000"/>
              <w:start w:val="single" w:sz="2" w:space="0" w:color="000000"/>
              <w:bottom w:val="single" w:sz="2" w:space="0" w:color="000000"/>
              <w:end w:val="single" w:sz="2" w:space="0" w:color="000000"/>
            </w:tcBorders>
          </w:tcPr>
          <w:p>
            <w:pPr>
              <w:pStyle w:val="Normal"/>
              <w:jc w:val="end"/>
              <w:rPr>
                <w:b/>
                <w:color w:val="000000"/>
                <w:sz w:val="18"/>
              </w:rPr>
            </w:pPr>
            <w:r>
              <w:rPr>
                <w:b/>
                <w:color w:val="000000"/>
                <w:sz w:val="18"/>
              </w:rPr>
              <w:t xml:space="preserve">$288.9 </w:t>
            </w:r>
          </w:p>
        </w:tc>
        <w:tc>
          <w:tcPr>
            <w:tcW w:w="1620" w:type="dxa"/>
            <w:tcBorders>
              <w:top w:val="single" w:sz="2" w:space="0" w:color="000000"/>
              <w:start w:val="single" w:sz="2" w:space="0" w:color="000000"/>
              <w:bottom w:val="single" w:sz="2" w:space="0" w:color="000000"/>
              <w:end w:val="single" w:sz="2" w:space="0" w:color="000000"/>
            </w:tcBorders>
          </w:tcPr>
          <w:p>
            <w:pPr>
              <w:pStyle w:val="Normal"/>
              <w:jc w:val="end"/>
              <w:rPr>
                <w:b/>
                <w:color w:val="000000"/>
                <w:sz w:val="18"/>
              </w:rPr>
            </w:pPr>
            <w:r>
              <w:rPr>
                <w:b/>
                <w:color w:val="000000"/>
                <w:sz w:val="18"/>
              </w:rPr>
              <w:t>0.0%</w:t>
            </w:r>
          </w:p>
        </w:tc>
      </w:tr>
      <w:tr>
        <w:trPr>
          <w:trHeight w:val="263" w:hRule="atLeast"/>
        </w:trPr>
        <w:tc>
          <w:tcPr>
            <w:tcW w:w="2945" w:type="dxa"/>
            <w:tcBorders>
              <w:top w:val="single" w:sz="2" w:space="0" w:color="000000"/>
              <w:start w:val="single" w:sz="2" w:space="0" w:color="000000"/>
              <w:bottom w:val="single" w:sz="2" w:space="0" w:color="000000"/>
              <w:end w:val="single" w:sz="2" w:space="0" w:color="000000"/>
            </w:tcBorders>
          </w:tcPr>
          <w:p>
            <w:pPr>
              <w:pStyle w:val="Normal"/>
              <w:rPr>
                <w:b/>
                <w:color w:val="000000"/>
                <w:sz w:val="18"/>
              </w:rPr>
            </w:pPr>
            <w:r>
              <w:rPr>
                <w:b/>
                <w:color w:val="000000"/>
                <w:sz w:val="18"/>
              </w:rPr>
              <w:t>Total Residential</w:t>
            </w:r>
          </w:p>
        </w:tc>
        <w:tc>
          <w:tcPr>
            <w:tcW w:w="993" w:type="dxa"/>
            <w:tcBorders>
              <w:top w:val="single" w:sz="2" w:space="0" w:color="000000"/>
              <w:start w:val="single" w:sz="2" w:space="0" w:color="000000"/>
              <w:bottom w:val="single" w:sz="2" w:space="0" w:color="000000"/>
              <w:end w:val="single" w:sz="2" w:space="0" w:color="000000"/>
            </w:tcBorders>
          </w:tcPr>
          <w:p>
            <w:pPr>
              <w:pStyle w:val="Normal"/>
              <w:jc w:val="end"/>
              <w:rPr>
                <w:b/>
                <w:color w:val="000000"/>
                <w:sz w:val="18"/>
              </w:rPr>
            </w:pPr>
            <w:r>
              <w:rPr>
                <w:rFonts w:eastAsia="Arial"/>
                <w:b/>
                <w:color w:val="000000"/>
                <w:sz w:val="18"/>
              </w:rPr>
              <w:t xml:space="preserve">    </w:t>
            </w:r>
            <w:r>
              <w:rPr>
                <w:b/>
                <w:color w:val="000000"/>
                <w:sz w:val="18"/>
              </w:rPr>
              <w:t xml:space="preserve">24,918.4 </w:t>
            </w:r>
          </w:p>
        </w:tc>
        <w:tc>
          <w:tcPr>
            <w:tcW w:w="932" w:type="dxa"/>
            <w:tcBorders>
              <w:top w:val="single" w:sz="2" w:space="0" w:color="000000"/>
              <w:start w:val="single" w:sz="2" w:space="0" w:color="000000"/>
              <w:bottom w:val="single" w:sz="2" w:space="0" w:color="000000"/>
              <w:end w:val="single" w:sz="2" w:space="0" w:color="000000"/>
            </w:tcBorders>
          </w:tcPr>
          <w:p>
            <w:pPr>
              <w:pStyle w:val="Normal"/>
              <w:jc w:val="end"/>
              <w:rPr>
                <w:b/>
                <w:color w:val="000000"/>
                <w:sz w:val="18"/>
              </w:rPr>
            </w:pPr>
            <w:r>
              <w:rPr>
                <w:b/>
                <w:color w:val="000000"/>
                <w:sz w:val="18"/>
              </w:rPr>
              <w:t xml:space="preserve">$3,445.0 </w:t>
            </w:r>
          </w:p>
        </w:tc>
        <w:tc>
          <w:tcPr>
            <w:tcW w:w="1010" w:type="dxa"/>
            <w:tcBorders>
              <w:top w:val="single" w:sz="2" w:space="0" w:color="000000"/>
              <w:start w:val="single" w:sz="2" w:space="0" w:color="000000"/>
              <w:bottom w:val="single" w:sz="2" w:space="0" w:color="000000"/>
              <w:end w:val="single" w:sz="2" w:space="0" w:color="000000"/>
            </w:tcBorders>
          </w:tcPr>
          <w:p>
            <w:pPr>
              <w:pStyle w:val="Normal"/>
              <w:jc w:val="end"/>
              <w:rPr>
                <w:b/>
                <w:color w:val="000000"/>
                <w:sz w:val="18"/>
              </w:rPr>
            </w:pPr>
            <w:r>
              <w:rPr>
                <w:b/>
                <w:color w:val="000000"/>
                <w:sz w:val="18"/>
              </w:rPr>
              <w:t xml:space="preserve">$761.0 </w:t>
            </w:r>
          </w:p>
        </w:tc>
        <w:tc>
          <w:tcPr>
            <w:tcW w:w="1260" w:type="dxa"/>
            <w:tcBorders>
              <w:top w:val="single" w:sz="2" w:space="0" w:color="000000"/>
              <w:start w:val="single" w:sz="2" w:space="0" w:color="000000"/>
              <w:bottom w:val="single" w:sz="2" w:space="0" w:color="000000"/>
              <w:end w:val="single" w:sz="2" w:space="0" w:color="000000"/>
            </w:tcBorders>
          </w:tcPr>
          <w:p>
            <w:pPr>
              <w:pStyle w:val="Normal"/>
              <w:jc w:val="end"/>
              <w:rPr>
                <w:b/>
                <w:color w:val="000000"/>
                <w:sz w:val="18"/>
              </w:rPr>
            </w:pPr>
            <w:r>
              <w:rPr>
                <w:b/>
                <w:color w:val="000000"/>
                <w:sz w:val="18"/>
              </w:rPr>
              <w:t xml:space="preserve">$4,206.0 </w:t>
            </w:r>
          </w:p>
        </w:tc>
        <w:tc>
          <w:tcPr>
            <w:tcW w:w="1620" w:type="dxa"/>
            <w:tcBorders>
              <w:top w:val="single" w:sz="2" w:space="0" w:color="000000"/>
              <w:start w:val="single" w:sz="2" w:space="0" w:color="000000"/>
              <w:bottom w:val="single" w:sz="2" w:space="0" w:color="000000"/>
              <w:end w:val="single" w:sz="2" w:space="0" w:color="000000"/>
            </w:tcBorders>
          </w:tcPr>
          <w:p>
            <w:pPr>
              <w:pStyle w:val="Normal"/>
              <w:jc w:val="end"/>
              <w:rPr>
                <w:b/>
                <w:color w:val="000000"/>
                <w:sz w:val="18"/>
              </w:rPr>
            </w:pPr>
            <w:r>
              <w:rPr>
                <w:b/>
                <w:color w:val="000000"/>
                <w:sz w:val="18"/>
              </w:rPr>
              <w:t>22.1%</w:t>
            </w:r>
          </w:p>
        </w:tc>
      </w:tr>
      <w:tr>
        <w:trPr>
          <w:trHeight w:val="263" w:hRule="atLeast"/>
        </w:trPr>
        <w:tc>
          <w:tcPr>
            <w:tcW w:w="2945" w:type="dxa"/>
            <w:tcBorders>
              <w:top w:val="single" w:sz="2" w:space="0" w:color="000000"/>
              <w:start w:val="single" w:sz="2" w:space="0" w:color="000000"/>
              <w:bottom w:val="single" w:sz="2" w:space="0" w:color="000000"/>
              <w:end w:val="single" w:sz="2" w:space="0" w:color="000000"/>
            </w:tcBorders>
          </w:tcPr>
          <w:p>
            <w:pPr>
              <w:pStyle w:val="Normal"/>
              <w:rPr>
                <w:b/>
                <w:color w:val="000000"/>
                <w:sz w:val="18"/>
              </w:rPr>
            </w:pPr>
            <w:r>
              <w:rPr>
                <w:b/>
                <w:color w:val="000000"/>
                <w:sz w:val="18"/>
              </w:rPr>
              <w:t>Small &amp; Med. Commercial</w:t>
            </w:r>
          </w:p>
        </w:tc>
        <w:tc>
          <w:tcPr>
            <w:tcW w:w="993" w:type="dxa"/>
            <w:tcBorders>
              <w:top w:val="single" w:sz="2" w:space="0" w:color="000000"/>
              <w:start w:val="single" w:sz="2" w:space="0" w:color="000000"/>
              <w:bottom w:val="single" w:sz="2" w:space="0" w:color="000000"/>
              <w:end w:val="single" w:sz="2" w:space="0" w:color="000000"/>
            </w:tcBorders>
          </w:tcPr>
          <w:p>
            <w:pPr>
              <w:pStyle w:val="Normal"/>
              <w:snapToGrid w:val="false"/>
              <w:jc w:val="end"/>
              <w:rPr>
                <w:b/>
                <w:color w:val="000000"/>
                <w:sz w:val="18"/>
              </w:rPr>
            </w:pPr>
            <w:r>
              <w:rPr>
                <w:b/>
                <w:color w:val="000000"/>
                <w:sz w:val="18"/>
              </w:rPr>
            </w:r>
          </w:p>
        </w:tc>
        <w:tc>
          <w:tcPr>
            <w:tcW w:w="932" w:type="dxa"/>
            <w:tcBorders>
              <w:top w:val="single" w:sz="2" w:space="0" w:color="000000"/>
              <w:start w:val="single" w:sz="2" w:space="0" w:color="000000"/>
              <w:bottom w:val="single" w:sz="2" w:space="0" w:color="000000"/>
              <w:end w:val="single" w:sz="2" w:space="0" w:color="000000"/>
            </w:tcBorders>
          </w:tcPr>
          <w:p>
            <w:pPr>
              <w:pStyle w:val="Normal"/>
              <w:snapToGrid w:val="false"/>
              <w:jc w:val="end"/>
              <w:rPr>
                <w:b/>
                <w:color w:val="000000"/>
                <w:sz w:val="18"/>
              </w:rPr>
            </w:pPr>
            <w:r>
              <w:rPr>
                <w:b/>
                <w:color w:val="000000"/>
                <w:sz w:val="18"/>
              </w:rPr>
            </w:r>
          </w:p>
        </w:tc>
        <w:tc>
          <w:tcPr>
            <w:tcW w:w="1010" w:type="dxa"/>
            <w:tcBorders>
              <w:top w:val="single" w:sz="2" w:space="0" w:color="000000"/>
              <w:start w:val="single" w:sz="2" w:space="0" w:color="000000"/>
              <w:bottom w:val="single" w:sz="2" w:space="0" w:color="000000"/>
              <w:end w:val="single" w:sz="2" w:space="0" w:color="000000"/>
            </w:tcBorders>
          </w:tcPr>
          <w:p>
            <w:pPr>
              <w:pStyle w:val="Normal"/>
              <w:snapToGrid w:val="false"/>
              <w:jc w:val="end"/>
              <w:rPr>
                <w:b/>
                <w:color w:val="000000"/>
                <w:sz w:val="18"/>
              </w:rPr>
            </w:pPr>
            <w:r>
              <w:rPr>
                <w:b/>
                <w:color w:val="000000"/>
                <w:sz w:val="18"/>
              </w:rPr>
            </w:r>
          </w:p>
        </w:tc>
        <w:tc>
          <w:tcPr>
            <w:tcW w:w="1260" w:type="dxa"/>
            <w:tcBorders>
              <w:top w:val="single" w:sz="2" w:space="0" w:color="000000"/>
              <w:start w:val="single" w:sz="2" w:space="0" w:color="000000"/>
              <w:bottom w:val="single" w:sz="2" w:space="0" w:color="000000"/>
              <w:end w:val="single" w:sz="2" w:space="0" w:color="000000"/>
            </w:tcBorders>
          </w:tcPr>
          <w:p>
            <w:pPr>
              <w:pStyle w:val="Normal"/>
              <w:snapToGrid w:val="false"/>
              <w:jc w:val="end"/>
              <w:rPr>
                <w:b/>
                <w:color w:val="000000"/>
                <w:sz w:val="18"/>
              </w:rPr>
            </w:pPr>
            <w:r>
              <w:rPr>
                <w:b/>
                <w:color w:val="000000"/>
                <w:sz w:val="18"/>
              </w:rPr>
            </w:r>
          </w:p>
        </w:tc>
        <w:tc>
          <w:tcPr>
            <w:tcW w:w="1620" w:type="dxa"/>
            <w:tcBorders>
              <w:top w:val="single" w:sz="2" w:space="0" w:color="000000"/>
              <w:start w:val="single" w:sz="2" w:space="0" w:color="000000"/>
              <w:bottom w:val="single" w:sz="2" w:space="0" w:color="000000"/>
              <w:end w:val="single" w:sz="2" w:space="0" w:color="000000"/>
            </w:tcBorders>
          </w:tcPr>
          <w:p>
            <w:pPr>
              <w:pStyle w:val="Normal"/>
              <w:snapToGrid w:val="false"/>
              <w:jc w:val="end"/>
              <w:rPr>
                <w:b/>
                <w:color w:val="000000"/>
                <w:sz w:val="18"/>
              </w:rPr>
            </w:pPr>
            <w:r>
              <w:rPr>
                <w:b/>
                <w:color w:val="000000"/>
                <w:sz w:val="18"/>
              </w:rPr>
            </w:r>
          </w:p>
        </w:tc>
      </w:tr>
      <w:tr>
        <w:trPr>
          <w:trHeight w:val="264" w:hRule="atLeast"/>
        </w:trPr>
        <w:tc>
          <w:tcPr>
            <w:tcW w:w="2945" w:type="dxa"/>
            <w:tcBorders>
              <w:top w:val="single" w:sz="2" w:space="0" w:color="000000"/>
              <w:start w:val="single" w:sz="2" w:space="0" w:color="000000"/>
              <w:bottom w:val="single" w:sz="2" w:space="0" w:color="000000"/>
              <w:end w:val="single" w:sz="2" w:space="0" w:color="000000"/>
            </w:tcBorders>
          </w:tcPr>
          <w:p>
            <w:pPr>
              <w:pStyle w:val="Normal"/>
              <w:jc w:val="end"/>
              <w:rPr>
                <w:b/>
                <w:color w:val="000000"/>
                <w:sz w:val="18"/>
              </w:rPr>
            </w:pPr>
            <w:r>
              <w:rPr>
                <w:b/>
                <w:color w:val="000000"/>
                <w:sz w:val="18"/>
              </w:rPr>
              <w:t>Total GS-1</w:t>
            </w:r>
          </w:p>
        </w:tc>
        <w:tc>
          <w:tcPr>
            <w:tcW w:w="993" w:type="dxa"/>
            <w:tcBorders>
              <w:top w:val="single" w:sz="2" w:space="0" w:color="000000"/>
              <w:start w:val="single" w:sz="2" w:space="0" w:color="000000"/>
              <w:bottom w:val="single" w:sz="2" w:space="0" w:color="000000"/>
              <w:end w:val="single" w:sz="2" w:space="0" w:color="000000"/>
            </w:tcBorders>
          </w:tcPr>
          <w:p>
            <w:pPr>
              <w:pStyle w:val="Normal"/>
              <w:jc w:val="end"/>
              <w:rPr>
                <w:b/>
                <w:color w:val="000000"/>
                <w:sz w:val="18"/>
              </w:rPr>
            </w:pPr>
            <w:r>
              <w:rPr>
                <w:rFonts w:eastAsia="Arial"/>
                <w:b/>
                <w:color w:val="000000"/>
                <w:sz w:val="18"/>
              </w:rPr>
              <w:t xml:space="preserve">      </w:t>
            </w:r>
            <w:r>
              <w:rPr>
                <w:b/>
                <w:color w:val="000000"/>
                <w:sz w:val="18"/>
              </w:rPr>
              <w:t xml:space="preserve">4,952.0 </w:t>
            </w:r>
          </w:p>
        </w:tc>
        <w:tc>
          <w:tcPr>
            <w:tcW w:w="932" w:type="dxa"/>
            <w:tcBorders>
              <w:top w:val="single" w:sz="2" w:space="0" w:color="000000"/>
              <w:start w:val="single" w:sz="2" w:space="0" w:color="000000"/>
              <w:bottom w:val="single" w:sz="2" w:space="0" w:color="000000"/>
              <w:end w:val="single" w:sz="2" w:space="0" w:color="000000"/>
            </w:tcBorders>
          </w:tcPr>
          <w:p>
            <w:pPr>
              <w:pStyle w:val="Normal"/>
              <w:jc w:val="end"/>
              <w:rPr>
                <w:b/>
                <w:color w:val="000000"/>
                <w:sz w:val="18"/>
              </w:rPr>
            </w:pPr>
            <w:r>
              <w:rPr>
                <w:b/>
                <w:color w:val="000000"/>
                <w:sz w:val="18"/>
              </w:rPr>
              <w:t xml:space="preserve">$706.7 </w:t>
            </w:r>
          </w:p>
        </w:tc>
        <w:tc>
          <w:tcPr>
            <w:tcW w:w="1010" w:type="dxa"/>
            <w:tcBorders>
              <w:top w:val="single" w:sz="2" w:space="0" w:color="000000"/>
              <w:start w:val="single" w:sz="2" w:space="0" w:color="000000"/>
              <w:bottom w:val="single" w:sz="2" w:space="0" w:color="000000"/>
              <w:end w:val="single" w:sz="2" w:space="0" w:color="000000"/>
            </w:tcBorders>
          </w:tcPr>
          <w:p>
            <w:pPr>
              <w:pStyle w:val="Normal"/>
              <w:jc w:val="end"/>
              <w:rPr>
                <w:b/>
                <w:color w:val="000000"/>
                <w:sz w:val="18"/>
              </w:rPr>
            </w:pPr>
            <w:r>
              <w:rPr>
                <w:b/>
                <w:color w:val="000000"/>
                <w:sz w:val="18"/>
              </w:rPr>
              <w:t xml:space="preserve">$176.3 </w:t>
            </w:r>
          </w:p>
        </w:tc>
        <w:tc>
          <w:tcPr>
            <w:tcW w:w="1260" w:type="dxa"/>
            <w:tcBorders>
              <w:top w:val="single" w:sz="2" w:space="0" w:color="000000"/>
              <w:start w:val="single" w:sz="2" w:space="0" w:color="000000"/>
              <w:bottom w:val="single" w:sz="2" w:space="0" w:color="000000"/>
              <w:end w:val="single" w:sz="2" w:space="0" w:color="000000"/>
            </w:tcBorders>
          </w:tcPr>
          <w:p>
            <w:pPr>
              <w:pStyle w:val="Normal"/>
              <w:jc w:val="end"/>
              <w:rPr>
                <w:b/>
                <w:color w:val="000000"/>
                <w:sz w:val="18"/>
              </w:rPr>
            </w:pPr>
            <w:r>
              <w:rPr>
                <w:b/>
                <w:color w:val="000000"/>
                <w:sz w:val="18"/>
              </w:rPr>
              <w:t xml:space="preserve">$883.0 </w:t>
            </w:r>
          </w:p>
        </w:tc>
        <w:tc>
          <w:tcPr>
            <w:tcW w:w="1620" w:type="dxa"/>
            <w:tcBorders>
              <w:top w:val="single" w:sz="2" w:space="0" w:color="000000"/>
              <w:start w:val="single" w:sz="2" w:space="0" w:color="000000"/>
              <w:bottom w:val="single" w:sz="2" w:space="0" w:color="000000"/>
              <w:end w:val="single" w:sz="2" w:space="0" w:color="000000"/>
            </w:tcBorders>
          </w:tcPr>
          <w:p>
            <w:pPr>
              <w:pStyle w:val="Normal"/>
              <w:jc w:val="end"/>
              <w:rPr>
                <w:b/>
                <w:color w:val="000000"/>
                <w:sz w:val="18"/>
              </w:rPr>
            </w:pPr>
            <w:r>
              <w:rPr>
                <w:b/>
                <w:color w:val="000000"/>
                <w:sz w:val="18"/>
              </w:rPr>
              <w:t>24.9%</w:t>
            </w:r>
          </w:p>
        </w:tc>
      </w:tr>
      <w:tr>
        <w:trPr>
          <w:trHeight w:val="264" w:hRule="atLeast"/>
        </w:trPr>
        <w:tc>
          <w:tcPr>
            <w:tcW w:w="2945" w:type="dxa"/>
            <w:tcBorders>
              <w:top w:val="single" w:sz="2" w:space="0" w:color="000000"/>
              <w:start w:val="single" w:sz="2" w:space="0" w:color="000000"/>
              <w:bottom w:val="single" w:sz="2" w:space="0" w:color="000000"/>
              <w:end w:val="single" w:sz="2" w:space="0" w:color="000000"/>
            </w:tcBorders>
          </w:tcPr>
          <w:p>
            <w:pPr>
              <w:pStyle w:val="Normal"/>
              <w:jc w:val="end"/>
              <w:rPr>
                <w:b/>
                <w:color w:val="000000"/>
                <w:sz w:val="18"/>
              </w:rPr>
            </w:pPr>
            <w:r>
              <w:rPr>
                <w:b/>
                <w:color w:val="000000"/>
                <w:sz w:val="18"/>
              </w:rPr>
              <w:t>Total TC-1</w:t>
            </w:r>
          </w:p>
        </w:tc>
        <w:tc>
          <w:tcPr>
            <w:tcW w:w="993" w:type="dxa"/>
            <w:tcBorders>
              <w:top w:val="single" w:sz="2" w:space="0" w:color="000000"/>
              <w:start w:val="single" w:sz="2" w:space="0" w:color="000000"/>
              <w:bottom w:val="single" w:sz="2" w:space="0" w:color="000000"/>
              <w:end w:val="single" w:sz="2" w:space="0" w:color="000000"/>
            </w:tcBorders>
          </w:tcPr>
          <w:p>
            <w:pPr>
              <w:pStyle w:val="Normal"/>
              <w:jc w:val="end"/>
              <w:rPr>
                <w:b/>
                <w:color w:val="000000"/>
                <w:sz w:val="18"/>
              </w:rPr>
            </w:pPr>
            <w:r>
              <w:rPr>
                <w:rFonts w:eastAsia="Arial"/>
                <w:b/>
                <w:color w:val="000000"/>
                <w:sz w:val="18"/>
              </w:rPr>
              <w:t xml:space="preserve">         </w:t>
            </w:r>
            <w:r>
              <w:rPr>
                <w:b/>
                <w:color w:val="000000"/>
                <w:sz w:val="18"/>
              </w:rPr>
              <w:t xml:space="preserve">186.2 </w:t>
            </w:r>
          </w:p>
        </w:tc>
        <w:tc>
          <w:tcPr>
            <w:tcW w:w="932" w:type="dxa"/>
            <w:tcBorders>
              <w:top w:val="single" w:sz="2" w:space="0" w:color="000000"/>
              <w:start w:val="single" w:sz="2" w:space="0" w:color="000000"/>
              <w:bottom w:val="single" w:sz="2" w:space="0" w:color="000000"/>
              <w:end w:val="single" w:sz="2" w:space="0" w:color="000000"/>
            </w:tcBorders>
          </w:tcPr>
          <w:p>
            <w:pPr>
              <w:pStyle w:val="Normal"/>
              <w:jc w:val="end"/>
              <w:rPr>
                <w:b/>
                <w:color w:val="000000"/>
                <w:sz w:val="18"/>
              </w:rPr>
            </w:pPr>
            <w:r>
              <w:rPr>
                <w:b/>
                <w:color w:val="000000"/>
                <w:sz w:val="18"/>
              </w:rPr>
              <w:t xml:space="preserve">$15.6 </w:t>
            </w:r>
          </w:p>
        </w:tc>
        <w:tc>
          <w:tcPr>
            <w:tcW w:w="1010" w:type="dxa"/>
            <w:tcBorders>
              <w:top w:val="single" w:sz="2" w:space="0" w:color="000000"/>
              <w:start w:val="single" w:sz="2" w:space="0" w:color="000000"/>
              <w:bottom w:val="single" w:sz="2" w:space="0" w:color="000000"/>
              <w:end w:val="single" w:sz="2" w:space="0" w:color="000000"/>
            </w:tcBorders>
          </w:tcPr>
          <w:p>
            <w:pPr>
              <w:pStyle w:val="Normal"/>
              <w:jc w:val="end"/>
              <w:rPr>
                <w:b/>
                <w:color w:val="000000"/>
                <w:sz w:val="18"/>
              </w:rPr>
            </w:pPr>
            <w:r>
              <w:rPr>
                <w:b/>
                <w:color w:val="000000"/>
                <w:sz w:val="18"/>
              </w:rPr>
              <w:t xml:space="preserve">$4.1 </w:t>
            </w:r>
          </w:p>
        </w:tc>
        <w:tc>
          <w:tcPr>
            <w:tcW w:w="1260" w:type="dxa"/>
            <w:tcBorders>
              <w:top w:val="single" w:sz="2" w:space="0" w:color="000000"/>
              <w:start w:val="single" w:sz="2" w:space="0" w:color="000000"/>
              <w:bottom w:val="single" w:sz="2" w:space="0" w:color="000000"/>
              <w:end w:val="single" w:sz="2" w:space="0" w:color="000000"/>
            </w:tcBorders>
          </w:tcPr>
          <w:p>
            <w:pPr>
              <w:pStyle w:val="Normal"/>
              <w:jc w:val="end"/>
              <w:rPr>
                <w:b/>
                <w:color w:val="000000"/>
                <w:sz w:val="18"/>
              </w:rPr>
            </w:pPr>
            <w:r>
              <w:rPr>
                <w:b/>
                <w:color w:val="000000"/>
                <w:sz w:val="18"/>
              </w:rPr>
              <w:t xml:space="preserve">$19.7 </w:t>
            </w:r>
          </w:p>
        </w:tc>
        <w:tc>
          <w:tcPr>
            <w:tcW w:w="1620" w:type="dxa"/>
            <w:tcBorders>
              <w:top w:val="single" w:sz="2" w:space="0" w:color="000000"/>
              <w:start w:val="single" w:sz="2" w:space="0" w:color="000000"/>
              <w:bottom w:val="single" w:sz="2" w:space="0" w:color="000000"/>
              <w:end w:val="single" w:sz="2" w:space="0" w:color="000000"/>
            </w:tcBorders>
          </w:tcPr>
          <w:p>
            <w:pPr>
              <w:pStyle w:val="Normal"/>
              <w:jc w:val="end"/>
              <w:rPr>
                <w:b/>
                <w:color w:val="000000"/>
                <w:sz w:val="18"/>
              </w:rPr>
            </w:pPr>
            <w:r>
              <w:rPr>
                <w:b/>
                <w:color w:val="000000"/>
                <w:sz w:val="18"/>
              </w:rPr>
              <w:t>26.4%</w:t>
            </w:r>
          </w:p>
        </w:tc>
      </w:tr>
      <w:tr>
        <w:trPr>
          <w:trHeight w:val="263" w:hRule="atLeast"/>
        </w:trPr>
        <w:tc>
          <w:tcPr>
            <w:tcW w:w="2945" w:type="dxa"/>
            <w:tcBorders>
              <w:top w:val="single" w:sz="2" w:space="0" w:color="000000"/>
              <w:start w:val="single" w:sz="2" w:space="0" w:color="000000"/>
              <w:bottom w:val="single" w:sz="2" w:space="0" w:color="000000"/>
              <w:end w:val="single" w:sz="2" w:space="0" w:color="000000"/>
            </w:tcBorders>
          </w:tcPr>
          <w:p>
            <w:pPr>
              <w:pStyle w:val="Normal"/>
              <w:jc w:val="end"/>
              <w:rPr>
                <w:b/>
                <w:color w:val="000000"/>
                <w:sz w:val="18"/>
              </w:rPr>
            </w:pPr>
            <w:r>
              <w:rPr>
                <w:b/>
                <w:color w:val="000000"/>
                <w:sz w:val="18"/>
              </w:rPr>
              <w:t>Total GS-2</w:t>
            </w:r>
          </w:p>
        </w:tc>
        <w:tc>
          <w:tcPr>
            <w:tcW w:w="993" w:type="dxa"/>
            <w:tcBorders>
              <w:top w:val="single" w:sz="2" w:space="0" w:color="000000"/>
              <w:start w:val="single" w:sz="2" w:space="0" w:color="000000"/>
              <w:bottom w:val="single" w:sz="2" w:space="0" w:color="000000"/>
              <w:end w:val="single" w:sz="2" w:space="0" w:color="000000"/>
            </w:tcBorders>
          </w:tcPr>
          <w:p>
            <w:pPr>
              <w:pStyle w:val="Normal"/>
              <w:jc w:val="end"/>
              <w:rPr>
                <w:b/>
                <w:color w:val="000000"/>
                <w:sz w:val="18"/>
              </w:rPr>
            </w:pPr>
            <w:r>
              <w:rPr>
                <w:b/>
                <w:color w:val="000000"/>
                <w:sz w:val="18"/>
              </w:rPr>
              <w:t xml:space="preserve">24,468.1 </w:t>
            </w:r>
          </w:p>
        </w:tc>
        <w:tc>
          <w:tcPr>
            <w:tcW w:w="932" w:type="dxa"/>
            <w:tcBorders>
              <w:top w:val="single" w:sz="2" w:space="0" w:color="000000"/>
              <w:start w:val="single" w:sz="2" w:space="0" w:color="000000"/>
              <w:bottom w:val="single" w:sz="2" w:space="0" w:color="000000"/>
              <w:end w:val="single" w:sz="2" w:space="0" w:color="000000"/>
            </w:tcBorders>
          </w:tcPr>
          <w:p>
            <w:pPr>
              <w:pStyle w:val="Normal"/>
              <w:jc w:val="end"/>
              <w:rPr>
                <w:b/>
                <w:color w:val="000000"/>
                <w:sz w:val="18"/>
              </w:rPr>
            </w:pPr>
            <w:r>
              <w:rPr>
                <w:b/>
                <w:color w:val="000000"/>
                <w:sz w:val="18"/>
              </w:rPr>
              <w:t xml:space="preserve">$2,695.6 </w:t>
            </w:r>
          </w:p>
        </w:tc>
        <w:tc>
          <w:tcPr>
            <w:tcW w:w="1010" w:type="dxa"/>
            <w:tcBorders>
              <w:top w:val="single" w:sz="2" w:space="0" w:color="000000"/>
              <w:start w:val="single" w:sz="2" w:space="0" w:color="000000"/>
              <w:bottom w:val="single" w:sz="2" w:space="0" w:color="000000"/>
              <w:end w:val="single" w:sz="2" w:space="0" w:color="000000"/>
            </w:tcBorders>
          </w:tcPr>
          <w:p>
            <w:pPr>
              <w:pStyle w:val="Normal"/>
              <w:jc w:val="end"/>
              <w:rPr>
                <w:b/>
                <w:color w:val="000000"/>
                <w:sz w:val="18"/>
              </w:rPr>
            </w:pPr>
            <w:r>
              <w:rPr>
                <w:b/>
                <w:color w:val="000000"/>
                <w:sz w:val="18"/>
              </w:rPr>
              <w:t xml:space="preserve">$812.8 </w:t>
            </w:r>
          </w:p>
        </w:tc>
        <w:tc>
          <w:tcPr>
            <w:tcW w:w="1260" w:type="dxa"/>
            <w:tcBorders>
              <w:top w:val="single" w:sz="2" w:space="0" w:color="000000"/>
              <w:start w:val="single" w:sz="2" w:space="0" w:color="000000"/>
              <w:bottom w:val="single" w:sz="2" w:space="0" w:color="000000"/>
              <w:end w:val="single" w:sz="2" w:space="0" w:color="000000"/>
            </w:tcBorders>
          </w:tcPr>
          <w:p>
            <w:pPr>
              <w:pStyle w:val="Normal"/>
              <w:jc w:val="end"/>
              <w:rPr>
                <w:b/>
                <w:color w:val="000000"/>
                <w:sz w:val="18"/>
              </w:rPr>
            </w:pPr>
            <w:r>
              <w:rPr>
                <w:b/>
                <w:color w:val="000000"/>
                <w:sz w:val="18"/>
              </w:rPr>
              <w:t xml:space="preserve">$3,508.5 </w:t>
            </w:r>
          </w:p>
        </w:tc>
        <w:tc>
          <w:tcPr>
            <w:tcW w:w="1620" w:type="dxa"/>
            <w:tcBorders>
              <w:top w:val="single" w:sz="2" w:space="0" w:color="000000"/>
              <w:start w:val="single" w:sz="2" w:space="0" w:color="000000"/>
              <w:bottom w:val="single" w:sz="2" w:space="0" w:color="000000"/>
              <w:end w:val="single" w:sz="2" w:space="0" w:color="000000"/>
            </w:tcBorders>
          </w:tcPr>
          <w:p>
            <w:pPr>
              <w:pStyle w:val="Normal"/>
              <w:jc w:val="end"/>
              <w:rPr>
                <w:b/>
                <w:color w:val="000000"/>
                <w:sz w:val="18"/>
              </w:rPr>
            </w:pPr>
            <w:r>
              <w:rPr>
                <w:b/>
                <w:color w:val="000000"/>
                <w:sz w:val="18"/>
              </w:rPr>
              <w:t>30.2%</w:t>
            </w:r>
          </w:p>
        </w:tc>
      </w:tr>
      <w:tr>
        <w:trPr>
          <w:trHeight w:val="264" w:hRule="atLeast"/>
        </w:trPr>
        <w:tc>
          <w:tcPr>
            <w:tcW w:w="2945" w:type="dxa"/>
            <w:tcBorders>
              <w:top w:val="single" w:sz="2" w:space="0" w:color="000000"/>
              <w:start w:val="single" w:sz="2" w:space="0" w:color="000000"/>
              <w:bottom w:val="single" w:sz="2" w:space="0" w:color="000000"/>
              <w:end w:val="single" w:sz="2" w:space="0" w:color="000000"/>
            </w:tcBorders>
          </w:tcPr>
          <w:p>
            <w:pPr>
              <w:pStyle w:val="Normal"/>
              <w:jc w:val="end"/>
              <w:rPr>
                <w:b/>
                <w:color w:val="000000"/>
                <w:sz w:val="18"/>
              </w:rPr>
            </w:pPr>
            <w:r>
              <w:rPr>
                <w:b/>
                <w:color w:val="000000"/>
                <w:sz w:val="18"/>
              </w:rPr>
              <w:t>Total TOUGS-2B</w:t>
            </w:r>
          </w:p>
        </w:tc>
        <w:tc>
          <w:tcPr>
            <w:tcW w:w="993" w:type="dxa"/>
            <w:tcBorders>
              <w:top w:val="single" w:sz="2" w:space="0" w:color="000000"/>
              <w:start w:val="single" w:sz="2" w:space="0" w:color="000000"/>
              <w:bottom w:val="single" w:sz="2" w:space="0" w:color="000000"/>
              <w:end w:val="single" w:sz="2" w:space="0" w:color="000000"/>
            </w:tcBorders>
          </w:tcPr>
          <w:p>
            <w:pPr>
              <w:pStyle w:val="Normal"/>
              <w:jc w:val="end"/>
              <w:rPr>
                <w:b/>
                <w:color w:val="000000"/>
                <w:sz w:val="18"/>
              </w:rPr>
            </w:pPr>
            <w:r>
              <w:rPr>
                <w:b/>
                <w:color w:val="000000"/>
                <w:sz w:val="18"/>
              </w:rPr>
              <w:t xml:space="preserve">765.4 </w:t>
            </w:r>
          </w:p>
        </w:tc>
        <w:tc>
          <w:tcPr>
            <w:tcW w:w="932" w:type="dxa"/>
            <w:tcBorders>
              <w:top w:val="single" w:sz="2" w:space="0" w:color="000000"/>
              <w:start w:val="single" w:sz="2" w:space="0" w:color="000000"/>
              <w:bottom w:val="single" w:sz="2" w:space="0" w:color="000000"/>
              <w:end w:val="single" w:sz="2" w:space="0" w:color="000000"/>
            </w:tcBorders>
          </w:tcPr>
          <w:p>
            <w:pPr>
              <w:pStyle w:val="Normal"/>
              <w:jc w:val="end"/>
              <w:rPr>
                <w:b/>
                <w:color w:val="000000"/>
                <w:sz w:val="18"/>
              </w:rPr>
            </w:pPr>
            <w:r>
              <w:rPr>
                <w:b/>
                <w:color w:val="000000"/>
                <w:sz w:val="18"/>
              </w:rPr>
              <w:t xml:space="preserve">$85.7 </w:t>
            </w:r>
          </w:p>
        </w:tc>
        <w:tc>
          <w:tcPr>
            <w:tcW w:w="1010" w:type="dxa"/>
            <w:tcBorders>
              <w:top w:val="single" w:sz="2" w:space="0" w:color="000000"/>
              <w:start w:val="single" w:sz="2" w:space="0" w:color="000000"/>
              <w:bottom w:val="single" w:sz="2" w:space="0" w:color="000000"/>
              <w:end w:val="single" w:sz="2" w:space="0" w:color="000000"/>
            </w:tcBorders>
          </w:tcPr>
          <w:p>
            <w:pPr>
              <w:pStyle w:val="Normal"/>
              <w:jc w:val="end"/>
              <w:rPr>
                <w:b/>
                <w:color w:val="000000"/>
                <w:sz w:val="18"/>
              </w:rPr>
            </w:pPr>
            <w:r>
              <w:rPr>
                <w:b/>
                <w:color w:val="000000"/>
                <w:sz w:val="18"/>
              </w:rPr>
              <w:t xml:space="preserve">$4.8 </w:t>
            </w:r>
          </w:p>
        </w:tc>
        <w:tc>
          <w:tcPr>
            <w:tcW w:w="1260" w:type="dxa"/>
            <w:tcBorders>
              <w:top w:val="single" w:sz="2" w:space="0" w:color="000000"/>
              <w:start w:val="single" w:sz="2" w:space="0" w:color="000000"/>
              <w:bottom w:val="single" w:sz="2" w:space="0" w:color="000000"/>
              <w:end w:val="single" w:sz="2" w:space="0" w:color="000000"/>
            </w:tcBorders>
          </w:tcPr>
          <w:p>
            <w:pPr>
              <w:pStyle w:val="Normal"/>
              <w:jc w:val="end"/>
              <w:rPr>
                <w:b/>
                <w:color w:val="000000"/>
                <w:sz w:val="18"/>
              </w:rPr>
            </w:pPr>
            <w:r>
              <w:rPr>
                <w:b/>
                <w:color w:val="000000"/>
                <w:sz w:val="18"/>
              </w:rPr>
              <w:t xml:space="preserve">$90.5 </w:t>
            </w:r>
          </w:p>
        </w:tc>
        <w:tc>
          <w:tcPr>
            <w:tcW w:w="1620" w:type="dxa"/>
            <w:tcBorders>
              <w:top w:val="single" w:sz="2" w:space="0" w:color="000000"/>
              <w:start w:val="single" w:sz="2" w:space="0" w:color="000000"/>
              <w:bottom w:val="single" w:sz="2" w:space="0" w:color="000000"/>
              <w:end w:val="single" w:sz="2" w:space="0" w:color="000000"/>
            </w:tcBorders>
          </w:tcPr>
          <w:p>
            <w:pPr>
              <w:pStyle w:val="Normal"/>
              <w:jc w:val="end"/>
              <w:rPr>
                <w:b/>
                <w:color w:val="000000"/>
                <w:sz w:val="18"/>
              </w:rPr>
            </w:pPr>
            <w:r>
              <w:rPr>
                <w:b/>
                <w:color w:val="000000"/>
                <w:sz w:val="18"/>
              </w:rPr>
              <w:t>5.6%</w:t>
            </w:r>
          </w:p>
        </w:tc>
      </w:tr>
      <w:tr>
        <w:trPr>
          <w:trHeight w:val="264" w:hRule="atLeast"/>
        </w:trPr>
        <w:tc>
          <w:tcPr>
            <w:tcW w:w="2945" w:type="dxa"/>
            <w:tcBorders>
              <w:top w:val="single" w:sz="2" w:space="0" w:color="000000"/>
              <w:start w:val="single" w:sz="2" w:space="0" w:color="000000"/>
              <w:bottom w:val="single" w:sz="2" w:space="0" w:color="000000"/>
              <w:end w:val="single" w:sz="2" w:space="0" w:color="000000"/>
            </w:tcBorders>
          </w:tcPr>
          <w:p>
            <w:pPr>
              <w:pStyle w:val="Normal"/>
              <w:rPr>
                <w:b/>
                <w:color w:val="000000"/>
                <w:sz w:val="18"/>
              </w:rPr>
            </w:pPr>
            <w:r>
              <w:rPr>
                <w:b/>
                <w:color w:val="000000"/>
                <w:sz w:val="18"/>
              </w:rPr>
              <w:t>Total Small &amp; Med. Commercial</w:t>
            </w:r>
          </w:p>
        </w:tc>
        <w:tc>
          <w:tcPr>
            <w:tcW w:w="993" w:type="dxa"/>
            <w:tcBorders>
              <w:top w:val="single" w:sz="2" w:space="0" w:color="000000"/>
              <w:start w:val="single" w:sz="2" w:space="0" w:color="000000"/>
              <w:bottom w:val="single" w:sz="2" w:space="0" w:color="000000"/>
              <w:end w:val="single" w:sz="2" w:space="0" w:color="000000"/>
            </w:tcBorders>
          </w:tcPr>
          <w:p>
            <w:pPr>
              <w:pStyle w:val="Normal"/>
              <w:jc w:val="end"/>
              <w:rPr>
                <w:b/>
                <w:color w:val="000000"/>
                <w:sz w:val="18"/>
              </w:rPr>
            </w:pPr>
            <w:r>
              <w:rPr>
                <w:rFonts w:eastAsia="Arial"/>
                <w:b/>
                <w:color w:val="000000"/>
                <w:sz w:val="18"/>
              </w:rPr>
              <w:t xml:space="preserve">    </w:t>
            </w:r>
            <w:r>
              <w:rPr>
                <w:b/>
                <w:color w:val="000000"/>
                <w:sz w:val="18"/>
              </w:rPr>
              <w:t xml:space="preserve">30,371.5 </w:t>
            </w:r>
          </w:p>
        </w:tc>
        <w:tc>
          <w:tcPr>
            <w:tcW w:w="932" w:type="dxa"/>
            <w:tcBorders>
              <w:top w:val="single" w:sz="2" w:space="0" w:color="000000"/>
              <w:start w:val="single" w:sz="2" w:space="0" w:color="000000"/>
              <w:bottom w:val="single" w:sz="2" w:space="0" w:color="000000"/>
              <w:end w:val="single" w:sz="2" w:space="0" w:color="000000"/>
            </w:tcBorders>
          </w:tcPr>
          <w:p>
            <w:pPr>
              <w:pStyle w:val="Normal"/>
              <w:jc w:val="end"/>
              <w:rPr>
                <w:b/>
                <w:color w:val="000000"/>
                <w:sz w:val="18"/>
              </w:rPr>
            </w:pPr>
            <w:r>
              <w:rPr>
                <w:b/>
                <w:color w:val="000000"/>
                <w:sz w:val="18"/>
              </w:rPr>
              <w:t xml:space="preserve">$3,503.7 </w:t>
            </w:r>
          </w:p>
        </w:tc>
        <w:tc>
          <w:tcPr>
            <w:tcW w:w="1010" w:type="dxa"/>
            <w:tcBorders>
              <w:top w:val="single" w:sz="2" w:space="0" w:color="000000"/>
              <w:start w:val="single" w:sz="2" w:space="0" w:color="000000"/>
              <w:bottom w:val="single" w:sz="2" w:space="0" w:color="000000"/>
              <w:end w:val="single" w:sz="2" w:space="0" w:color="000000"/>
            </w:tcBorders>
          </w:tcPr>
          <w:p>
            <w:pPr>
              <w:pStyle w:val="Normal"/>
              <w:jc w:val="end"/>
              <w:rPr>
                <w:b/>
                <w:color w:val="000000"/>
                <w:sz w:val="18"/>
              </w:rPr>
            </w:pPr>
            <w:r>
              <w:rPr>
                <w:b/>
                <w:color w:val="000000"/>
                <w:sz w:val="18"/>
              </w:rPr>
              <w:t xml:space="preserve">$998.1 </w:t>
            </w:r>
          </w:p>
        </w:tc>
        <w:tc>
          <w:tcPr>
            <w:tcW w:w="1260" w:type="dxa"/>
            <w:tcBorders>
              <w:top w:val="single" w:sz="2" w:space="0" w:color="000000"/>
              <w:start w:val="single" w:sz="2" w:space="0" w:color="000000"/>
              <w:bottom w:val="single" w:sz="2" w:space="0" w:color="000000"/>
              <w:end w:val="single" w:sz="2" w:space="0" w:color="000000"/>
            </w:tcBorders>
          </w:tcPr>
          <w:p>
            <w:pPr>
              <w:pStyle w:val="Normal"/>
              <w:jc w:val="end"/>
              <w:rPr>
                <w:b/>
                <w:color w:val="000000"/>
                <w:sz w:val="18"/>
              </w:rPr>
            </w:pPr>
            <w:r>
              <w:rPr>
                <w:b/>
                <w:color w:val="000000"/>
                <w:sz w:val="18"/>
              </w:rPr>
              <w:t xml:space="preserve">$4,501.8 </w:t>
            </w:r>
          </w:p>
        </w:tc>
        <w:tc>
          <w:tcPr>
            <w:tcW w:w="1620" w:type="dxa"/>
            <w:tcBorders>
              <w:top w:val="single" w:sz="2" w:space="0" w:color="000000"/>
              <w:start w:val="single" w:sz="2" w:space="0" w:color="000000"/>
              <w:bottom w:val="single" w:sz="2" w:space="0" w:color="000000"/>
              <w:end w:val="single" w:sz="2" w:space="0" w:color="000000"/>
            </w:tcBorders>
          </w:tcPr>
          <w:p>
            <w:pPr>
              <w:pStyle w:val="Normal"/>
              <w:jc w:val="end"/>
              <w:rPr>
                <w:b/>
                <w:color w:val="000000"/>
                <w:sz w:val="18"/>
              </w:rPr>
            </w:pPr>
            <w:r>
              <w:rPr>
                <w:b/>
                <w:color w:val="000000"/>
                <w:sz w:val="18"/>
              </w:rPr>
              <w:t>28.5%</w:t>
            </w:r>
          </w:p>
        </w:tc>
      </w:tr>
      <w:tr>
        <w:trPr>
          <w:trHeight w:val="263" w:hRule="atLeast"/>
        </w:trPr>
        <w:tc>
          <w:tcPr>
            <w:tcW w:w="2945" w:type="dxa"/>
            <w:tcBorders>
              <w:top w:val="single" w:sz="2" w:space="0" w:color="000000"/>
              <w:start w:val="single" w:sz="2" w:space="0" w:color="000000"/>
              <w:bottom w:val="single" w:sz="2" w:space="0" w:color="000000"/>
              <w:end w:val="single" w:sz="2" w:space="0" w:color="000000"/>
            </w:tcBorders>
          </w:tcPr>
          <w:p>
            <w:pPr>
              <w:pStyle w:val="Normal"/>
              <w:rPr>
                <w:b/>
                <w:color w:val="000000"/>
                <w:sz w:val="18"/>
              </w:rPr>
            </w:pPr>
            <w:r>
              <w:rPr>
                <w:b/>
                <w:color w:val="000000"/>
                <w:sz w:val="18"/>
              </w:rPr>
              <w:t>Large Power</w:t>
            </w:r>
          </w:p>
        </w:tc>
        <w:tc>
          <w:tcPr>
            <w:tcW w:w="993" w:type="dxa"/>
            <w:tcBorders>
              <w:top w:val="single" w:sz="2" w:space="0" w:color="000000"/>
              <w:start w:val="single" w:sz="2" w:space="0" w:color="000000"/>
              <w:bottom w:val="single" w:sz="2" w:space="0" w:color="000000"/>
              <w:end w:val="single" w:sz="2" w:space="0" w:color="000000"/>
            </w:tcBorders>
          </w:tcPr>
          <w:p>
            <w:pPr>
              <w:pStyle w:val="Normal"/>
              <w:snapToGrid w:val="false"/>
              <w:jc w:val="end"/>
              <w:rPr>
                <w:b/>
                <w:color w:val="000000"/>
                <w:sz w:val="18"/>
              </w:rPr>
            </w:pPr>
            <w:r>
              <w:rPr>
                <w:b/>
                <w:color w:val="000000"/>
                <w:sz w:val="18"/>
              </w:rPr>
            </w:r>
          </w:p>
        </w:tc>
        <w:tc>
          <w:tcPr>
            <w:tcW w:w="932" w:type="dxa"/>
            <w:tcBorders>
              <w:top w:val="single" w:sz="2" w:space="0" w:color="000000"/>
              <w:start w:val="single" w:sz="2" w:space="0" w:color="000000"/>
              <w:bottom w:val="single" w:sz="2" w:space="0" w:color="000000"/>
              <w:end w:val="single" w:sz="2" w:space="0" w:color="000000"/>
            </w:tcBorders>
          </w:tcPr>
          <w:p>
            <w:pPr>
              <w:pStyle w:val="Normal"/>
              <w:snapToGrid w:val="false"/>
              <w:jc w:val="end"/>
              <w:rPr>
                <w:b/>
                <w:color w:val="000000"/>
                <w:sz w:val="18"/>
              </w:rPr>
            </w:pPr>
            <w:r>
              <w:rPr>
                <w:b/>
                <w:color w:val="000000"/>
                <w:sz w:val="18"/>
              </w:rPr>
            </w:r>
          </w:p>
        </w:tc>
        <w:tc>
          <w:tcPr>
            <w:tcW w:w="1010" w:type="dxa"/>
            <w:tcBorders>
              <w:top w:val="single" w:sz="2" w:space="0" w:color="000000"/>
              <w:start w:val="single" w:sz="2" w:space="0" w:color="000000"/>
              <w:bottom w:val="single" w:sz="2" w:space="0" w:color="000000"/>
              <w:end w:val="single" w:sz="2" w:space="0" w:color="000000"/>
            </w:tcBorders>
          </w:tcPr>
          <w:p>
            <w:pPr>
              <w:pStyle w:val="Normal"/>
              <w:snapToGrid w:val="false"/>
              <w:jc w:val="end"/>
              <w:rPr>
                <w:b/>
                <w:color w:val="000000"/>
                <w:sz w:val="18"/>
              </w:rPr>
            </w:pPr>
            <w:r>
              <w:rPr>
                <w:b/>
                <w:color w:val="000000"/>
                <w:sz w:val="18"/>
              </w:rPr>
            </w:r>
          </w:p>
        </w:tc>
        <w:tc>
          <w:tcPr>
            <w:tcW w:w="1260" w:type="dxa"/>
            <w:tcBorders>
              <w:top w:val="single" w:sz="2" w:space="0" w:color="000000"/>
              <w:start w:val="single" w:sz="2" w:space="0" w:color="000000"/>
              <w:bottom w:val="single" w:sz="2" w:space="0" w:color="000000"/>
              <w:end w:val="single" w:sz="2" w:space="0" w:color="000000"/>
            </w:tcBorders>
          </w:tcPr>
          <w:p>
            <w:pPr>
              <w:pStyle w:val="Normal"/>
              <w:snapToGrid w:val="false"/>
              <w:jc w:val="end"/>
              <w:rPr>
                <w:b/>
                <w:color w:val="000000"/>
                <w:sz w:val="18"/>
              </w:rPr>
            </w:pPr>
            <w:r>
              <w:rPr>
                <w:b/>
                <w:color w:val="000000"/>
                <w:sz w:val="18"/>
              </w:rPr>
            </w:r>
          </w:p>
        </w:tc>
        <w:tc>
          <w:tcPr>
            <w:tcW w:w="1620" w:type="dxa"/>
            <w:tcBorders>
              <w:top w:val="single" w:sz="2" w:space="0" w:color="000000"/>
              <w:start w:val="single" w:sz="2" w:space="0" w:color="000000"/>
              <w:bottom w:val="single" w:sz="2" w:space="0" w:color="000000"/>
              <w:end w:val="single" w:sz="2" w:space="0" w:color="000000"/>
            </w:tcBorders>
          </w:tcPr>
          <w:p>
            <w:pPr>
              <w:pStyle w:val="Normal"/>
              <w:snapToGrid w:val="false"/>
              <w:jc w:val="end"/>
              <w:rPr>
                <w:b/>
                <w:color w:val="000000"/>
                <w:sz w:val="18"/>
              </w:rPr>
            </w:pPr>
            <w:r>
              <w:rPr>
                <w:b/>
                <w:color w:val="000000"/>
                <w:sz w:val="18"/>
              </w:rPr>
            </w:r>
          </w:p>
        </w:tc>
      </w:tr>
      <w:tr>
        <w:trPr>
          <w:trHeight w:val="264" w:hRule="atLeast"/>
        </w:trPr>
        <w:tc>
          <w:tcPr>
            <w:tcW w:w="2945" w:type="dxa"/>
            <w:tcBorders>
              <w:top w:val="single" w:sz="2" w:space="0" w:color="000000"/>
              <w:start w:val="single" w:sz="2" w:space="0" w:color="000000"/>
              <w:bottom w:val="single" w:sz="2" w:space="0" w:color="000000"/>
              <w:end w:val="single" w:sz="2" w:space="0" w:color="000000"/>
            </w:tcBorders>
          </w:tcPr>
          <w:p>
            <w:pPr>
              <w:pStyle w:val="Normal"/>
              <w:jc w:val="end"/>
              <w:rPr>
                <w:b/>
                <w:color w:val="000000"/>
                <w:sz w:val="18"/>
              </w:rPr>
            </w:pPr>
            <w:r>
              <w:rPr>
                <w:b/>
                <w:color w:val="000000"/>
                <w:sz w:val="18"/>
              </w:rPr>
              <w:t>Total TOU-8-Sec</w:t>
            </w:r>
          </w:p>
        </w:tc>
        <w:tc>
          <w:tcPr>
            <w:tcW w:w="993" w:type="dxa"/>
            <w:tcBorders>
              <w:top w:val="single" w:sz="2" w:space="0" w:color="000000"/>
              <w:start w:val="single" w:sz="2" w:space="0" w:color="000000"/>
              <w:bottom w:val="single" w:sz="2" w:space="0" w:color="000000"/>
              <w:end w:val="single" w:sz="2" w:space="0" w:color="000000"/>
            </w:tcBorders>
          </w:tcPr>
          <w:p>
            <w:pPr>
              <w:pStyle w:val="Normal"/>
              <w:jc w:val="end"/>
              <w:rPr>
                <w:b/>
                <w:color w:val="000000"/>
                <w:sz w:val="18"/>
              </w:rPr>
            </w:pPr>
            <w:r>
              <w:rPr>
                <w:b/>
                <w:color w:val="000000"/>
                <w:sz w:val="18"/>
              </w:rPr>
              <w:t xml:space="preserve">8,890.5 </w:t>
            </w:r>
          </w:p>
        </w:tc>
        <w:tc>
          <w:tcPr>
            <w:tcW w:w="932" w:type="dxa"/>
            <w:tcBorders>
              <w:top w:val="single" w:sz="2" w:space="0" w:color="000000"/>
              <w:start w:val="single" w:sz="2" w:space="0" w:color="000000"/>
              <w:bottom w:val="single" w:sz="2" w:space="0" w:color="000000"/>
              <w:end w:val="single" w:sz="2" w:space="0" w:color="000000"/>
            </w:tcBorders>
          </w:tcPr>
          <w:p>
            <w:pPr>
              <w:pStyle w:val="Normal"/>
              <w:jc w:val="end"/>
              <w:rPr>
                <w:b/>
                <w:color w:val="000000"/>
                <w:sz w:val="18"/>
              </w:rPr>
            </w:pPr>
            <w:r>
              <w:rPr>
                <w:b/>
                <w:color w:val="000000"/>
                <w:sz w:val="18"/>
              </w:rPr>
              <w:t xml:space="preserve">$888.1 </w:t>
            </w:r>
          </w:p>
        </w:tc>
        <w:tc>
          <w:tcPr>
            <w:tcW w:w="1010" w:type="dxa"/>
            <w:tcBorders>
              <w:top w:val="single" w:sz="2" w:space="0" w:color="000000"/>
              <w:start w:val="single" w:sz="2" w:space="0" w:color="000000"/>
              <w:bottom w:val="single" w:sz="2" w:space="0" w:color="000000"/>
              <w:end w:val="single" w:sz="2" w:space="0" w:color="000000"/>
            </w:tcBorders>
          </w:tcPr>
          <w:p>
            <w:pPr>
              <w:pStyle w:val="Normal"/>
              <w:jc w:val="end"/>
              <w:rPr>
                <w:b/>
                <w:color w:val="000000"/>
                <w:sz w:val="18"/>
              </w:rPr>
            </w:pPr>
            <w:r>
              <w:rPr>
                <w:b/>
                <w:color w:val="000000"/>
                <w:sz w:val="18"/>
              </w:rPr>
              <w:t xml:space="preserve">$268.2 </w:t>
            </w:r>
          </w:p>
        </w:tc>
        <w:tc>
          <w:tcPr>
            <w:tcW w:w="1260" w:type="dxa"/>
            <w:tcBorders>
              <w:top w:val="single" w:sz="2" w:space="0" w:color="000000"/>
              <w:start w:val="single" w:sz="2" w:space="0" w:color="000000"/>
              <w:bottom w:val="single" w:sz="2" w:space="0" w:color="000000"/>
              <w:end w:val="single" w:sz="2" w:space="0" w:color="000000"/>
            </w:tcBorders>
          </w:tcPr>
          <w:p>
            <w:pPr>
              <w:pStyle w:val="Normal"/>
              <w:jc w:val="end"/>
              <w:rPr>
                <w:b/>
                <w:color w:val="000000"/>
                <w:sz w:val="18"/>
              </w:rPr>
            </w:pPr>
            <w:r>
              <w:rPr>
                <w:b/>
                <w:color w:val="000000"/>
                <w:sz w:val="18"/>
              </w:rPr>
              <w:t xml:space="preserve">$1,156.3 </w:t>
            </w:r>
          </w:p>
        </w:tc>
        <w:tc>
          <w:tcPr>
            <w:tcW w:w="1620" w:type="dxa"/>
            <w:tcBorders>
              <w:top w:val="single" w:sz="2" w:space="0" w:color="000000"/>
              <w:start w:val="single" w:sz="2" w:space="0" w:color="000000"/>
              <w:bottom w:val="single" w:sz="2" w:space="0" w:color="000000"/>
              <w:end w:val="single" w:sz="2" w:space="0" w:color="000000"/>
            </w:tcBorders>
          </w:tcPr>
          <w:p>
            <w:pPr>
              <w:pStyle w:val="Normal"/>
              <w:jc w:val="end"/>
              <w:rPr>
                <w:b/>
                <w:color w:val="000000"/>
                <w:sz w:val="18"/>
              </w:rPr>
            </w:pPr>
            <w:r>
              <w:rPr>
                <w:b/>
                <w:color w:val="000000"/>
                <w:sz w:val="18"/>
              </w:rPr>
              <w:t>30.2%</w:t>
            </w:r>
          </w:p>
        </w:tc>
      </w:tr>
      <w:tr>
        <w:trPr>
          <w:trHeight w:val="263" w:hRule="atLeast"/>
        </w:trPr>
        <w:tc>
          <w:tcPr>
            <w:tcW w:w="2945" w:type="dxa"/>
            <w:tcBorders>
              <w:top w:val="single" w:sz="2" w:space="0" w:color="000000"/>
              <w:start w:val="single" w:sz="2" w:space="0" w:color="000000"/>
              <w:bottom w:val="single" w:sz="2" w:space="0" w:color="000000"/>
              <w:end w:val="single" w:sz="2" w:space="0" w:color="000000"/>
            </w:tcBorders>
          </w:tcPr>
          <w:p>
            <w:pPr>
              <w:pStyle w:val="Normal"/>
              <w:jc w:val="end"/>
              <w:rPr>
                <w:b/>
                <w:color w:val="000000"/>
                <w:sz w:val="18"/>
              </w:rPr>
            </w:pPr>
            <w:r>
              <w:rPr>
                <w:b/>
                <w:color w:val="000000"/>
                <w:sz w:val="18"/>
              </w:rPr>
              <w:t>Total TOU-8-Pri</w:t>
            </w:r>
          </w:p>
        </w:tc>
        <w:tc>
          <w:tcPr>
            <w:tcW w:w="993" w:type="dxa"/>
            <w:tcBorders>
              <w:top w:val="single" w:sz="2" w:space="0" w:color="000000"/>
              <w:start w:val="single" w:sz="2" w:space="0" w:color="000000"/>
              <w:bottom w:val="single" w:sz="2" w:space="0" w:color="000000"/>
              <w:end w:val="single" w:sz="2" w:space="0" w:color="000000"/>
            </w:tcBorders>
          </w:tcPr>
          <w:p>
            <w:pPr>
              <w:pStyle w:val="Normal"/>
              <w:jc w:val="end"/>
              <w:rPr>
                <w:b/>
                <w:color w:val="000000"/>
                <w:sz w:val="18"/>
              </w:rPr>
            </w:pPr>
            <w:r>
              <w:rPr>
                <w:b/>
                <w:color w:val="000000"/>
                <w:sz w:val="18"/>
              </w:rPr>
              <w:t xml:space="preserve">7,623.3 </w:t>
            </w:r>
          </w:p>
        </w:tc>
        <w:tc>
          <w:tcPr>
            <w:tcW w:w="932" w:type="dxa"/>
            <w:tcBorders>
              <w:top w:val="single" w:sz="2" w:space="0" w:color="000000"/>
              <w:start w:val="single" w:sz="2" w:space="0" w:color="000000"/>
              <w:bottom w:val="single" w:sz="2" w:space="0" w:color="000000"/>
              <w:end w:val="single" w:sz="2" w:space="0" w:color="000000"/>
            </w:tcBorders>
          </w:tcPr>
          <w:p>
            <w:pPr>
              <w:pStyle w:val="Normal"/>
              <w:jc w:val="end"/>
              <w:rPr>
                <w:b/>
                <w:color w:val="000000"/>
                <w:sz w:val="18"/>
              </w:rPr>
            </w:pPr>
            <w:r>
              <w:rPr>
                <w:b/>
                <w:color w:val="000000"/>
                <w:sz w:val="18"/>
              </w:rPr>
              <w:t xml:space="preserve">$699.1 </w:t>
            </w:r>
          </w:p>
        </w:tc>
        <w:tc>
          <w:tcPr>
            <w:tcW w:w="1010" w:type="dxa"/>
            <w:tcBorders>
              <w:top w:val="single" w:sz="2" w:space="0" w:color="000000"/>
              <w:start w:val="single" w:sz="2" w:space="0" w:color="000000"/>
              <w:bottom w:val="single" w:sz="2" w:space="0" w:color="000000"/>
              <w:end w:val="single" w:sz="2" w:space="0" w:color="000000"/>
            </w:tcBorders>
          </w:tcPr>
          <w:p>
            <w:pPr>
              <w:pStyle w:val="Normal"/>
              <w:jc w:val="end"/>
              <w:rPr>
                <w:b/>
                <w:color w:val="000000"/>
                <w:sz w:val="18"/>
              </w:rPr>
            </w:pPr>
            <w:r>
              <w:rPr>
                <w:b/>
                <w:color w:val="000000"/>
                <w:sz w:val="18"/>
              </w:rPr>
              <w:t xml:space="preserve">$203.9 </w:t>
            </w:r>
          </w:p>
        </w:tc>
        <w:tc>
          <w:tcPr>
            <w:tcW w:w="1260" w:type="dxa"/>
            <w:tcBorders>
              <w:top w:val="single" w:sz="2" w:space="0" w:color="000000"/>
              <w:start w:val="single" w:sz="2" w:space="0" w:color="000000"/>
              <w:bottom w:val="single" w:sz="2" w:space="0" w:color="000000"/>
              <w:end w:val="single" w:sz="2" w:space="0" w:color="000000"/>
            </w:tcBorders>
          </w:tcPr>
          <w:p>
            <w:pPr>
              <w:pStyle w:val="Normal"/>
              <w:jc w:val="end"/>
              <w:rPr>
                <w:b/>
                <w:color w:val="000000"/>
                <w:sz w:val="18"/>
              </w:rPr>
            </w:pPr>
            <w:r>
              <w:rPr>
                <w:b/>
                <w:color w:val="000000"/>
                <w:sz w:val="18"/>
              </w:rPr>
              <w:t xml:space="preserve">$903.1 </w:t>
            </w:r>
          </w:p>
        </w:tc>
        <w:tc>
          <w:tcPr>
            <w:tcW w:w="1620" w:type="dxa"/>
            <w:tcBorders>
              <w:top w:val="single" w:sz="2" w:space="0" w:color="000000"/>
              <w:start w:val="single" w:sz="2" w:space="0" w:color="000000"/>
              <w:bottom w:val="single" w:sz="2" w:space="0" w:color="000000"/>
              <w:end w:val="single" w:sz="2" w:space="0" w:color="000000"/>
            </w:tcBorders>
          </w:tcPr>
          <w:p>
            <w:pPr>
              <w:pStyle w:val="Normal"/>
              <w:jc w:val="end"/>
              <w:rPr>
                <w:b/>
                <w:color w:val="000000"/>
                <w:sz w:val="18"/>
              </w:rPr>
            </w:pPr>
            <w:r>
              <w:rPr>
                <w:b/>
                <w:color w:val="000000"/>
                <w:sz w:val="18"/>
              </w:rPr>
              <w:t>29.2%</w:t>
            </w:r>
          </w:p>
        </w:tc>
      </w:tr>
      <w:tr>
        <w:trPr>
          <w:trHeight w:val="264" w:hRule="atLeast"/>
        </w:trPr>
        <w:tc>
          <w:tcPr>
            <w:tcW w:w="2945" w:type="dxa"/>
            <w:tcBorders>
              <w:top w:val="single" w:sz="2" w:space="0" w:color="000000"/>
              <w:start w:val="single" w:sz="2" w:space="0" w:color="000000"/>
              <w:bottom w:val="single" w:sz="2" w:space="0" w:color="000000"/>
              <w:end w:val="single" w:sz="2" w:space="0" w:color="000000"/>
            </w:tcBorders>
          </w:tcPr>
          <w:p>
            <w:pPr>
              <w:pStyle w:val="Normal"/>
              <w:jc w:val="end"/>
              <w:rPr>
                <w:b/>
                <w:color w:val="000000"/>
                <w:sz w:val="18"/>
              </w:rPr>
            </w:pPr>
            <w:r>
              <w:rPr>
                <w:b/>
                <w:color w:val="000000"/>
                <w:sz w:val="18"/>
              </w:rPr>
              <w:t>Total TOU-8-Sub</w:t>
            </w:r>
          </w:p>
        </w:tc>
        <w:tc>
          <w:tcPr>
            <w:tcW w:w="993" w:type="dxa"/>
            <w:tcBorders>
              <w:top w:val="single" w:sz="2" w:space="0" w:color="000000"/>
              <w:start w:val="single" w:sz="2" w:space="0" w:color="000000"/>
              <w:bottom w:val="single" w:sz="2" w:space="0" w:color="000000"/>
              <w:end w:val="single" w:sz="2" w:space="0" w:color="000000"/>
            </w:tcBorders>
          </w:tcPr>
          <w:p>
            <w:pPr>
              <w:pStyle w:val="Normal"/>
              <w:jc w:val="end"/>
              <w:rPr>
                <w:b/>
                <w:color w:val="000000"/>
                <w:sz w:val="18"/>
              </w:rPr>
            </w:pPr>
            <w:r>
              <w:rPr>
                <w:b/>
                <w:color w:val="000000"/>
                <w:sz w:val="18"/>
              </w:rPr>
              <w:t xml:space="preserve">8,331.1 </w:t>
            </w:r>
          </w:p>
        </w:tc>
        <w:tc>
          <w:tcPr>
            <w:tcW w:w="932" w:type="dxa"/>
            <w:tcBorders>
              <w:top w:val="single" w:sz="2" w:space="0" w:color="000000"/>
              <w:start w:val="single" w:sz="2" w:space="0" w:color="000000"/>
              <w:bottom w:val="single" w:sz="2" w:space="0" w:color="000000"/>
              <w:end w:val="single" w:sz="2" w:space="0" w:color="000000"/>
            </w:tcBorders>
          </w:tcPr>
          <w:p>
            <w:pPr>
              <w:pStyle w:val="Normal"/>
              <w:jc w:val="end"/>
              <w:rPr>
                <w:b/>
                <w:color w:val="000000"/>
                <w:sz w:val="18"/>
              </w:rPr>
            </w:pPr>
            <w:r>
              <w:rPr>
                <w:b/>
                <w:color w:val="000000"/>
                <w:sz w:val="18"/>
              </w:rPr>
              <w:t xml:space="preserve">$557.1 </w:t>
            </w:r>
          </w:p>
        </w:tc>
        <w:tc>
          <w:tcPr>
            <w:tcW w:w="1010" w:type="dxa"/>
            <w:tcBorders>
              <w:top w:val="single" w:sz="2" w:space="0" w:color="000000"/>
              <w:start w:val="single" w:sz="2" w:space="0" w:color="000000"/>
              <w:bottom w:val="single" w:sz="2" w:space="0" w:color="000000"/>
              <w:end w:val="single" w:sz="2" w:space="0" w:color="000000"/>
            </w:tcBorders>
          </w:tcPr>
          <w:p>
            <w:pPr>
              <w:pStyle w:val="Normal"/>
              <w:jc w:val="end"/>
              <w:rPr>
                <w:b/>
                <w:color w:val="000000"/>
                <w:sz w:val="18"/>
              </w:rPr>
            </w:pPr>
            <w:r>
              <w:rPr>
                <w:b/>
                <w:color w:val="000000"/>
                <w:sz w:val="18"/>
              </w:rPr>
              <w:t xml:space="preserve">$182.8 </w:t>
            </w:r>
          </w:p>
        </w:tc>
        <w:tc>
          <w:tcPr>
            <w:tcW w:w="1260" w:type="dxa"/>
            <w:tcBorders>
              <w:top w:val="single" w:sz="2" w:space="0" w:color="000000"/>
              <w:start w:val="single" w:sz="2" w:space="0" w:color="000000"/>
              <w:bottom w:val="single" w:sz="2" w:space="0" w:color="000000"/>
              <w:end w:val="single" w:sz="2" w:space="0" w:color="000000"/>
            </w:tcBorders>
          </w:tcPr>
          <w:p>
            <w:pPr>
              <w:pStyle w:val="Normal"/>
              <w:jc w:val="end"/>
              <w:rPr>
                <w:b/>
                <w:color w:val="000000"/>
                <w:sz w:val="18"/>
              </w:rPr>
            </w:pPr>
            <w:r>
              <w:rPr>
                <w:b/>
                <w:color w:val="000000"/>
                <w:sz w:val="18"/>
              </w:rPr>
              <w:t xml:space="preserve">$739.9 </w:t>
            </w:r>
          </w:p>
        </w:tc>
        <w:tc>
          <w:tcPr>
            <w:tcW w:w="1620" w:type="dxa"/>
            <w:tcBorders>
              <w:top w:val="single" w:sz="2" w:space="0" w:color="000000"/>
              <w:start w:val="single" w:sz="2" w:space="0" w:color="000000"/>
              <w:bottom w:val="single" w:sz="2" w:space="0" w:color="000000"/>
              <w:end w:val="single" w:sz="2" w:space="0" w:color="000000"/>
            </w:tcBorders>
          </w:tcPr>
          <w:p>
            <w:pPr>
              <w:pStyle w:val="Normal"/>
              <w:jc w:val="end"/>
              <w:rPr>
                <w:b/>
                <w:color w:val="000000"/>
                <w:sz w:val="18"/>
              </w:rPr>
            </w:pPr>
            <w:r>
              <w:rPr>
                <w:b/>
                <w:color w:val="000000"/>
                <w:sz w:val="18"/>
              </w:rPr>
              <w:t>32.8%</w:t>
            </w:r>
          </w:p>
        </w:tc>
      </w:tr>
      <w:tr>
        <w:trPr>
          <w:trHeight w:val="263" w:hRule="atLeast"/>
        </w:trPr>
        <w:tc>
          <w:tcPr>
            <w:tcW w:w="2945" w:type="dxa"/>
            <w:tcBorders>
              <w:top w:val="single" w:sz="2" w:space="0" w:color="000000"/>
              <w:start w:val="single" w:sz="2" w:space="0" w:color="000000"/>
              <w:bottom w:val="single" w:sz="2" w:space="0" w:color="000000"/>
              <w:end w:val="single" w:sz="2" w:space="0" w:color="000000"/>
            </w:tcBorders>
          </w:tcPr>
          <w:p>
            <w:pPr>
              <w:pStyle w:val="Normal"/>
              <w:snapToGrid w:val="false"/>
              <w:jc w:val="end"/>
              <w:rPr>
                <w:b/>
                <w:color w:val="000000"/>
                <w:sz w:val="18"/>
              </w:rPr>
            </w:pPr>
            <w:r>
              <w:rPr>
                <w:b/>
                <w:color w:val="000000"/>
                <w:sz w:val="18"/>
              </w:rPr>
            </w:r>
          </w:p>
        </w:tc>
        <w:tc>
          <w:tcPr>
            <w:tcW w:w="993" w:type="dxa"/>
            <w:tcBorders>
              <w:top w:val="single" w:sz="2" w:space="0" w:color="000000"/>
              <w:start w:val="single" w:sz="2" w:space="0" w:color="000000"/>
              <w:bottom w:val="single" w:sz="2" w:space="0" w:color="000000"/>
              <w:end w:val="single" w:sz="2" w:space="0" w:color="000000"/>
            </w:tcBorders>
          </w:tcPr>
          <w:p>
            <w:pPr>
              <w:pStyle w:val="Normal"/>
              <w:snapToGrid w:val="false"/>
              <w:jc w:val="end"/>
              <w:rPr>
                <w:b/>
                <w:color w:val="000000"/>
                <w:sz w:val="18"/>
              </w:rPr>
            </w:pPr>
            <w:r>
              <w:rPr>
                <w:b/>
                <w:color w:val="000000"/>
                <w:sz w:val="18"/>
              </w:rPr>
            </w:r>
          </w:p>
        </w:tc>
        <w:tc>
          <w:tcPr>
            <w:tcW w:w="932"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8"/>
              </w:rPr>
            </w:pPr>
            <w:r>
              <w:rPr>
                <w:color w:val="000000"/>
                <w:sz w:val="18"/>
              </w:rPr>
            </w:r>
          </w:p>
        </w:tc>
        <w:tc>
          <w:tcPr>
            <w:tcW w:w="1010" w:type="dxa"/>
            <w:tcBorders>
              <w:top w:val="single" w:sz="2" w:space="0" w:color="000000"/>
              <w:start w:val="single" w:sz="2" w:space="0" w:color="000000"/>
              <w:bottom w:val="single" w:sz="2" w:space="0" w:color="000000"/>
              <w:end w:val="single" w:sz="2" w:space="0" w:color="000000"/>
            </w:tcBorders>
          </w:tcPr>
          <w:p>
            <w:pPr>
              <w:pStyle w:val="Normal"/>
              <w:snapToGrid w:val="false"/>
              <w:jc w:val="end"/>
              <w:rPr>
                <w:b/>
                <w:color w:val="000000"/>
                <w:sz w:val="18"/>
              </w:rPr>
            </w:pPr>
            <w:r>
              <w:rPr>
                <w:b/>
                <w:color w:val="000000"/>
                <w:sz w:val="18"/>
              </w:rPr>
            </w:r>
          </w:p>
        </w:tc>
        <w:tc>
          <w:tcPr>
            <w:tcW w:w="1260" w:type="dxa"/>
            <w:tcBorders>
              <w:top w:val="single" w:sz="2" w:space="0" w:color="000000"/>
              <w:start w:val="single" w:sz="2" w:space="0" w:color="000000"/>
              <w:bottom w:val="single" w:sz="2" w:space="0" w:color="000000"/>
              <w:end w:val="single" w:sz="2" w:space="0" w:color="000000"/>
            </w:tcBorders>
          </w:tcPr>
          <w:p>
            <w:pPr>
              <w:pStyle w:val="Normal"/>
              <w:snapToGrid w:val="false"/>
              <w:jc w:val="end"/>
              <w:rPr>
                <w:b/>
                <w:color w:val="000000"/>
                <w:sz w:val="18"/>
              </w:rPr>
            </w:pPr>
            <w:r>
              <w:rPr>
                <w:b/>
                <w:color w:val="000000"/>
                <w:sz w:val="18"/>
              </w:rPr>
            </w:r>
          </w:p>
        </w:tc>
        <w:tc>
          <w:tcPr>
            <w:tcW w:w="1620" w:type="dxa"/>
            <w:tcBorders>
              <w:top w:val="single" w:sz="2" w:space="0" w:color="000000"/>
              <w:start w:val="single" w:sz="2" w:space="0" w:color="000000"/>
              <w:bottom w:val="single" w:sz="2" w:space="0" w:color="000000"/>
              <w:end w:val="single" w:sz="2" w:space="0" w:color="000000"/>
            </w:tcBorders>
          </w:tcPr>
          <w:p>
            <w:pPr>
              <w:pStyle w:val="Normal"/>
              <w:snapToGrid w:val="false"/>
              <w:jc w:val="end"/>
              <w:rPr>
                <w:b/>
                <w:color w:val="000000"/>
                <w:sz w:val="18"/>
              </w:rPr>
            </w:pPr>
            <w:r>
              <w:rPr>
                <w:b/>
                <w:color w:val="000000"/>
                <w:sz w:val="18"/>
              </w:rPr>
            </w:r>
          </w:p>
        </w:tc>
      </w:tr>
      <w:tr>
        <w:trPr>
          <w:trHeight w:val="264" w:hRule="atLeast"/>
        </w:trPr>
        <w:tc>
          <w:tcPr>
            <w:tcW w:w="2945" w:type="dxa"/>
            <w:tcBorders>
              <w:top w:val="single" w:sz="2" w:space="0" w:color="000000"/>
              <w:start w:val="single" w:sz="2" w:space="0" w:color="000000"/>
              <w:bottom w:val="single" w:sz="2" w:space="0" w:color="000000"/>
              <w:end w:val="single" w:sz="2" w:space="0" w:color="000000"/>
            </w:tcBorders>
          </w:tcPr>
          <w:p>
            <w:pPr>
              <w:pStyle w:val="Normal"/>
              <w:jc w:val="end"/>
              <w:rPr>
                <w:b/>
                <w:color w:val="000000"/>
                <w:sz w:val="18"/>
              </w:rPr>
            </w:pPr>
            <w:r>
              <w:rPr>
                <w:rFonts w:eastAsia="Arial"/>
                <w:b/>
                <w:color w:val="000000"/>
                <w:sz w:val="18"/>
              </w:rPr>
              <w:t xml:space="preserve"> </w:t>
            </w:r>
            <w:r>
              <w:rPr>
                <w:b/>
                <w:color w:val="000000"/>
                <w:sz w:val="18"/>
              </w:rPr>
              <w:t xml:space="preserve">Total Large Power </w:t>
            </w:r>
          </w:p>
        </w:tc>
        <w:tc>
          <w:tcPr>
            <w:tcW w:w="993" w:type="dxa"/>
            <w:tcBorders>
              <w:top w:val="single" w:sz="2" w:space="0" w:color="000000"/>
              <w:start w:val="single" w:sz="2" w:space="0" w:color="000000"/>
              <w:bottom w:val="single" w:sz="2" w:space="0" w:color="000000"/>
              <w:end w:val="single" w:sz="2" w:space="0" w:color="000000"/>
            </w:tcBorders>
          </w:tcPr>
          <w:p>
            <w:pPr>
              <w:pStyle w:val="Normal"/>
              <w:jc w:val="end"/>
              <w:rPr>
                <w:b/>
                <w:color w:val="000000"/>
                <w:sz w:val="18"/>
              </w:rPr>
            </w:pPr>
            <w:r>
              <w:rPr>
                <w:rFonts w:eastAsia="Arial"/>
                <w:b/>
                <w:color w:val="000000"/>
                <w:sz w:val="18"/>
              </w:rPr>
              <w:t xml:space="preserve">    </w:t>
            </w:r>
            <w:r>
              <w:rPr>
                <w:b/>
                <w:color w:val="000000"/>
                <w:sz w:val="18"/>
              </w:rPr>
              <w:t xml:space="preserve">24,844.9 </w:t>
            </w:r>
          </w:p>
        </w:tc>
        <w:tc>
          <w:tcPr>
            <w:tcW w:w="932" w:type="dxa"/>
            <w:tcBorders>
              <w:top w:val="single" w:sz="2" w:space="0" w:color="000000"/>
              <w:start w:val="single" w:sz="2" w:space="0" w:color="000000"/>
              <w:bottom w:val="single" w:sz="2" w:space="0" w:color="000000"/>
              <w:end w:val="single" w:sz="2" w:space="0" w:color="000000"/>
            </w:tcBorders>
          </w:tcPr>
          <w:p>
            <w:pPr>
              <w:pStyle w:val="Normal"/>
              <w:jc w:val="end"/>
              <w:rPr>
                <w:b/>
                <w:color w:val="000000"/>
                <w:sz w:val="18"/>
              </w:rPr>
            </w:pPr>
            <w:r>
              <w:rPr>
                <w:b/>
                <w:color w:val="000000"/>
                <w:sz w:val="18"/>
              </w:rPr>
              <w:t xml:space="preserve">$2,144.3 </w:t>
            </w:r>
          </w:p>
        </w:tc>
        <w:tc>
          <w:tcPr>
            <w:tcW w:w="1010" w:type="dxa"/>
            <w:tcBorders>
              <w:top w:val="single" w:sz="2" w:space="0" w:color="000000"/>
              <w:start w:val="single" w:sz="2" w:space="0" w:color="000000"/>
              <w:bottom w:val="single" w:sz="2" w:space="0" w:color="000000"/>
              <w:end w:val="single" w:sz="2" w:space="0" w:color="000000"/>
            </w:tcBorders>
          </w:tcPr>
          <w:p>
            <w:pPr>
              <w:pStyle w:val="Normal"/>
              <w:jc w:val="end"/>
              <w:rPr>
                <w:b/>
                <w:color w:val="000000"/>
                <w:sz w:val="18"/>
              </w:rPr>
            </w:pPr>
            <w:r>
              <w:rPr>
                <w:b/>
                <w:color w:val="000000"/>
                <w:sz w:val="18"/>
              </w:rPr>
              <w:t xml:space="preserve">$655.0 </w:t>
            </w:r>
          </w:p>
        </w:tc>
        <w:tc>
          <w:tcPr>
            <w:tcW w:w="1260" w:type="dxa"/>
            <w:tcBorders>
              <w:top w:val="single" w:sz="2" w:space="0" w:color="000000"/>
              <w:start w:val="single" w:sz="2" w:space="0" w:color="000000"/>
              <w:bottom w:val="single" w:sz="2" w:space="0" w:color="000000"/>
              <w:end w:val="single" w:sz="2" w:space="0" w:color="000000"/>
            </w:tcBorders>
          </w:tcPr>
          <w:p>
            <w:pPr>
              <w:pStyle w:val="Normal"/>
              <w:jc w:val="end"/>
              <w:rPr>
                <w:b/>
                <w:color w:val="000000"/>
                <w:sz w:val="18"/>
              </w:rPr>
            </w:pPr>
            <w:r>
              <w:rPr>
                <w:b/>
                <w:color w:val="000000"/>
                <w:sz w:val="18"/>
              </w:rPr>
              <w:t xml:space="preserve">$2,799.3 </w:t>
            </w:r>
          </w:p>
        </w:tc>
        <w:tc>
          <w:tcPr>
            <w:tcW w:w="1620" w:type="dxa"/>
            <w:tcBorders>
              <w:top w:val="single" w:sz="2" w:space="0" w:color="000000"/>
              <w:start w:val="single" w:sz="2" w:space="0" w:color="000000"/>
              <w:bottom w:val="single" w:sz="2" w:space="0" w:color="000000"/>
              <w:end w:val="single" w:sz="2" w:space="0" w:color="000000"/>
            </w:tcBorders>
          </w:tcPr>
          <w:p>
            <w:pPr>
              <w:pStyle w:val="Normal"/>
              <w:jc w:val="end"/>
              <w:rPr>
                <w:b/>
                <w:color w:val="000000"/>
                <w:sz w:val="18"/>
              </w:rPr>
            </w:pPr>
            <w:r>
              <w:rPr>
                <w:b/>
                <w:color w:val="000000"/>
                <w:sz w:val="18"/>
              </w:rPr>
              <w:t>30.5%</w:t>
            </w:r>
          </w:p>
        </w:tc>
      </w:tr>
      <w:tr>
        <w:trPr>
          <w:trHeight w:val="263" w:hRule="atLeast"/>
        </w:trPr>
        <w:tc>
          <w:tcPr>
            <w:tcW w:w="2945" w:type="dxa"/>
            <w:tcBorders>
              <w:top w:val="single" w:sz="2" w:space="0" w:color="000000"/>
              <w:start w:val="single" w:sz="2" w:space="0" w:color="000000"/>
              <w:bottom w:val="single" w:sz="2" w:space="0" w:color="000000"/>
              <w:end w:val="single" w:sz="2" w:space="0" w:color="000000"/>
            </w:tcBorders>
          </w:tcPr>
          <w:p>
            <w:pPr>
              <w:pStyle w:val="Normal"/>
              <w:rPr>
                <w:b/>
                <w:color w:val="000000"/>
                <w:sz w:val="18"/>
              </w:rPr>
            </w:pPr>
            <w:r>
              <w:rPr>
                <w:b/>
                <w:color w:val="000000"/>
                <w:sz w:val="18"/>
              </w:rPr>
              <w:t>Agriculture &amp; Pumping</w:t>
            </w:r>
          </w:p>
        </w:tc>
        <w:tc>
          <w:tcPr>
            <w:tcW w:w="993" w:type="dxa"/>
            <w:tcBorders>
              <w:top w:val="single" w:sz="2" w:space="0" w:color="000000"/>
              <w:start w:val="single" w:sz="2" w:space="0" w:color="000000"/>
              <w:bottom w:val="single" w:sz="2" w:space="0" w:color="000000"/>
              <w:end w:val="single" w:sz="2" w:space="0" w:color="000000"/>
            </w:tcBorders>
          </w:tcPr>
          <w:p>
            <w:pPr>
              <w:pStyle w:val="Normal"/>
              <w:snapToGrid w:val="false"/>
              <w:jc w:val="end"/>
              <w:rPr>
                <w:b/>
                <w:color w:val="000000"/>
                <w:sz w:val="18"/>
              </w:rPr>
            </w:pPr>
            <w:r>
              <w:rPr>
                <w:b/>
                <w:color w:val="000000"/>
                <w:sz w:val="18"/>
              </w:rPr>
            </w:r>
          </w:p>
        </w:tc>
        <w:tc>
          <w:tcPr>
            <w:tcW w:w="932" w:type="dxa"/>
            <w:tcBorders>
              <w:top w:val="single" w:sz="2" w:space="0" w:color="000000"/>
              <w:start w:val="single" w:sz="2" w:space="0" w:color="000000"/>
              <w:bottom w:val="single" w:sz="2" w:space="0" w:color="000000"/>
              <w:end w:val="single" w:sz="2" w:space="0" w:color="000000"/>
            </w:tcBorders>
          </w:tcPr>
          <w:p>
            <w:pPr>
              <w:pStyle w:val="Normal"/>
              <w:snapToGrid w:val="false"/>
              <w:jc w:val="end"/>
              <w:rPr>
                <w:b/>
                <w:color w:val="000000"/>
                <w:sz w:val="18"/>
              </w:rPr>
            </w:pPr>
            <w:r>
              <w:rPr>
                <w:b/>
                <w:color w:val="000000"/>
                <w:sz w:val="18"/>
              </w:rPr>
            </w:r>
          </w:p>
        </w:tc>
        <w:tc>
          <w:tcPr>
            <w:tcW w:w="1010" w:type="dxa"/>
            <w:tcBorders>
              <w:top w:val="single" w:sz="2" w:space="0" w:color="000000"/>
              <w:start w:val="single" w:sz="2" w:space="0" w:color="000000"/>
              <w:bottom w:val="single" w:sz="2" w:space="0" w:color="000000"/>
              <w:end w:val="single" w:sz="2" w:space="0" w:color="000000"/>
            </w:tcBorders>
          </w:tcPr>
          <w:p>
            <w:pPr>
              <w:pStyle w:val="Normal"/>
              <w:snapToGrid w:val="false"/>
              <w:jc w:val="end"/>
              <w:rPr>
                <w:b/>
                <w:color w:val="000000"/>
                <w:sz w:val="18"/>
              </w:rPr>
            </w:pPr>
            <w:r>
              <w:rPr>
                <w:b/>
                <w:color w:val="000000"/>
                <w:sz w:val="18"/>
              </w:rPr>
            </w:r>
          </w:p>
        </w:tc>
        <w:tc>
          <w:tcPr>
            <w:tcW w:w="1260" w:type="dxa"/>
            <w:tcBorders>
              <w:top w:val="single" w:sz="2" w:space="0" w:color="000000"/>
              <w:start w:val="single" w:sz="2" w:space="0" w:color="000000"/>
              <w:bottom w:val="single" w:sz="2" w:space="0" w:color="000000"/>
              <w:end w:val="single" w:sz="2" w:space="0" w:color="000000"/>
            </w:tcBorders>
          </w:tcPr>
          <w:p>
            <w:pPr>
              <w:pStyle w:val="Normal"/>
              <w:snapToGrid w:val="false"/>
              <w:jc w:val="end"/>
              <w:rPr>
                <w:b/>
                <w:color w:val="000000"/>
                <w:sz w:val="18"/>
              </w:rPr>
            </w:pPr>
            <w:r>
              <w:rPr>
                <w:b/>
                <w:color w:val="000000"/>
                <w:sz w:val="18"/>
              </w:rPr>
            </w:r>
          </w:p>
        </w:tc>
        <w:tc>
          <w:tcPr>
            <w:tcW w:w="1620" w:type="dxa"/>
            <w:tcBorders>
              <w:top w:val="single" w:sz="2" w:space="0" w:color="000000"/>
              <w:start w:val="single" w:sz="2" w:space="0" w:color="000000"/>
              <w:bottom w:val="single" w:sz="2" w:space="0" w:color="000000"/>
              <w:end w:val="single" w:sz="2" w:space="0" w:color="000000"/>
            </w:tcBorders>
          </w:tcPr>
          <w:p>
            <w:pPr>
              <w:pStyle w:val="Normal"/>
              <w:snapToGrid w:val="false"/>
              <w:jc w:val="end"/>
              <w:rPr>
                <w:b/>
                <w:color w:val="000000"/>
                <w:sz w:val="18"/>
              </w:rPr>
            </w:pPr>
            <w:r>
              <w:rPr>
                <w:b/>
                <w:color w:val="000000"/>
                <w:sz w:val="18"/>
              </w:rPr>
            </w:r>
          </w:p>
        </w:tc>
      </w:tr>
      <w:tr>
        <w:trPr>
          <w:trHeight w:val="264" w:hRule="atLeast"/>
        </w:trPr>
        <w:tc>
          <w:tcPr>
            <w:tcW w:w="2945" w:type="dxa"/>
            <w:tcBorders>
              <w:top w:val="single" w:sz="2" w:space="0" w:color="000000"/>
              <w:start w:val="single" w:sz="2" w:space="0" w:color="000000"/>
              <w:bottom w:val="single" w:sz="2" w:space="0" w:color="000000"/>
              <w:end w:val="single" w:sz="2" w:space="0" w:color="000000"/>
            </w:tcBorders>
          </w:tcPr>
          <w:p>
            <w:pPr>
              <w:pStyle w:val="Normal"/>
              <w:jc w:val="end"/>
              <w:rPr>
                <w:b/>
                <w:color w:val="000000"/>
                <w:sz w:val="18"/>
              </w:rPr>
            </w:pPr>
            <w:r>
              <w:rPr>
                <w:b/>
                <w:color w:val="000000"/>
                <w:sz w:val="18"/>
              </w:rPr>
              <w:t>Total PA-1</w:t>
            </w:r>
          </w:p>
        </w:tc>
        <w:tc>
          <w:tcPr>
            <w:tcW w:w="993" w:type="dxa"/>
            <w:tcBorders>
              <w:top w:val="single" w:sz="2" w:space="0" w:color="000000"/>
              <w:start w:val="single" w:sz="2" w:space="0" w:color="000000"/>
              <w:bottom w:val="single" w:sz="2" w:space="0" w:color="000000"/>
              <w:end w:val="single" w:sz="2" w:space="0" w:color="000000"/>
            </w:tcBorders>
          </w:tcPr>
          <w:p>
            <w:pPr>
              <w:pStyle w:val="Normal"/>
              <w:jc w:val="end"/>
              <w:rPr>
                <w:b/>
                <w:color w:val="000000"/>
                <w:sz w:val="18"/>
              </w:rPr>
            </w:pPr>
            <w:r>
              <w:rPr>
                <w:rFonts w:eastAsia="Arial"/>
                <w:b/>
                <w:color w:val="000000"/>
                <w:sz w:val="18"/>
              </w:rPr>
              <w:t xml:space="preserve">         </w:t>
            </w:r>
            <w:r>
              <w:rPr>
                <w:b/>
                <w:color w:val="000000"/>
                <w:sz w:val="18"/>
              </w:rPr>
              <w:t xml:space="preserve">679.4 </w:t>
            </w:r>
          </w:p>
        </w:tc>
        <w:tc>
          <w:tcPr>
            <w:tcW w:w="932" w:type="dxa"/>
            <w:tcBorders>
              <w:top w:val="single" w:sz="2" w:space="0" w:color="000000"/>
              <w:start w:val="single" w:sz="2" w:space="0" w:color="000000"/>
              <w:bottom w:val="single" w:sz="2" w:space="0" w:color="000000"/>
              <w:end w:val="single" w:sz="2" w:space="0" w:color="000000"/>
            </w:tcBorders>
          </w:tcPr>
          <w:p>
            <w:pPr>
              <w:pStyle w:val="Normal"/>
              <w:jc w:val="end"/>
              <w:rPr>
                <w:b/>
                <w:color w:val="000000"/>
                <w:sz w:val="18"/>
              </w:rPr>
            </w:pPr>
            <w:r>
              <w:rPr>
                <w:b/>
                <w:color w:val="000000"/>
                <w:sz w:val="18"/>
              </w:rPr>
              <w:t xml:space="preserve">$94.1 </w:t>
            </w:r>
          </w:p>
        </w:tc>
        <w:tc>
          <w:tcPr>
            <w:tcW w:w="1010" w:type="dxa"/>
            <w:tcBorders>
              <w:top w:val="single" w:sz="2" w:space="0" w:color="000000"/>
              <w:start w:val="single" w:sz="2" w:space="0" w:color="000000"/>
              <w:bottom w:val="single" w:sz="2" w:space="0" w:color="000000"/>
              <w:end w:val="single" w:sz="2" w:space="0" w:color="000000"/>
            </w:tcBorders>
          </w:tcPr>
          <w:p>
            <w:pPr>
              <w:pStyle w:val="Normal"/>
              <w:jc w:val="end"/>
              <w:rPr>
                <w:b/>
                <w:color w:val="000000"/>
                <w:sz w:val="18"/>
              </w:rPr>
            </w:pPr>
            <w:r>
              <w:rPr>
                <w:b/>
                <w:color w:val="000000"/>
                <w:sz w:val="18"/>
              </w:rPr>
              <w:t xml:space="preserve">$24.2 </w:t>
            </w:r>
          </w:p>
        </w:tc>
        <w:tc>
          <w:tcPr>
            <w:tcW w:w="1260" w:type="dxa"/>
            <w:tcBorders>
              <w:top w:val="single" w:sz="2" w:space="0" w:color="000000"/>
              <w:start w:val="single" w:sz="2" w:space="0" w:color="000000"/>
              <w:bottom w:val="single" w:sz="2" w:space="0" w:color="000000"/>
              <w:end w:val="single" w:sz="2" w:space="0" w:color="000000"/>
            </w:tcBorders>
          </w:tcPr>
          <w:p>
            <w:pPr>
              <w:pStyle w:val="Normal"/>
              <w:jc w:val="end"/>
              <w:rPr>
                <w:b/>
                <w:color w:val="000000"/>
                <w:sz w:val="18"/>
              </w:rPr>
            </w:pPr>
            <w:r>
              <w:rPr>
                <w:b/>
                <w:color w:val="000000"/>
                <w:sz w:val="18"/>
              </w:rPr>
              <w:t xml:space="preserve">$118.3 </w:t>
            </w:r>
          </w:p>
        </w:tc>
        <w:tc>
          <w:tcPr>
            <w:tcW w:w="1620" w:type="dxa"/>
            <w:tcBorders>
              <w:top w:val="single" w:sz="2" w:space="0" w:color="000000"/>
              <w:start w:val="single" w:sz="2" w:space="0" w:color="000000"/>
              <w:bottom w:val="single" w:sz="2" w:space="0" w:color="000000"/>
              <w:end w:val="single" w:sz="2" w:space="0" w:color="000000"/>
            </w:tcBorders>
          </w:tcPr>
          <w:p>
            <w:pPr>
              <w:pStyle w:val="Normal"/>
              <w:jc w:val="end"/>
              <w:rPr>
                <w:b/>
                <w:color w:val="000000"/>
                <w:sz w:val="18"/>
              </w:rPr>
            </w:pPr>
            <w:r>
              <w:rPr>
                <w:b/>
                <w:color w:val="000000"/>
                <w:sz w:val="18"/>
              </w:rPr>
              <w:t>25.8%</w:t>
            </w:r>
          </w:p>
        </w:tc>
      </w:tr>
      <w:tr>
        <w:trPr>
          <w:trHeight w:val="263" w:hRule="atLeast"/>
        </w:trPr>
        <w:tc>
          <w:tcPr>
            <w:tcW w:w="2945" w:type="dxa"/>
            <w:tcBorders>
              <w:top w:val="single" w:sz="2" w:space="0" w:color="000000"/>
              <w:start w:val="single" w:sz="2" w:space="0" w:color="000000"/>
              <w:bottom w:val="single" w:sz="2" w:space="0" w:color="000000"/>
              <w:end w:val="single" w:sz="2" w:space="0" w:color="000000"/>
            </w:tcBorders>
          </w:tcPr>
          <w:p>
            <w:pPr>
              <w:pStyle w:val="Normal"/>
              <w:jc w:val="end"/>
              <w:rPr>
                <w:b/>
                <w:color w:val="000000"/>
                <w:sz w:val="18"/>
              </w:rPr>
            </w:pPr>
            <w:r>
              <w:rPr>
                <w:b/>
                <w:color w:val="000000"/>
                <w:sz w:val="18"/>
              </w:rPr>
              <w:t>Total PA-2</w:t>
            </w:r>
          </w:p>
        </w:tc>
        <w:tc>
          <w:tcPr>
            <w:tcW w:w="993" w:type="dxa"/>
            <w:tcBorders>
              <w:top w:val="single" w:sz="2" w:space="0" w:color="000000"/>
              <w:start w:val="single" w:sz="2" w:space="0" w:color="000000"/>
              <w:bottom w:val="single" w:sz="2" w:space="0" w:color="000000"/>
              <w:end w:val="single" w:sz="2" w:space="0" w:color="000000"/>
            </w:tcBorders>
          </w:tcPr>
          <w:p>
            <w:pPr>
              <w:pStyle w:val="Normal"/>
              <w:jc w:val="end"/>
              <w:rPr>
                <w:b/>
                <w:color w:val="000000"/>
                <w:sz w:val="18"/>
              </w:rPr>
            </w:pPr>
            <w:r>
              <w:rPr>
                <w:b/>
                <w:color w:val="000000"/>
                <w:sz w:val="18"/>
              </w:rPr>
              <w:t xml:space="preserve">709.4 </w:t>
            </w:r>
          </w:p>
        </w:tc>
        <w:tc>
          <w:tcPr>
            <w:tcW w:w="932" w:type="dxa"/>
            <w:tcBorders>
              <w:top w:val="single" w:sz="2" w:space="0" w:color="000000"/>
              <w:start w:val="single" w:sz="2" w:space="0" w:color="000000"/>
              <w:bottom w:val="single" w:sz="2" w:space="0" w:color="000000"/>
              <w:end w:val="single" w:sz="2" w:space="0" w:color="000000"/>
            </w:tcBorders>
          </w:tcPr>
          <w:p>
            <w:pPr>
              <w:pStyle w:val="Normal"/>
              <w:jc w:val="end"/>
              <w:rPr>
                <w:b/>
                <w:color w:val="000000"/>
                <w:sz w:val="18"/>
              </w:rPr>
            </w:pPr>
            <w:r>
              <w:rPr>
                <w:b/>
                <w:color w:val="000000"/>
                <w:sz w:val="18"/>
              </w:rPr>
              <w:t xml:space="preserve">$68.2 </w:t>
            </w:r>
          </w:p>
        </w:tc>
        <w:tc>
          <w:tcPr>
            <w:tcW w:w="1010" w:type="dxa"/>
            <w:tcBorders>
              <w:top w:val="single" w:sz="2" w:space="0" w:color="000000"/>
              <w:start w:val="single" w:sz="2" w:space="0" w:color="000000"/>
              <w:bottom w:val="single" w:sz="2" w:space="0" w:color="000000"/>
              <w:end w:val="single" w:sz="2" w:space="0" w:color="000000"/>
            </w:tcBorders>
          </w:tcPr>
          <w:p>
            <w:pPr>
              <w:pStyle w:val="Normal"/>
              <w:jc w:val="end"/>
              <w:rPr>
                <w:b/>
                <w:color w:val="000000"/>
                <w:sz w:val="18"/>
              </w:rPr>
            </w:pPr>
            <w:r>
              <w:rPr>
                <w:b/>
                <w:color w:val="000000"/>
                <w:sz w:val="18"/>
              </w:rPr>
              <w:t xml:space="preserve">$19.3 </w:t>
            </w:r>
          </w:p>
        </w:tc>
        <w:tc>
          <w:tcPr>
            <w:tcW w:w="1260" w:type="dxa"/>
            <w:tcBorders>
              <w:top w:val="single" w:sz="2" w:space="0" w:color="000000"/>
              <w:start w:val="single" w:sz="2" w:space="0" w:color="000000"/>
              <w:bottom w:val="single" w:sz="2" w:space="0" w:color="000000"/>
              <w:end w:val="single" w:sz="2" w:space="0" w:color="000000"/>
            </w:tcBorders>
          </w:tcPr>
          <w:p>
            <w:pPr>
              <w:pStyle w:val="Normal"/>
              <w:jc w:val="end"/>
              <w:rPr>
                <w:b/>
                <w:color w:val="000000"/>
                <w:sz w:val="18"/>
              </w:rPr>
            </w:pPr>
            <w:r>
              <w:rPr>
                <w:b/>
                <w:color w:val="000000"/>
                <w:sz w:val="18"/>
              </w:rPr>
              <w:t xml:space="preserve">$87.6 </w:t>
            </w:r>
          </w:p>
        </w:tc>
        <w:tc>
          <w:tcPr>
            <w:tcW w:w="1620" w:type="dxa"/>
            <w:tcBorders>
              <w:top w:val="single" w:sz="2" w:space="0" w:color="000000"/>
              <w:start w:val="single" w:sz="2" w:space="0" w:color="000000"/>
              <w:bottom w:val="single" w:sz="2" w:space="0" w:color="000000"/>
              <w:end w:val="single" w:sz="2" w:space="0" w:color="000000"/>
            </w:tcBorders>
          </w:tcPr>
          <w:p>
            <w:pPr>
              <w:pStyle w:val="Normal"/>
              <w:jc w:val="end"/>
              <w:rPr>
                <w:b/>
                <w:color w:val="000000"/>
                <w:sz w:val="18"/>
              </w:rPr>
            </w:pPr>
            <w:r>
              <w:rPr>
                <w:b/>
                <w:color w:val="000000"/>
                <w:sz w:val="18"/>
              </w:rPr>
              <w:t>28.3%</w:t>
            </w:r>
          </w:p>
        </w:tc>
      </w:tr>
      <w:tr>
        <w:trPr>
          <w:trHeight w:val="264" w:hRule="atLeast"/>
        </w:trPr>
        <w:tc>
          <w:tcPr>
            <w:tcW w:w="2945" w:type="dxa"/>
            <w:tcBorders>
              <w:top w:val="single" w:sz="2" w:space="0" w:color="000000"/>
              <w:start w:val="single" w:sz="2" w:space="0" w:color="000000"/>
              <w:bottom w:val="single" w:sz="2" w:space="0" w:color="000000"/>
              <w:end w:val="single" w:sz="2" w:space="0" w:color="000000"/>
            </w:tcBorders>
          </w:tcPr>
          <w:p>
            <w:pPr>
              <w:pStyle w:val="Normal"/>
              <w:jc w:val="end"/>
              <w:rPr>
                <w:b/>
                <w:color w:val="000000"/>
                <w:sz w:val="18"/>
              </w:rPr>
            </w:pPr>
            <w:r>
              <w:rPr>
                <w:b/>
                <w:color w:val="000000"/>
                <w:sz w:val="18"/>
              </w:rPr>
              <w:t>Total AG-TOU (Option B)</w:t>
            </w:r>
          </w:p>
        </w:tc>
        <w:tc>
          <w:tcPr>
            <w:tcW w:w="993" w:type="dxa"/>
            <w:tcBorders>
              <w:top w:val="single" w:sz="2" w:space="0" w:color="000000"/>
              <w:start w:val="single" w:sz="2" w:space="0" w:color="000000"/>
              <w:bottom w:val="single" w:sz="2" w:space="0" w:color="000000"/>
              <w:end w:val="single" w:sz="2" w:space="0" w:color="000000"/>
            </w:tcBorders>
          </w:tcPr>
          <w:p>
            <w:pPr>
              <w:pStyle w:val="Normal"/>
              <w:jc w:val="end"/>
              <w:rPr>
                <w:b/>
                <w:color w:val="000000"/>
                <w:sz w:val="18"/>
              </w:rPr>
            </w:pPr>
            <w:r>
              <w:rPr>
                <w:b/>
                <w:color w:val="000000"/>
                <w:sz w:val="18"/>
              </w:rPr>
              <w:t xml:space="preserve">1,112.9 </w:t>
            </w:r>
          </w:p>
        </w:tc>
        <w:tc>
          <w:tcPr>
            <w:tcW w:w="932" w:type="dxa"/>
            <w:tcBorders>
              <w:top w:val="single" w:sz="2" w:space="0" w:color="000000"/>
              <w:start w:val="single" w:sz="2" w:space="0" w:color="000000"/>
              <w:bottom w:val="single" w:sz="2" w:space="0" w:color="000000"/>
              <w:end w:val="single" w:sz="2" w:space="0" w:color="000000"/>
            </w:tcBorders>
          </w:tcPr>
          <w:p>
            <w:pPr>
              <w:pStyle w:val="Normal"/>
              <w:jc w:val="end"/>
              <w:rPr>
                <w:b/>
                <w:color w:val="000000"/>
                <w:sz w:val="18"/>
              </w:rPr>
            </w:pPr>
            <w:r>
              <w:rPr>
                <w:b/>
                <w:color w:val="000000"/>
                <w:sz w:val="18"/>
              </w:rPr>
              <w:t xml:space="preserve">$102.7 </w:t>
            </w:r>
          </w:p>
        </w:tc>
        <w:tc>
          <w:tcPr>
            <w:tcW w:w="1010" w:type="dxa"/>
            <w:tcBorders>
              <w:top w:val="single" w:sz="2" w:space="0" w:color="000000"/>
              <w:start w:val="single" w:sz="2" w:space="0" w:color="000000"/>
              <w:bottom w:val="single" w:sz="2" w:space="0" w:color="000000"/>
              <w:end w:val="single" w:sz="2" w:space="0" w:color="000000"/>
            </w:tcBorders>
          </w:tcPr>
          <w:p>
            <w:pPr>
              <w:pStyle w:val="Normal"/>
              <w:jc w:val="end"/>
              <w:rPr>
                <w:b/>
                <w:color w:val="000000"/>
                <w:sz w:val="18"/>
              </w:rPr>
            </w:pPr>
            <w:r>
              <w:rPr>
                <w:b/>
                <w:color w:val="000000"/>
                <w:sz w:val="18"/>
              </w:rPr>
              <w:t xml:space="preserve">$39.0 </w:t>
            </w:r>
          </w:p>
        </w:tc>
        <w:tc>
          <w:tcPr>
            <w:tcW w:w="1260" w:type="dxa"/>
            <w:tcBorders>
              <w:top w:val="single" w:sz="2" w:space="0" w:color="000000"/>
              <w:start w:val="single" w:sz="2" w:space="0" w:color="000000"/>
              <w:bottom w:val="single" w:sz="2" w:space="0" w:color="000000"/>
              <w:end w:val="single" w:sz="2" w:space="0" w:color="000000"/>
            </w:tcBorders>
          </w:tcPr>
          <w:p>
            <w:pPr>
              <w:pStyle w:val="Normal"/>
              <w:jc w:val="end"/>
              <w:rPr>
                <w:b/>
                <w:color w:val="000000"/>
                <w:sz w:val="18"/>
              </w:rPr>
            </w:pPr>
            <w:r>
              <w:rPr>
                <w:b/>
                <w:color w:val="000000"/>
                <w:sz w:val="18"/>
              </w:rPr>
              <w:t xml:space="preserve">$141.7 </w:t>
            </w:r>
          </w:p>
        </w:tc>
        <w:tc>
          <w:tcPr>
            <w:tcW w:w="1620" w:type="dxa"/>
            <w:tcBorders>
              <w:top w:val="single" w:sz="2" w:space="0" w:color="000000"/>
              <w:start w:val="single" w:sz="2" w:space="0" w:color="000000"/>
              <w:bottom w:val="single" w:sz="2" w:space="0" w:color="000000"/>
              <w:end w:val="single" w:sz="2" w:space="0" w:color="000000"/>
            </w:tcBorders>
          </w:tcPr>
          <w:p>
            <w:pPr>
              <w:pStyle w:val="Normal"/>
              <w:jc w:val="end"/>
              <w:rPr>
                <w:b/>
                <w:color w:val="000000"/>
                <w:sz w:val="18"/>
              </w:rPr>
            </w:pPr>
            <w:r>
              <w:rPr>
                <w:b/>
                <w:color w:val="000000"/>
                <w:sz w:val="18"/>
              </w:rPr>
              <w:t>38.0%</w:t>
            </w:r>
          </w:p>
        </w:tc>
      </w:tr>
      <w:tr>
        <w:trPr>
          <w:trHeight w:val="263" w:hRule="atLeast"/>
        </w:trPr>
        <w:tc>
          <w:tcPr>
            <w:tcW w:w="2945" w:type="dxa"/>
            <w:tcBorders>
              <w:top w:val="single" w:sz="2" w:space="0" w:color="000000"/>
              <w:start w:val="single" w:sz="2" w:space="0" w:color="000000"/>
              <w:bottom w:val="single" w:sz="2" w:space="0" w:color="000000"/>
              <w:end w:val="single" w:sz="2" w:space="0" w:color="000000"/>
            </w:tcBorders>
          </w:tcPr>
          <w:p>
            <w:pPr>
              <w:pStyle w:val="Normal"/>
              <w:jc w:val="end"/>
              <w:rPr>
                <w:b/>
                <w:color w:val="000000"/>
                <w:sz w:val="18"/>
              </w:rPr>
            </w:pPr>
            <w:r>
              <w:rPr>
                <w:b/>
                <w:color w:val="000000"/>
                <w:sz w:val="18"/>
              </w:rPr>
              <w:t>Total TOU-PA-5</w:t>
            </w:r>
          </w:p>
        </w:tc>
        <w:tc>
          <w:tcPr>
            <w:tcW w:w="993" w:type="dxa"/>
            <w:tcBorders>
              <w:top w:val="single" w:sz="2" w:space="0" w:color="000000"/>
              <w:start w:val="single" w:sz="2" w:space="0" w:color="000000"/>
              <w:bottom w:val="single" w:sz="2" w:space="0" w:color="000000"/>
              <w:end w:val="single" w:sz="2" w:space="0" w:color="000000"/>
            </w:tcBorders>
          </w:tcPr>
          <w:p>
            <w:pPr>
              <w:pStyle w:val="Normal"/>
              <w:jc w:val="end"/>
              <w:rPr>
                <w:b/>
                <w:color w:val="000000"/>
                <w:sz w:val="18"/>
              </w:rPr>
            </w:pPr>
            <w:r>
              <w:rPr>
                <w:b/>
                <w:color w:val="000000"/>
                <w:sz w:val="18"/>
              </w:rPr>
              <w:t xml:space="preserve">614.1 </w:t>
            </w:r>
          </w:p>
        </w:tc>
        <w:tc>
          <w:tcPr>
            <w:tcW w:w="932" w:type="dxa"/>
            <w:tcBorders>
              <w:top w:val="single" w:sz="2" w:space="0" w:color="000000"/>
              <w:start w:val="single" w:sz="2" w:space="0" w:color="000000"/>
              <w:bottom w:val="single" w:sz="2" w:space="0" w:color="000000"/>
              <w:end w:val="single" w:sz="2" w:space="0" w:color="000000"/>
            </w:tcBorders>
          </w:tcPr>
          <w:p>
            <w:pPr>
              <w:pStyle w:val="Normal"/>
              <w:jc w:val="end"/>
              <w:rPr>
                <w:b/>
                <w:color w:val="000000"/>
                <w:sz w:val="18"/>
              </w:rPr>
            </w:pPr>
            <w:r>
              <w:rPr>
                <w:b/>
                <w:color w:val="000000"/>
                <w:sz w:val="18"/>
              </w:rPr>
              <w:t xml:space="preserve">$49.9 </w:t>
            </w:r>
          </w:p>
        </w:tc>
        <w:tc>
          <w:tcPr>
            <w:tcW w:w="1010" w:type="dxa"/>
            <w:tcBorders>
              <w:top w:val="single" w:sz="2" w:space="0" w:color="000000"/>
              <w:start w:val="single" w:sz="2" w:space="0" w:color="000000"/>
              <w:bottom w:val="single" w:sz="2" w:space="0" w:color="000000"/>
              <w:end w:val="single" w:sz="2" w:space="0" w:color="000000"/>
            </w:tcBorders>
          </w:tcPr>
          <w:p>
            <w:pPr>
              <w:pStyle w:val="Normal"/>
              <w:jc w:val="end"/>
              <w:rPr>
                <w:b/>
                <w:color w:val="000000"/>
                <w:sz w:val="18"/>
              </w:rPr>
            </w:pPr>
            <w:r>
              <w:rPr>
                <w:b/>
                <w:color w:val="000000"/>
                <w:sz w:val="18"/>
              </w:rPr>
              <w:t xml:space="preserve">$16.2 </w:t>
            </w:r>
          </w:p>
        </w:tc>
        <w:tc>
          <w:tcPr>
            <w:tcW w:w="1260" w:type="dxa"/>
            <w:tcBorders>
              <w:top w:val="single" w:sz="2" w:space="0" w:color="000000"/>
              <w:start w:val="single" w:sz="2" w:space="0" w:color="000000"/>
              <w:bottom w:val="single" w:sz="2" w:space="0" w:color="000000"/>
              <w:end w:val="single" w:sz="2" w:space="0" w:color="000000"/>
            </w:tcBorders>
          </w:tcPr>
          <w:p>
            <w:pPr>
              <w:pStyle w:val="Normal"/>
              <w:jc w:val="end"/>
              <w:rPr>
                <w:b/>
                <w:color w:val="000000"/>
                <w:sz w:val="18"/>
              </w:rPr>
            </w:pPr>
            <w:r>
              <w:rPr>
                <w:b/>
                <w:color w:val="000000"/>
                <w:sz w:val="18"/>
              </w:rPr>
              <w:t xml:space="preserve">$66.1 </w:t>
            </w:r>
          </w:p>
        </w:tc>
        <w:tc>
          <w:tcPr>
            <w:tcW w:w="1620" w:type="dxa"/>
            <w:tcBorders>
              <w:top w:val="single" w:sz="2" w:space="0" w:color="000000"/>
              <w:start w:val="single" w:sz="2" w:space="0" w:color="000000"/>
              <w:bottom w:val="single" w:sz="2" w:space="0" w:color="000000"/>
              <w:end w:val="single" w:sz="2" w:space="0" w:color="000000"/>
            </w:tcBorders>
          </w:tcPr>
          <w:p>
            <w:pPr>
              <w:pStyle w:val="Normal"/>
              <w:jc w:val="end"/>
              <w:rPr>
                <w:b/>
                <w:color w:val="000000"/>
                <w:sz w:val="18"/>
              </w:rPr>
            </w:pPr>
            <w:r>
              <w:rPr>
                <w:b/>
                <w:color w:val="000000"/>
                <w:sz w:val="18"/>
              </w:rPr>
              <w:t>32.5%</w:t>
            </w:r>
          </w:p>
        </w:tc>
      </w:tr>
      <w:tr>
        <w:trPr>
          <w:trHeight w:val="264" w:hRule="atLeast"/>
        </w:trPr>
        <w:tc>
          <w:tcPr>
            <w:tcW w:w="2945" w:type="dxa"/>
            <w:tcBorders>
              <w:top w:val="single" w:sz="2" w:space="0" w:color="000000"/>
              <w:start w:val="single" w:sz="2" w:space="0" w:color="000000"/>
              <w:bottom w:val="single" w:sz="2" w:space="0" w:color="000000"/>
              <w:end w:val="single" w:sz="2" w:space="0" w:color="000000"/>
            </w:tcBorders>
          </w:tcPr>
          <w:p>
            <w:pPr>
              <w:pStyle w:val="Normal"/>
              <w:jc w:val="end"/>
              <w:rPr>
                <w:b/>
                <w:color w:val="000000"/>
                <w:sz w:val="18"/>
              </w:rPr>
            </w:pPr>
            <w:r>
              <w:rPr>
                <w:b/>
                <w:color w:val="000000"/>
                <w:sz w:val="18"/>
              </w:rPr>
              <w:t>Total Agriculture &amp; Pumping</w:t>
            </w:r>
          </w:p>
        </w:tc>
        <w:tc>
          <w:tcPr>
            <w:tcW w:w="993" w:type="dxa"/>
            <w:tcBorders>
              <w:top w:val="single" w:sz="2" w:space="0" w:color="000000"/>
              <w:start w:val="single" w:sz="2" w:space="0" w:color="000000"/>
              <w:bottom w:val="single" w:sz="2" w:space="0" w:color="000000"/>
              <w:end w:val="single" w:sz="2" w:space="0" w:color="000000"/>
            </w:tcBorders>
          </w:tcPr>
          <w:p>
            <w:pPr>
              <w:pStyle w:val="Normal"/>
              <w:jc w:val="end"/>
              <w:rPr>
                <w:b/>
                <w:color w:val="000000"/>
                <w:sz w:val="18"/>
              </w:rPr>
            </w:pPr>
            <w:r>
              <w:rPr>
                <w:rFonts w:eastAsia="Arial"/>
                <w:b/>
                <w:color w:val="000000"/>
                <w:sz w:val="18"/>
              </w:rPr>
              <w:t xml:space="preserve">      </w:t>
            </w:r>
            <w:r>
              <w:rPr>
                <w:b/>
                <w:color w:val="000000"/>
                <w:sz w:val="18"/>
              </w:rPr>
              <w:t xml:space="preserve">3,115.9 </w:t>
            </w:r>
          </w:p>
        </w:tc>
        <w:tc>
          <w:tcPr>
            <w:tcW w:w="932" w:type="dxa"/>
            <w:tcBorders>
              <w:top w:val="single" w:sz="2" w:space="0" w:color="000000"/>
              <w:start w:val="single" w:sz="2" w:space="0" w:color="000000"/>
              <w:bottom w:val="single" w:sz="2" w:space="0" w:color="000000"/>
              <w:end w:val="single" w:sz="2" w:space="0" w:color="000000"/>
            </w:tcBorders>
          </w:tcPr>
          <w:p>
            <w:pPr>
              <w:pStyle w:val="Normal"/>
              <w:jc w:val="end"/>
              <w:rPr>
                <w:b/>
                <w:color w:val="000000"/>
                <w:sz w:val="18"/>
              </w:rPr>
            </w:pPr>
            <w:r>
              <w:rPr>
                <w:b/>
                <w:color w:val="000000"/>
                <w:sz w:val="18"/>
              </w:rPr>
              <w:t xml:space="preserve">$314.9 </w:t>
            </w:r>
          </w:p>
        </w:tc>
        <w:tc>
          <w:tcPr>
            <w:tcW w:w="1010" w:type="dxa"/>
            <w:tcBorders>
              <w:top w:val="single" w:sz="2" w:space="0" w:color="000000"/>
              <w:start w:val="single" w:sz="2" w:space="0" w:color="000000"/>
              <w:bottom w:val="single" w:sz="2" w:space="0" w:color="000000"/>
              <w:end w:val="single" w:sz="2" w:space="0" w:color="000000"/>
            </w:tcBorders>
          </w:tcPr>
          <w:p>
            <w:pPr>
              <w:pStyle w:val="Normal"/>
              <w:jc w:val="end"/>
              <w:rPr>
                <w:b/>
                <w:color w:val="000000"/>
                <w:sz w:val="18"/>
              </w:rPr>
            </w:pPr>
            <w:r>
              <w:rPr>
                <w:b/>
                <w:color w:val="000000"/>
                <w:sz w:val="18"/>
              </w:rPr>
              <w:t xml:space="preserve">$98.7 </w:t>
            </w:r>
          </w:p>
        </w:tc>
        <w:tc>
          <w:tcPr>
            <w:tcW w:w="1260" w:type="dxa"/>
            <w:tcBorders>
              <w:top w:val="single" w:sz="2" w:space="0" w:color="000000"/>
              <w:start w:val="single" w:sz="2" w:space="0" w:color="000000"/>
              <w:bottom w:val="single" w:sz="2" w:space="0" w:color="000000"/>
              <w:end w:val="single" w:sz="2" w:space="0" w:color="000000"/>
            </w:tcBorders>
          </w:tcPr>
          <w:p>
            <w:pPr>
              <w:pStyle w:val="Normal"/>
              <w:jc w:val="end"/>
              <w:rPr>
                <w:b/>
                <w:color w:val="000000"/>
                <w:sz w:val="18"/>
              </w:rPr>
            </w:pPr>
            <w:r>
              <w:rPr>
                <w:b/>
                <w:color w:val="000000"/>
                <w:sz w:val="18"/>
              </w:rPr>
              <w:t xml:space="preserve">$413.7 </w:t>
            </w:r>
          </w:p>
        </w:tc>
        <w:tc>
          <w:tcPr>
            <w:tcW w:w="1620" w:type="dxa"/>
            <w:tcBorders>
              <w:top w:val="single" w:sz="2" w:space="0" w:color="000000"/>
              <w:start w:val="single" w:sz="2" w:space="0" w:color="000000"/>
              <w:bottom w:val="single" w:sz="2" w:space="0" w:color="000000"/>
              <w:end w:val="single" w:sz="2" w:space="0" w:color="000000"/>
            </w:tcBorders>
          </w:tcPr>
          <w:p>
            <w:pPr>
              <w:pStyle w:val="Normal"/>
              <w:jc w:val="end"/>
              <w:rPr>
                <w:b/>
                <w:color w:val="000000"/>
                <w:sz w:val="18"/>
              </w:rPr>
            </w:pPr>
            <w:r>
              <w:rPr>
                <w:b/>
                <w:color w:val="000000"/>
                <w:sz w:val="18"/>
              </w:rPr>
              <w:t>31.4%</w:t>
            </w:r>
          </w:p>
        </w:tc>
      </w:tr>
      <w:tr>
        <w:trPr>
          <w:trHeight w:val="264" w:hRule="atLeast"/>
        </w:trPr>
        <w:tc>
          <w:tcPr>
            <w:tcW w:w="2945" w:type="dxa"/>
            <w:tcBorders>
              <w:top w:val="single" w:sz="2" w:space="0" w:color="000000"/>
              <w:start w:val="single" w:sz="2" w:space="0" w:color="000000"/>
              <w:bottom w:val="single" w:sz="2" w:space="0" w:color="000000"/>
              <w:end w:val="single" w:sz="2" w:space="0" w:color="000000"/>
            </w:tcBorders>
          </w:tcPr>
          <w:p>
            <w:pPr>
              <w:pStyle w:val="Normal"/>
              <w:rPr>
                <w:b/>
                <w:color w:val="000000"/>
                <w:sz w:val="18"/>
              </w:rPr>
            </w:pPr>
            <w:r>
              <w:rPr>
                <w:b/>
                <w:color w:val="000000"/>
                <w:sz w:val="18"/>
              </w:rPr>
              <w:t>Street and Area Lighting</w:t>
            </w:r>
          </w:p>
        </w:tc>
        <w:tc>
          <w:tcPr>
            <w:tcW w:w="993" w:type="dxa"/>
            <w:tcBorders>
              <w:top w:val="single" w:sz="2" w:space="0" w:color="000000"/>
              <w:start w:val="single" w:sz="2" w:space="0" w:color="000000"/>
              <w:bottom w:val="single" w:sz="2" w:space="0" w:color="000000"/>
              <w:end w:val="single" w:sz="2" w:space="0" w:color="000000"/>
            </w:tcBorders>
          </w:tcPr>
          <w:p>
            <w:pPr>
              <w:pStyle w:val="Normal"/>
              <w:snapToGrid w:val="false"/>
              <w:jc w:val="end"/>
              <w:rPr>
                <w:b/>
                <w:color w:val="000000"/>
                <w:sz w:val="18"/>
              </w:rPr>
            </w:pPr>
            <w:r>
              <w:rPr>
                <w:b/>
                <w:color w:val="000000"/>
                <w:sz w:val="18"/>
              </w:rPr>
            </w:r>
          </w:p>
        </w:tc>
        <w:tc>
          <w:tcPr>
            <w:tcW w:w="932" w:type="dxa"/>
            <w:tcBorders>
              <w:top w:val="single" w:sz="2" w:space="0" w:color="000000"/>
              <w:start w:val="single" w:sz="2" w:space="0" w:color="000000"/>
              <w:bottom w:val="single" w:sz="2" w:space="0" w:color="000000"/>
              <w:end w:val="single" w:sz="2" w:space="0" w:color="000000"/>
            </w:tcBorders>
          </w:tcPr>
          <w:p>
            <w:pPr>
              <w:pStyle w:val="Normal"/>
              <w:snapToGrid w:val="false"/>
              <w:jc w:val="end"/>
              <w:rPr>
                <w:b/>
                <w:color w:val="000000"/>
                <w:sz w:val="18"/>
              </w:rPr>
            </w:pPr>
            <w:r>
              <w:rPr>
                <w:b/>
                <w:color w:val="000000"/>
                <w:sz w:val="18"/>
              </w:rPr>
            </w:r>
          </w:p>
        </w:tc>
        <w:tc>
          <w:tcPr>
            <w:tcW w:w="1010" w:type="dxa"/>
            <w:tcBorders>
              <w:top w:val="single" w:sz="2" w:space="0" w:color="000000"/>
              <w:start w:val="single" w:sz="2" w:space="0" w:color="000000"/>
              <w:bottom w:val="single" w:sz="2" w:space="0" w:color="000000"/>
              <w:end w:val="single" w:sz="2" w:space="0" w:color="000000"/>
            </w:tcBorders>
          </w:tcPr>
          <w:p>
            <w:pPr>
              <w:pStyle w:val="Normal"/>
              <w:snapToGrid w:val="false"/>
              <w:jc w:val="end"/>
              <w:rPr>
                <w:b/>
                <w:color w:val="000000"/>
                <w:sz w:val="18"/>
              </w:rPr>
            </w:pPr>
            <w:r>
              <w:rPr>
                <w:b/>
                <w:color w:val="000000"/>
                <w:sz w:val="18"/>
              </w:rPr>
            </w:r>
          </w:p>
        </w:tc>
        <w:tc>
          <w:tcPr>
            <w:tcW w:w="1260" w:type="dxa"/>
            <w:tcBorders>
              <w:top w:val="single" w:sz="2" w:space="0" w:color="000000"/>
              <w:start w:val="single" w:sz="2" w:space="0" w:color="000000"/>
              <w:bottom w:val="single" w:sz="2" w:space="0" w:color="000000"/>
              <w:end w:val="single" w:sz="2" w:space="0" w:color="000000"/>
            </w:tcBorders>
          </w:tcPr>
          <w:p>
            <w:pPr>
              <w:pStyle w:val="Normal"/>
              <w:snapToGrid w:val="false"/>
              <w:jc w:val="end"/>
              <w:rPr>
                <w:b/>
                <w:color w:val="000000"/>
                <w:sz w:val="18"/>
              </w:rPr>
            </w:pPr>
            <w:r>
              <w:rPr>
                <w:b/>
                <w:color w:val="000000"/>
                <w:sz w:val="18"/>
              </w:rPr>
            </w:r>
          </w:p>
        </w:tc>
        <w:tc>
          <w:tcPr>
            <w:tcW w:w="1620" w:type="dxa"/>
            <w:tcBorders>
              <w:top w:val="single" w:sz="2" w:space="0" w:color="000000"/>
              <w:start w:val="single" w:sz="2" w:space="0" w:color="000000"/>
              <w:bottom w:val="single" w:sz="2" w:space="0" w:color="000000"/>
              <w:end w:val="single" w:sz="2" w:space="0" w:color="000000"/>
            </w:tcBorders>
          </w:tcPr>
          <w:p>
            <w:pPr>
              <w:pStyle w:val="Normal"/>
              <w:snapToGrid w:val="false"/>
              <w:jc w:val="end"/>
              <w:rPr>
                <w:b/>
                <w:color w:val="000000"/>
                <w:sz w:val="18"/>
              </w:rPr>
            </w:pPr>
            <w:r>
              <w:rPr>
                <w:b/>
                <w:color w:val="000000"/>
                <w:sz w:val="18"/>
              </w:rPr>
            </w:r>
          </w:p>
        </w:tc>
      </w:tr>
      <w:tr>
        <w:trPr>
          <w:trHeight w:val="263" w:hRule="atLeast"/>
        </w:trPr>
        <w:tc>
          <w:tcPr>
            <w:tcW w:w="2945" w:type="dxa"/>
            <w:tcBorders>
              <w:top w:val="single" w:sz="2" w:space="0" w:color="000000"/>
              <w:start w:val="single" w:sz="2" w:space="0" w:color="000000"/>
              <w:bottom w:val="single" w:sz="2" w:space="0" w:color="000000"/>
              <w:end w:val="single" w:sz="2" w:space="0" w:color="000000"/>
            </w:tcBorders>
          </w:tcPr>
          <w:p>
            <w:pPr>
              <w:pStyle w:val="Normal"/>
              <w:jc w:val="end"/>
              <w:rPr>
                <w:b/>
                <w:color w:val="000000"/>
                <w:sz w:val="18"/>
              </w:rPr>
            </w:pPr>
            <w:r>
              <w:rPr>
                <w:b/>
                <w:color w:val="000000"/>
                <w:sz w:val="18"/>
              </w:rPr>
              <w:t>Total Street Light</w:t>
            </w:r>
          </w:p>
        </w:tc>
        <w:tc>
          <w:tcPr>
            <w:tcW w:w="993" w:type="dxa"/>
            <w:tcBorders>
              <w:top w:val="single" w:sz="2" w:space="0" w:color="000000"/>
              <w:start w:val="single" w:sz="2" w:space="0" w:color="000000"/>
              <w:bottom w:val="single" w:sz="2" w:space="0" w:color="000000"/>
              <w:end w:val="single" w:sz="2" w:space="0" w:color="000000"/>
            </w:tcBorders>
          </w:tcPr>
          <w:p>
            <w:pPr>
              <w:pStyle w:val="Normal"/>
              <w:jc w:val="end"/>
              <w:rPr>
                <w:b/>
                <w:color w:val="000000"/>
                <w:sz w:val="18"/>
              </w:rPr>
            </w:pPr>
            <w:r>
              <w:rPr>
                <w:b/>
                <w:color w:val="000000"/>
                <w:sz w:val="18"/>
              </w:rPr>
              <w:t xml:space="preserve">529.3 </w:t>
            </w:r>
          </w:p>
        </w:tc>
        <w:tc>
          <w:tcPr>
            <w:tcW w:w="932" w:type="dxa"/>
            <w:tcBorders>
              <w:top w:val="single" w:sz="2" w:space="0" w:color="000000"/>
              <w:start w:val="single" w:sz="2" w:space="0" w:color="000000"/>
              <w:bottom w:val="single" w:sz="2" w:space="0" w:color="000000"/>
              <w:end w:val="single" w:sz="2" w:space="0" w:color="000000"/>
            </w:tcBorders>
          </w:tcPr>
          <w:p>
            <w:pPr>
              <w:pStyle w:val="Normal"/>
              <w:jc w:val="end"/>
              <w:rPr>
                <w:b/>
                <w:color w:val="000000"/>
                <w:sz w:val="18"/>
              </w:rPr>
            </w:pPr>
            <w:r>
              <w:rPr>
                <w:b/>
                <w:color w:val="000000"/>
                <w:sz w:val="18"/>
              </w:rPr>
              <w:t xml:space="preserve">$78.2 </w:t>
            </w:r>
          </w:p>
        </w:tc>
        <w:tc>
          <w:tcPr>
            <w:tcW w:w="1010" w:type="dxa"/>
            <w:tcBorders>
              <w:top w:val="single" w:sz="2" w:space="0" w:color="000000"/>
              <w:start w:val="single" w:sz="2" w:space="0" w:color="000000"/>
              <w:bottom w:val="single" w:sz="2" w:space="0" w:color="000000"/>
              <w:end w:val="single" w:sz="2" w:space="0" w:color="000000"/>
            </w:tcBorders>
          </w:tcPr>
          <w:p>
            <w:pPr>
              <w:pStyle w:val="Normal"/>
              <w:jc w:val="end"/>
              <w:rPr>
                <w:b/>
                <w:color w:val="000000"/>
                <w:sz w:val="18"/>
              </w:rPr>
            </w:pPr>
            <w:r>
              <w:rPr>
                <w:b/>
                <w:color w:val="000000"/>
                <w:sz w:val="18"/>
              </w:rPr>
              <w:t xml:space="preserve">$0.6 </w:t>
            </w:r>
          </w:p>
        </w:tc>
        <w:tc>
          <w:tcPr>
            <w:tcW w:w="1260" w:type="dxa"/>
            <w:tcBorders>
              <w:top w:val="single" w:sz="2" w:space="0" w:color="000000"/>
              <w:start w:val="single" w:sz="2" w:space="0" w:color="000000"/>
              <w:bottom w:val="single" w:sz="2" w:space="0" w:color="000000"/>
              <w:end w:val="single" w:sz="2" w:space="0" w:color="000000"/>
            </w:tcBorders>
          </w:tcPr>
          <w:p>
            <w:pPr>
              <w:pStyle w:val="Normal"/>
              <w:jc w:val="end"/>
              <w:rPr>
                <w:b/>
                <w:color w:val="000000"/>
                <w:sz w:val="18"/>
              </w:rPr>
            </w:pPr>
            <w:r>
              <w:rPr>
                <w:b/>
                <w:color w:val="000000"/>
                <w:sz w:val="18"/>
              </w:rPr>
              <w:t xml:space="preserve">$78.7 </w:t>
            </w:r>
          </w:p>
        </w:tc>
        <w:tc>
          <w:tcPr>
            <w:tcW w:w="1620" w:type="dxa"/>
            <w:tcBorders>
              <w:top w:val="single" w:sz="2" w:space="0" w:color="000000"/>
              <w:start w:val="single" w:sz="2" w:space="0" w:color="000000"/>
              <w:bottom w:val="single" w:sz="2" w:space="0" w:color="000000"/>
              <w:end w:val="single" w:sz="2" w:space="0" w:color="000000"/>
            </w:tcBorders>
          </w:tcPr>
          <w:p>
            <w:pPr>
              <w:pStyle w:val="Normal"/>
              <w:jc w:val="end"/>
              <w:rPr>
                <w:b/>
                <w:color w:val="000000"/>
                <w:sz w:val="18"/>
              </w:rPr>
            </w:pPr>
            <w:r>
              <w:rPr>
                <w:b/>
                <w:color w:val="000000"/>
                <w:sz w:val="18"/>
              </w:rPr>
              <w:t>0.7%</w:t>
            </w:r>
          </w:p>
        </w:tc>
      </w:tr>
      <w:tr>
        <w:trPr>
          <w:trHeight w:val="264" w:hRule="atLeast"/>
        </w:trPr>
        <w:tc>
          <w:tcPr>
            <w:tcW w:w="2945" w:type="dxa"/>
            <w:tcBorders>
              <w:top w:val="single" w:sz="2" w:space="0" w:color="000000"/>
              <w:start w:val="single" w:sz="2" w:space="0" w:color="000000"/>
              <w:bottom w:val="single" w:sz="2" w:space="0" w:color="000000"/>
              <w:end w:val="single" w:sz="2" w:space="0" w:color="000000"/>
            </w:tcBorders>
          </w:tcPr>
          <w:p>
            <w:pPr>
              <w:pStyle w:val="Normal"/>
              <w:rPr>
                <w:b/>
                <w:color w:val="000000"/>
                <w:sz w:val="18"/>
              </w:rPr>
            </w:pPr>
            <w:r>
              <w:rPr>
                <w:rFonts w:eastAsia="Arial"/>
                <w:b/>
                <w:color w:val="000000"/>
                <w:sz w:val="18"/>
              </w:rPr>
              <w:t xml:space="preserve"> </w:t>
            </w:r>
            <w:r>
              <w:rPr>
                <w:b/>
                <w:color w:val="000000"/>
                <w:sz w:val="18"/>
              </w:rPr>
              <w:t xml:space="preserve">TOTAL SYSTEM </w:t>
            </w:r>
          </w:p>
        </w:tc>
        <w:tc>
          <w:tcPr>
            <w:tcW w:w="993" w:type="dxa"/>
            <w:tcBorders>
              <w:top w:val="single" w:sz="2" w:space="0" w:color="000000"/>
              <w:start w:val="single" w:sz="2" w:space="0" w:color="000000"/>
              <w:bottom w:val="single" w:sz="2" w:space="0" w:color="000000"/>
              <w:end w:val="single" w:sz="2" w:space="0" w:color="000000"/>
            </w:tcBorders>
          </w:tcPr>
          <w:p>
            <w:pPr>
              <w:pStyle w:val="Normal"/>
              <w:jc w:val="end"/>
              <w:rPr>
                <w:b/>
                <w:color w:val="000000"/>
                <w:sz w:val="18"/>
              </w:rPr>
            </w:pPr>
            <w:r>
              <w:rPr>
                <w:rFonts w:eastAsia="Arial"/>
                <w:b/>
                <w:color w:val="000000"/>
                <w:sz w:val="18"/>
              </w:rPr>
              <w:t xml:space="preserve">    </w:t>
            </w:r>
            <w:r>
              <w:rPr>
                <w:b/>
                <w:color w:val="000000"/>
                <w:sz w:val="18"/>
              </w:rPr>
              <w:t xml:space="preserve">83,780.0 </w:t>
            </w:r>
          </w:p>
        </w:tc>
        <w:tc>
          <w:tcPr>
            <w:tcW w:w="932" w:type="dxa"/>
            <w:tcBorders>
              <w:top w:val="single" w:sz="2" w:space="0" w:color="000000"/>
              <w:start w:val="single" w:sz="2" w:space="0" w:color="000000"/>
              <w:bottom w:val="single" w:sz="2" w:space="0" w:color="000000"/>
              <w:end w:val="single" w:sz="2" w:space="0" w:color="000000"/>
            </w:tcBorders>
          </w:tcPr>
          <w:p>
            <w:pPr>
              <w:pStyle w:val="Normal"/>
              <w:jc w:val="end"/>
              <w:rPr>
                <w:b/>
                <w:color w:val="000000"/>
                <w:sz w:val="18"/>
              </w:rPr>
            </w:pPr>
            <w:r>
              <w:rPr>
                <w:b/>
                <w:color w:val="000000"/>
                <w:sz w:val="18"/>
              </w:rPr>
              <w:t xml:space="preserve">$9,486.1 </w:t>
            </w:r>
          </w:p>
        </w:tc>
        <w:tc>
          <w:tcPr>
            <w:tcW w:w="1010" w:type="dxa"/>
            <w:tcBorders>
              <w:top w:val="single" w:sz="2" w:space="0" w:color="000000"/>
              <w:start w:val="single" w:sz="2" w:space="0" w:color="000000"/>
              <w:bottom w:val="single" w:sz="2" w:space="0" w:color="000000"/>
              <w:end w:val="single" w:sz="2" w:space="0" w:color="000000"/>
            </w:tcBorders>
          </w:tcPr>
          <w:p>
            <w:pPr>
              <w:pStyle w:val="Normal"/>
              <w:jc w:val="end"/>
              <w:rPr>
                <w:b/>
                <w:color w:val="000000"/>
                <w:sz w:val="18"/>
              </w:rPr>
            </w:pPr>
            <w:r>
              <w:rPr>
                <w:b/>
                <w:color w:val="000000"/>
                <w:sz w:val="18"/>
              </w:rPr>
              <w:t xml:space="preserve">$2,513.4 </w:t>
            </w:r>
          </w:p>
        </w:tc>
        <w:tc>
          <w:tcPr>
            <w:tcW w:w="1260" w:type="dxa"/>
            <w:tcBorders>
              <w:top w:val="single" w:sz="2" w:space="0" w:color="000000"/>
              <w:start w:val="single" w:sz="2" w:space="0" w:color="000000"/>
              <w:bottom w:val="single" w:sz="2" w:space="0" w:color="000000"/>
              <w:end w:val="single" w:sz="2" w:space="0" w:color="000000"/>
            </w:tcBorders>
          </w:tcPr>
          <w:p>
            <w:pPr>
              <w:pStyle w:val="Normal"/>
              <w:jc w:val="end"/>
              <w:rPr>
                <w:b/>
                <w:color w:val="000000"/>
                <w:sz w:val="18"/>
              </w:rPr>
            </w:pPr>
            <w:r>
              <w:rPr>
                <w:b/>
                <w:color w:val="000000"/>
                <w:sz w:val="18"/>
              </w:rPr>
              <w:t xml:space="preserve">$11,999.5 </w:t>
            </w:r>
          </w:p>
        </w:tc>
        <w:tc>
          <w:tcPr>
            <w:tcW w:w="1620" w:type="dxa"/>
            <w:tcBorders>
              <w:top w:val="single" w:sz="2" w:space="0" w:color="000000"/>
              <w:start w:val="single" w:sz="2" w:space="0" w:color="000000"/>
              <w:bottom w:val="single" w:sz="2" w:space="0" w:color="000000"/>
              <w:end w:val="single" w:sz="2" w:space="0" w:color="000000"/>
            </w:tcBorders>
          </w:tcPr>
          <w:p>
            <w:pPr>
              <w:pStyle w:val="Normal"/>
              <w:jc w:val="end"/>
              <w:rPr>
                <w:b/>
                <w:color w:val="000000"/>
                <w:sz w:val="18"/>
              </w:rPr>
            </w:pPr>
            <w:r>
              <w:rPr>
                <w:b/>
                <w:color w:val="000000"/>
                <w:sz w:val="18"/>
              </w:rPr>
              <w:t>26.5%</w:t>
            </w:r>
          </w:p>
        </w:tc>
      </w:tr>
    </w:tbl>
    <w:p>
      <w:pPr>
        <w:pStyle w:val="Pleading"/>
        <w:numPr>
          <w:ilvl w:val="0"/>
          <w:numId w:val="0"/>
        </w:numPr>
        <w:spacing w:lineRule="auto" w:line="480"/>
        <w:ind w:hanging="0" w:start="0"/>
        <w:rPr/>
      </w:pPr>
      <w:r>
        <w:rPr/>
      </w:r>
      <w:r>
        <w:br w:type="page"/>
      </w:r>
    </w:p>
    <w:p>
      <w:pPr>
        <w:pStyle w:val="Pleading"/>
        <w:numPr>
          <w:ilvl w:val="0"/>
          <w:numId w:val="0"/>
        </w:numPr>
        <w:spacing w:lineRule="auto" w:line="480"/>
        <w:ind w:hanging="0" w:start="0"/>
        <w:rPr/>
      </w:pPr>
      <w:r>
        <w:rPr/>
      </w:r>
    </w:p>
    <w:tbl>
      <w:tblPr>
        <w:tblW w:w="8850" w:type="dxa"/>
        <w:jc w:val="start"/>
        <w:tblInd w:w="0" w:type="dxa"/>
        <w:tblLayout w:type="fixed"/>
        <w:tblCellMar>
          <w:top w:w="0" w:type="dxa"/>
          <w:start w:w="30" w:type="dxa"/>
          <w:bottom w:w="0" w:type="dxa"/>
          <w:end w:w="30" w:type="dxa"/>
        </w:tblCellMar>
      </w:tblPr>
      <w:tblGrid>
        <w:gridCol w:w="1754"/>
        <w:gridCol w:w="1426"/>
        <w:gridCol w:w="14"/>
        <w:gridCol w:w="1426"/>
        <w:gridCol w:w="14"/>
        <w:gridCol w:w="1399"/>
        <w:gridCol w:w="27"/>
        <w:gridCol w:w="1413"/>
        <w:gridCol w:w="27"/>
        <w:gridCol w:w="1334"/>
        <w:gridCol w:w="16"/>
      </w:tblGrid>
      <w:tr>
        <w:trPr>
          <w:trHeight w:val="730" w:hRule="atLeast"/>
        </w:trPr>
        <w:tc>
          <w:tcPr>
            <w:tcW w:w="8850" w:type="dxa"/>
            <w:gridSpan w:val="10"/>
            <w:tcBorders>
              <w:top w:val="single" w:sz="2" w:space="0" w:color="000000"/>
              <w:start w:val="single" w:sz="2" w:space="0" w:color="000000"/>
              <w:bottom w:val="single" w:sz="2" w:space="0" w:color="000000"/>
              <w:end w:val="single" w:sz="2" w:space="0" w:color="000000"/>
            </w:tcBorders>
          </w:tcPr>
          <w:p>
            <w:pPr>
              <w:pStyle w:val="Normal"/>
              <w:jc w:val="center"/>
              <w:rPr>
                <w:b/>
                <w:color w:val="000000"/>
                <w:sz w:val="20"/>
              </w:rPr>
            </w:pPr>
            <w:r>
              <w:rPr>
                <w:b/>
                <w:color w:val="000000"/>
                <w:sz w:val="20"/>
              </w:rPr>
              <w:t>Pacific Gas and Electric</w:t>
            </w:r>
          </w:p>
          <w:p>
            <w:pPr>
              <w:pStyle w:val="Normal"/>
              <w:jc w:val="center"/>
              <w:rPr>
                <w:b/>
                <w:color w:val="000000"/>
                <w:sz w:val="20"/>
              </w:rPr>
            </w:pPr>
            <w:r>
              <w:rPr>
                <w:b/>
                <w:color w:val="000000"/>
                <w:sz w:val="20"/>
              </w:rPr>
              <w:t>EPUC Summary Results</w:t>
            </w:r>
          </w:p>
          <w:p>
            <w:pPr>
              <w:pStyle w:val="Normal"/>
              <w:jc w:val="center"/>
              <w:rPr>
                <w:b/>
                <w:color w:val="000000"/>
                <w:sz w:val="20"/>
              </w:rPr>
            </w:pPr>
            <w:r>
              <w:rPr>
                <w:b/>
                <w:color w:val="000000"/>
                <w:sz w:val="20"/>
              </w:rPr>
              <w:t>Based on 1/05/2001 rate with the 1¢/kWh EPS</w:t>
            </w:r>
          </w:p>
        </w:tc>
      </w:tr>
      <w:tr>
        <w:trPr>
          <w:trHeight w:val="247" w:hRule="atLeast"/>
        </w:trPr>
        <w:tc>
          <w:tcPr>
            <w:tcW w:w="1754" w:type="dxa"/>
            <w:tcBorders>
              <w:top w:val="single" w:sz="2" w:space="0" w:color="000000"/>
              <w:start w:val="single" w:sz="2" w:space="0" w:color="000000"/>
              <w:bottom w:val="single" w:sz="2" w:space="0" w:color="000000"/>
              <w:end w:val="single" w:sz="2" w:space="0" w:color="000000"/>
            </w:tcBorders>
          </w:tcPr>
          <w:p>
            <w:pPr>
              <w:pStyle w:val="Normal"/>
              <w:snapToGrid w:val="false"/>
              <w:jc w:val="end"/>
              <w:rPr>
                <w:b/>
                <w:color w:val="000000"/>
                <w:sz w:val="16"/>
              </w:rPr>
            </w:pPr>
            <w:r>
              <w:rPr>
                <w:b/>
                <w:color w:val="000000"/>
                <w:sz w:val="16"/>
              </w:rPr>
            </w:r>
          </w:p>
        </w:tc>
        <w:tc>
          <w:tcPr>
            <w:tcW w:w="1440" w:type="dxa"/>
            <w:gridSpan w:val="2"/>
            <w:tcBorders>
              <w:top w:val="single" w:sz="2" w:space="0" w:color="000000"/>
              <w:start w:val="single" w:sz="2" w:space="0" w:color="000000"/>
              <w:bottom w:val="single" w:sz="2" w:space="0" w:color="000000"/>
              <w:end w:val="single" w:sz="2" w:space="0" w:color="000000"/>
            </w:tcBorders>
          </w:tcPr>
          <w:p>
            <w:pPr>
              <w:pStyle w:val="Normal"/>
              <w:snapToGrid w:val="false"/>
              <w:jc w:val="end"/>
              <w:rPr>
                <w:b/>
                <w:color w:val="000000"/>
                <w:sz w:val="16"/>
              </w:rPr>
            </w:pPr>
            <w:r>
              <w:rPr>
                <w:b/>
                <w:color w:val="000000"/>
                <w:sz w:val="16"/>
              </w:rPr>
            </w:r>
          </w:p>
        </w:tc>
        <w:tc>
          <w:tcPr>
            <w:tcW w:w="1440" w:type="dxa"/>
            <w:gridSpan w:val="2"/>
            <w:tcBorders>
              <w:top w:val="single" w:sz="2" w:space="0" w:color="000000"/>
              <w:start w:val="single" w:sz="2" w:space="0" w:color="000000"/>
              <w:bottom w:val="single" w:sz="2" w:space="0" w:color="000000"/>
              <w:end w:val="single" w:sz="2" w:space="0" w:color="000000"/>
            </w:tcBorders>
          </w:tcPr>
          <w:p>
            <w:pPr>
              <w:pStyle w:val="Normal"/>
              <w:snapToGrid w:val="false"/>
              <w:jc w:val="end"/>
              <w:rPr>
                <w:b/>
                <w:color w:val="000000"/>
                <w:sz w:val="16"/>
              </w:rPr>
            </w:pPr>
            <w:r>
              <w:rPr>
                <w:b/>
                <w:color w:val="000000"/>
                <w:sz w:val="16"/>
              </w:rPr>
            </w:r>
          </w:p>
        </w:tc>
        <w:tc>
          <w:tcPr>
            <w:tcW w:w="1399"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rPr>
            </w:pPr>
            <w:r>
              <w:rPr>
                <w:color w:val="000000"/>
                <w:sz w:val="16"/>
              </w:rPr>
            </w:r>
          </w:p>
        </w:tc>
        <w:tc>
          <w:tcPr>
            <w:tcW w:w="1440" w:type="dxa"/>
            <w:gridSpan w:val="2"/>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rPr>
            </w:pPr>
            <w:r>
              <w:rPr>
                <w:color w:val="000000"/>
                <w:sz w:val="16"/>
              </w:rPr>
            </w:r>
          </w:p>
        </w:tc>
        <w:tc>
          <w:tcPr>
            <w:tcW w:w="1361" w:type="dxa"/>
            <w:gridSpan w:val="2"/>
            <w:tcBorders>
              <w:top w:val="single" w:sz="2" w:space="0" w:color="000000"/>
              <w:start w:val="single" w:sz="2" w:space="0" w:color="000000"/>
              <w:bottom w:val="single" w:sz="2" w:space="0" w:color="000000"/>
              <w:end w:val="single" w:sz="2" w:space="0" w:color="000000"/>
            </w:tcBorders>
          </w:tcPr>
          <w:p>
            <w:pPr>
              <w:pStyle w:val="Normal"/>
              <w:snapToGrid w:val="false"/>
              <w:jc w:val="end"/>
              <w:rPr>
                <w:b/>
                <w:color w:val="000000"/>
                <w:sz w:val="16"/>
              </w:rPr>
            </w:pPr>
            <w:r>
              <w:rPr>
                <w:b/>
                <w:color w:val="000000"/>
                <w:sz w:val="16"/>
              </w:rPr>
            </w:r>
          </w:p>
        </w:tc>
      </w:tr>
      <w:tr>
        <w:trPr>
          <w:trHeight w:val="247" w:hRule="atLeast"/>
        </w:trPr>
        <w:tc>
          <w:tcPr>
            <w:tcW w:w="1754" w:type="dxa"/>
            <w:tcBorders>
              <w:top w:val="single" w:sz="2" w:space="0" w:color="000000"/>
              <w:start w:val="single" w:sz="2" w:space="0" w:color="000000"/>
              <w:bottom w:val="single" w:sz="2" w:space="0" w:color="000000"/>
              <w:end w:val="single" w:sz="2" w:space="0" w:color="000000"/>
            </w:tcBorders>
          </w:tcPr>
          <w:p>
            <w:pPr>
              <w:pStyle w:val="Normal"/>
              <w:snapToGrid w:val="false"/>
              <w:jc w:val="end"/>
              <w:rPr>
                <w:b/>
                <w:color w:val="000000"/>
                <w:sz w:val="16"/>
              </w:rPr>
            </w:pPr>
            <w:r>
              <w:rPr>
                <w:b/>
                <w:color w:val="000000"/>
                <w:sz w:val="16"/>
              </w:rPr>
            </w:r>
          </w:p>
        </w:tc>
        <w:tc>
          <w:tcPr>
            <w:tcW w:w="1440" w:type="dxa"/>
            <w:gridSpan w:val="2"/>
            <w:tcBorders>
              <w:top w:val="single" w:sz="2" w:space="0" w:color="000000"/>
              <w:start w:val="single" w:sz="2" w:space="0" w:color="000000"/>
              <w:bottom w:val="single" w:sz="2" w:space="0" w:color="000000"/>
              <w:end w:val="single" w:sz="2" w:space="0" w:color="000000"/>
            </w:tcBorders>
          </w:tcPr>
          <w:p>
            <w:pPr>
              <w:pStyle w:val="Normal"/>
              <w:jc w:val="center"/>
              <w:rPr>
                <w:b/>
                <w:color w:val="000000"/>
                <w:sz w:val="16"/>
              </w:rPr>
            </w:pPr>
            <w:r>
              <w:rPr>
                <w:b/>
                <w:color w:val="000000"/>
                <w:sz w:val="16"/>
              </w:rPr>
              <w:t>Billing</w:t>
            </w:r>
          </w:p>
        </w:tc>
        <w:tc>
          <w:tcPr>
            <w:tcW w:w="1440" w:type="dxa"/>
            <w:gridSpan w:val="2"/>
            <w:tcBorders>
              <w:top w:val="single" w:sz="2" w:space="0" w:color="000000"/>
              <w:start w:val="single" w:sz="2" w:space="0" w:color="000000"/>
              <w:bottom w:val="single" w:sz="2" w:space="0" w:color="000000"/>
              <w:end w:val="single" w:sz="2" w:space="0" w:color="000000"/>
            </w:tcBorders>
          </w:tcPr>
          <w:p>
            <w:pPr>
              <w:pStyle w:val="Normal"/>
              <w:snapToGrid w:val="false"/>
              <w:jc w:val="end"/>
              <w:rPr>
                <w:b/>
                <w:color w:val="000000"/>
                <w:sz w:val="16"/>
              </w:rPr>
            </w:pPr>
            <w:r>
              <w:rPr>
                <w:b/>
                <w:color w:val="000000"/>
                <w:sz w:val="16"/>
              </w:rPr>
            </w:r>
          </w:p>
        </w:tc>
        <w:tc>
          <w:tcPr>
            <w:tcW w:w="1399" w:type="dxa"/>
            <w:tcBorders>
              <w:top w:val="single" w:sz="2" w:space="0" w:color="000000"/>
              <w:start w:val="single" w:sz="2" w:space="0" w:color="000000"/>
              <w:bottom w:val="single" w:sz="2" w:space="0" w:color="000000"/>
              <w:end w:val="single" w:sz="2" w:space="0" w:color="000000"/>
            </w:tcBorders>
          </w:tcPr>
          <w:p>
            <w:pPr>
              <w:pStyle w:val="Normal"/>
              <w:snapToGrid w:val="false"/>
              <w:jc w:val="end"/>
              <w:rPr>
                <w:b/>
                <w:color w:val="000000"/>
                <w:sz w:val="16"/>
              </w:rPr>
            </w:pPr>
            <w:r>
              <w:rPr>
                <w:b/>
                <w:color w:val="000000"/>
                <w:sz w:val="16"/>
              </w:rPr>
            </w:r>
          </w:p>
        </w:tc>
        <w:tc>
          <w:tcPr>
            <w:tcW w:w="1440" w:type="dxa"/>
            <w:gridSpan w:val="2"/>
            <w:tcBorders>
              <w:top w:val="single" w:sz="2" w:space="0" w:color="000000"/>
              <w:start w:val="single" w:sz="2" w:space="0" w:color="000000"/>
              <w:bottom w:val="single" w:sz="2" w:space="0" w:color="000000"/>
              <w:end w:val="single" w:sz="2" w:space="0" w:color="000000"/>
            </w:tcBorders>
          </w:tcPr>
          <w:p>
            <w:pPr>
              <w:pStyle w:val="Normal"/>
              <w:snapToGrid w:val="false"/>
              <w:jc w:val="end"/>
              <w:rPr>
                <w:b/>
                <w:color w:val="000000"/>
                <w:sz w:val="16"/>
              </w:rPr>
            </w:pPr>
            <w:r>
              <w:rPr>
                <w:b/>
                <w:color w:val="000000"/>
                <w:sz w:val="16"/>
              </w:rPr>
            </w:r>
          </w:p>
        </w:tc>
        <w:tc>
          <w:tcPr>
            <w:tcW w:w="1361" w:type="dxa"/>
            <w:gridSpan w:val="2"/>
            <w:tcBorders>
              <w:top w:val="single" w:sz="2" w:space="0" w:color="000000"/>
              <w:start w:val="single" w:sz="2" w:space="0" w:color="000000"/>
              <w:bottom w:val="single" w:sz="2" w:space="0" w:color="000000"/>
              <w:end w:val="single" w:sz="2" w:space="0" w:color="000000"/>
            </w:tcBorders>
          </w:tcPr>
          <w:p>
            <w:pPr>
              <w:pStyle w:val="Normal"/>
              <w:jc w:val="center"/>
              <w:rPr>
                <w:b/>
                <w:color w:val="000000"/>
                <w:sz w:val="16"/>
              </w:rPr>
            </w:pPr>
            <w:r>
              <w:rPr>
                <w:b/>
                <w:color w:val="000000"/>
                <w:sz w:val="16"/>
              </w:rPr>
              <w:t>Increase</w:t>
            </w:r>
          </w:p>
        </w:tc>
      </w:tr>
      <w:tr>
        <w:trPr>
          <w:trHeight w:val="247" w:hRule="atLeast"/>
        </w:trPr>
        <w:tc>
          <w:tcPr>
            <w:tcW w:w="1754" w:type="dxa"/>
            <w:tcBorders>
              <w:top w:val="single" w:sz="2" w:space="0" w:color="000000"/>
              <w:start w:val="single" w:sz="2" w:space="0" w:color="000000"/>
              <w:bottom w:val="single" w:sz="2" w:space="0" w:color="000000"/>
              <w:end w:val="single" w:sz="2" w:space="0" w:color="000000"/>
            </w:tcBorders>
          </w:tcPr>
          <w:p>
            <w:pPr>
              <w:pStyle w:val="Normal"/>
              <w:snapToGrid w:val="false"/>
              <w:jc w:val="end"/>
              <w:rPr>
                <w:b/>
                <w:color w:val="000000"/>
                <w:sz w:val="16"/>
              </w:rPr>
            </w:pPr>
            <w:r>
              <w:rPr>
                <w:b/>
                <w:color w:val="000000"/>
                <w:sz w:val="16"/>
              </w:rPr>
            </w:r>
          </w:p>
        </w:tc>
        <w:tc>
          <w:tcPr>
            <w:tcW w:w="1440" w:type="dxa"/>
            <w:gridSpan w:val="2"/>
            <w:tcBorders>
              <w:top w:val="single" w:sz="2" w:space="0" w:color="000000"/>
              <w:start w:val="single" w:sz="2" w:space="0" w:color="000000"/>
              <w:bottom w:val="single" w:sz="2" w:space="0" w:color="000000"/>
              <w:end w:val="single" w:sz="2" w:space="0" w:color="000000"/>
            </w:tcBorders>
          </w:tcPr>
          <w:p>
            <w:pPr>
              <w:pStyle w:val="Normal"/>
              <w:jc w:val="center"/>
              <w:rPr>
                <w:b/>
                <w:color w:val="000000"/>
                <w:sz w:val="16"/>
              </w:rPr>
            </w:pPr>
            <w:r>
              <w:rPr>
                <w:b/>
                <w:color w:val="000000"/>
                <w:sz w:val="16"/>
              </w:rPr>
              <w:t>Determinants</w:t>
            </w:r>
          </w:p>
        </w:tc>
        <w:tc>
          <w:tcPr>
            <w:tcW w:w="1440" w:type="dxa"/>
            <w:gridSpan w:val="2"/>
            <w:tcBorders>
              <w:top w:val="single" w:sz="2" w:space="0" w:color="000000"/>
              <w:start w:val="single" w:sz="2" w:space="0" w:color="000000"/>
              <w:bottom w:val="single" w:sz="2" w:space="0" w:color="000000"/>
              <w:end w:val="single" w:sz="2" w:space="0" w:color="000000"/>
            </w:tcBorders>
          </w:tcPr>
          <w:p>
            <w:pPr>
              <w:pStyle w:val="Normal"/>
              <w:jc w:val="center"/>
              <w:rPr>
                <w:b/>
                <w:color w:val="000000"/>
                <w:sz w:val="16"/>
              </w:rPr>
            </w:pPr>
            <w:r>
              <w:rPr>
                <w:b/>
                <w:color w:val="000000"/>
                <w:sz w:val="16"/>
              </w:rPr>
              <w:t>Total Current</w:t>
            </w:r>
          </w:p>
        </w:tc>
        <w:tc>
          <w:tcPr>
            <w:tcW w:w="1399" w:type="dxa"/>
            <w:tcBorders>
              <w:top w:val="single" w:sz="2" w:space="0" w:color="000000"/>
              <w:start w:val="single" w:sz="2" w:space="0" w:color="000000"/>
              <w:bottom w:val="single" w:sz="2" w:space="0" w:color="000000"/>
              <w:end w:val="single" w:sz="2" w:space="0" w:color="000000"/>
            </w:tcBorders>
          </w:tcPr>
          <w:p>
            <w:pPr>
              <w:pStyle w:val="Normal"/>
              <w:jc w:val="center"/>
              <w:rPr>
                <w:b/>
                <w:color w:val="000000"/>
                <w:sz w:val="16"/>
              </w:rPr>
            </w:pPr>
            <w:r>
              <w:rPr>
                <w:b/>
                <w:color w:val="000000"/>
                <w:sz w:val="16"/>
              </w:rPr>
              <w:t>Revenue</w:t>
            </w:r>
          </w:p>
        </w:tc>
        <w:tc>
          <w:tcPr>
            <w:tcW w:w="1440" w:type="dxa"/>
            <w:gridSpan w:val="2"/>
            <w:tcBorders>
              <w:top w:val="single" w:sz="2" w:space="0" w:color="000000"/>
              <w:start w:val="single" w:sz="2" w:space="0" w:color="000000"/>
              <w:bottom w:val="single" w:sz="2" w:space="0" w:color="000000"/>
              <w:end w:val="single" w:sz="2" w:space="0" w:color="000000"/>
            </w:tcBorders>
          </w:tcPr>
          <w:p>
            <w:pPr>
              <w:pStyle w:val="Normal"/>
              <w:jc w:val="center"/>
              <w:rPr>
                <w:b/>
                <w:color w:val="000000"/>
                <w:sz w:val="16"/>
              </w:rPr>
            </w:pPr>
            <w:r>
              <w:rPr>
                <w:b/>
                <w:color w:val="000000"/>
                <w:sz w:val="16"/>
              </w:rPr>
              <w:t>New Total</w:t>
            </w:r>
          </w:p>
        </w:tc>
        <w:tc>
          <w:tcPr>
            <w:tcW w:w="1361" w:type="dxa"/>
            <w:gridSpan w:val="2"/>
            <w:tcBorders>
              <w:top w:val="single" w:sz="2" w:space="0" w:color="000000"/>
              <w:start w:val="single" w:sz="2" w:space="0" w:color="000000"/>
              <w:bottom w:val="single" w:sz="2" w:space="0" w:color="000000"/>
              <w:end w:val="single" w:sz="2" w:space="0" w:color="000000"/>
            </w:tcBorders>
          </w:tcPr>
          <w:p>
            <w:pPr>
              <w:pStyle w:val="Normal"/>
              <w:jc w:val="center"/>
              <w:rPr>
                <w:b/>
                <w:color w:val="000000"/>
                <w:sz w:val="16"/>
              </w:rPr>
            </w:pPr>
            <w:r>
              <w:rPr>
                <w:b/>
                <w:color w:val="000000"/>
                <w:sz w:val="16"/>
              </w:rPr>
              <w:t>in Class</w:t>
            </w:r>
          </w:p>
        </w:tc>
      </w:tr>
      <w:tr>
        <w:trPr>
          <w:trHeight w:val="247" w:hRule="atLeast"/>
        </w:trPr>
        <w:tc>
          <w:tcPr>
            <w:tcW w:w="1754" w:type="dxa"/>
            <w:tcBorders>
              <w:top w:val="single" w:sz="2" w:space="0" w:color="000000"/>
              <w:start w:val="single" w:sz="2" w:space="0" w:color="000000"/>
              <w:bottom w:val="single" w:sz="2" w:space="0" w:color="000000"/>
              <w:end w:val="single" w:sz="2" w:space="0" w:color="000000"/>
            </w:tcBorders>
          </w:tcPr>
          <w:p>
            <w:pPr>
              <w:pStyle w:val="Normal"/>
              <w:rPr>
                <w:b/>
                <w:color w:val="000000"/>
                <w:sz w:val="16"/>
                <w:u w:val="single"/>
              </w:rPr>
            </w:pPr>
            <w:r>
              <w:rPr>
                <w:b/>
                <w:color w:val="000000"/>
                <w:sz w:val="16"/>
                <w:u w:val="single"/>
              </w:rPr>
              <w:t>Customer Group</w:t>
            </w:r>
          </w:p>
        </w:tc>
        <w:tc>
          <w:tcPr>
            <w:tcW w:w="1440" w:type="dxa"/>
            <w:gridSpan w:val="2"/>
            <w:tcBorders>
              <w:top w:val="single" w:sz="2" w:space="0" w:color="000000"/>
              <w:start w:val="single" w:sz="2" w:space="0" w:color="000000"/>
              <w:bottom w:val="single" w:sz="2" w:space="0" w:color="000000"/>
              <w:end w:val="single" w:sz="2" w:space="0" w:color="000000"/>
            </w:tcBorders>
          </w:tcPr>
          <w:p>
            <w:pPr>
              <w:pStyle w:val="Normal"/>
              <w:jc w:val="center"/>
              <w:rPr>
                <w:b/>
                <w:color w:val="000000"/>
                <w:sz w:val="16"/>
                <w:u w:val="single"/>
              </w:rPr>
            </w:pPr>
            <w:r>
              <w:rPr>
                <w:b/>
                <w:color w:val="000000"/>
                <w:sz w:val="16"/>
                <w:u w:val="single"/>
              </w:rPr>
              <w:t>(gWh)</w:t>
            </w:r>
          </w:p>
        </w:tc>
        <w:tc>
          <w:tcPr>
            <w:tcW w:w="1440" w:type="dxa"/>
            <w:gridSpan w:val="2"/>
            <w:tcBorders>
              <w:top w:val="single" w:sz="2" w:space="0" w:color="000000"/>
              <w:start w:val="single" w:sz="2" w:space="0" w:color="000000"/>
              <w:bottom w:val="single" w:sz="2" w:space="0" w:color="000000"/>
              <w:end w:val="single" w:sz="2" w:space="0" w:color="000000"/>
            </w:tcBorders>
          </w:tcPr>
          <w:p>
            <w:pPr>
              <w:pStyle w:val="Normal"/>
              <w:jc w:val="center"/>
              <w:rPr>
                <w:b/>
                <w:color w:val="000000"/>
                <w:sz w:val="16"/>
                <w:u w:val="single"/>
              </w:rPr>
            </w:pPr>
            <w:r>
              <w:rPr>
                <w:b/>
                <w:color w:val="000000"/>
                <w:sz w:val="16"/>
                <w:u w:val="single"/>
              </w:rPr>
              <w:t xml:space="preserve">Revenue ($MM) </w:t>
            </w:r>
          </w:p>
        </w:tc>
        <w:tc>
          <w:tcPr>
            <w:tcW w:w="1399" w:type="dxa"/>
            <w:tcBorders>
              <w:top w:val="single" w:sz="2" w:space="0" w:color="000000"/>
              <w:start w:val="single" w:sz="2" w:space="0" w:color="000000"/>
              <w:bottom w:val="single" w:sz="2" w:space="0" w:color="000000"/>
              <w:end w:val="single" w:sz="2" w:space="0" w:color="000000"/>
            </w:tcBorders>
          </w:tcPr>
          <w:p>
            <w:pPr>
              <w:pStyle w:val="Normal"/>
              <w:jc w:val="center"/>
              <w:rPr>
                <w:b/>
                <w:color w:val="000000"/>
                <w:sz w:val="16"/>
                <w:u w:val="single"/>
              </w:rPr>
            </w:pPr>
            <w:r>
              <w:rPr>
                <w:b/>
                <w:color w:val="000000"/>
                <w:sz w:val="16"/>
                <w:u w:val="single"/>
              </w:rPr>
              <w:t>Increase ($MM)</w:t>
            </w:r>
          </w:p>
        </w:tc>
        <w:tc>
          <w:tcPr>
            <w:tcW w:w="1440" w:type="dxa"/>
            <w:gridSpan w:val="2"/>
            <w:tcBorders>
              <w:top w:val="single" w:sz="2" w:space="0" w:color="000000"/>
              <w:start w:val="single" w:sz="2" w:space="0" w:color="000000"/>
              <w:bottom w:val="single" w:sz="2" w:space="0" w:color="000000"/>
              <w:end w:val="single" w:sz="2" w:space="0" w:color="000000"/>
            </w:tcBorders>
          </w:tcPr>
          <w:p>
            <w:pPr>
              <w:pStyle w:val="Normal"/>
              <w:jc w:val="center"/>
              <w:rPr>
                <w:b/>
                <w:color w:val="000000"/>
                <w:sz w:val="16"/>
                <w:u w:val="single"/>
              </w:rPr>
            </w:pPr>
            <w:r>
              <w:rPr>
                <w:b/>
                <w:color w:val="000000"/>
                <w:sz w:val="16"/>
                <w:u w:val="single"/>
              </w:rPr>
              <w:t>Revenue ($MM)</w:t>
            </w:r>
          </w:p>
        </w:tc>
        <w:tc>
          <w:tcPr>
            <w:tcW w:w="1361" w:type="dxa"/>
            <w:gridSpan w:val="2"/>
            <w:tcBorders>
              <w:top w:val="single" w:sz="2" w:space="0" w:color="000000"/>
              <w:start w:val="single" w:sz="2" w:space="0" w:color="000000"/>
              <w:bottom w:val="single" w:sz="2" w:space="0" w:color="000000"/>
              <w:end w:val="single" w:sz="2" w:space="0" w:color="000000"/>
            </w:tcBorders>
          </w:tcPr>
          <w:p>
            <w:pPr>
              <w:pStyle w:val="Normal"/>
              <w:jc w:val="center"/>
              <w:rPr>
                <w:b/>
                <w:color w:val="000000"/>
                <w:sz w:val="16"/>
                <w:u w:val="single"/>
              </w:rPr>
            </w:pPr>
            <w:r>
              <w:rPr>
                <w:b/>
                <w:color w:val="000000"/>
                <w:sz w:val="16"/>
                <w:u w:val="single"/>
              </w:rPr>
              <w:t>Avg Rate (%)</w:t>
            </w:r>
          </w:p>
        </w:tc>
      </w:tr>
      <w:tr>
        <w:trPr>
          <w:trHeight w:val="247" w:hRule="atLeast"/>
        </w:trPr>
        <w:tc>
          <w:tcPr>
            <w:tcW w:w="1754" w:type="dxa"/>
            <w:tcBorders>
              <w:top w:val="single" w:sz="2" w:space="0" w:color="000000"/>
              <w:start w:val="single" w:sz="2" w:space="0" w:color="000000"/>
              <w:bottom w:val="single" w:sz="2" w:space="0" w:color="000000"/>
              <w:end w:val="single" w:sz="2" w:space="0" w:color="000000"/>
            </w:tcBorders>
          </w:tcPr>
          <w:p>
            <w:pPr>
              <w:pStyle w:val="Normal"/>
              <w:snapToGrid w:val="false"/>
              <w:jc w:val="end"/>
              <w:rPr>
                <w:b/>
                <w:color w:val="000000"/>
                <w:sz w:val="16"/>
                <w:u w:val="single"/>
              </w:rPr>
            </w:pPr>
            <w:r>
              <w:rPr>
                <w:b/>
                <w:color w:val="000000"/>
                <w:sz w:val="16"/>
                <w:u w:val="single"/>
              </w:rPr>
            </w:r>
          </w:p>
        </w:tc>
        <w:tc>
          <w:tcPr>
            <w:tcW w:w="1440" w:type="dxa"/>
            <w:gridSpan w:val="2"/>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rPr>
            </w:pPr>
            <w:r>
              <w:rPr>
                <w:color w:val="000000"/>
                <w:sz w:val="16"/>
              </w:rPr>
            </w:r>
          </w:p>
        </w:tc>
        <w:tc>
          <w:tcPr>
            <w:tcW w:w="1440" w:type="dxa"/>
            <w:gridSpan w:val="2"/>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rPr>
            </w:pPr>
            <w:r>
              <w:rPr>
                <w:color w:val="000000"/>
                <w:sz w:val="16"/>
              </w:rPr>
            </w:r>
          </w:p>
        </w:tc>
        <w:tc>
          <w:tcPr>
            <w:tcW w:w="1399"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rPr>
            </w:pPr>
            <w:r>
              <w:rPr>
                <w:color w:val="000000"/>
                <w:sz w:val="16"/>
              </w:rPr>
            </w:r>
          </w:p>
        </w:tc>
        <w:tc>
          <w:tcPr>
            <w:tcW w:w="1440" w:type="dxa"/>
            <w:gridSpan w:val="2"/>
            <w:tcBorders>
              <w:top w:val="single" w:sz="2" w:space="0" w:color="000000"/>
              <w:start w:val="single" w:sz="2" w:space="0" w:color="000000"/>
              <w:bottom w:val="single" w:sz="2" w:space="0" w:color="000000"/>
              <w:end w:val="single" w:sz="2" w:space="0" w:color="000000"/>
            </w:tcBorders>
          </w:tcPr>
          <w:p>
            <w:pPr>
              <w:pStyle w:val="Normal"/>
              <w:snapToGrid w:val="false"/>
              <w:jc w:val="end"/>
              <w:rPr>
                <w:b/>
                <w:color w:val="000000"/>
                <w:sz w:val="16"/>
              </w:rPr>
            </w:pPr>
            <w:r>
              <w:rPr>
                <w:b/>
                <w:color w:val="000000"/>
                <w:sz w:val="16"/>
              </w:rPr>
            </w:r>
          </w:p>
        </w:tc>
        <w:tc>
          <w:tcPr>
            <w:tcW w:w="1361" w:type="dxa"/>
            <w:gridSpan w:val="2"/>
            <w:tcBorders>
              <w:top w:val="single" w:sz="2" w:space="0" w:color="000000"/>
              <w:start w:val="single" w:sz="2" w:space="0" w:color="000000"/>
              <w:bottom w:val="single" w:sz="2" w:space="0" w:color="000000"/>
              <w:end w:val="single" w:sz="2" w:space="0" w:color="000000"/>
            </w:tcBorders>
          </w:tcPr>
          <w:p>
            <w:pPr>
              <w:pStyle w:val="Normal"/>
              <w:snapToGrid w:val="false"/>
              <w:jc w:val="end"/>
              <w:rPr>
                <w:b/>
                <w:color w:val="000000"/>
                <w:sz w:val="16"/>
              </w:rPr>
            </w:pPr>
            <w:r>
              <w:rPr>
                <w:b/>
                <w:color w:val="000000"/>
                <w:sz w:val="16"/>
              </w:rPr>
            </w:r>
          </w:p>
        </w:tc>
      </w:tr>
      <w:tr>
        <w:trPr>
          <w:trHeight w:val="247" w:hRule="atLeast"/>
        </w:trPr>
        <w:tc>
          <w:tcPr>
            <w:tcW w:w="1754" w:type="dxa"/>
            <w:tcBorders>
              <w:top w:val="single" w:sz="2" w:space="0" w:color="000000"/>
              <w:start w:val="single" w:sz="2" w:space="0" w:color="000000"/>
              <w:bottom w:val="single" w:sz="2" w:space="0" w:color="000000"/>
              <w:end w:val="single" w:sz="2" w:space="0" w:color="000000"/>
            </w:tcBorders>
          </w:tcPr>
          <w:p>
            <w:pPr>
              <w:pStyle w:val="Normal"/>
              <w:rPr>
                <w:b/>
                <w:color w:val="000000"/>
                <w:sz w:val="16"/>
              </w:rPr>
            </w:pPr>
            <w:r>
              <w:rPr>
                <w:b/>
                <w:color w:val="000000"/>
                <w:sz w:val="16"/>
              </w:rPr>
              <w:t>E-1</w:t>
            </w:r>
          </w:p>
        </w:tc>
        <w:tc>
          <w:tcPr>
            <w:tcW w:w="1440" w:type="dxa"/>
            <w:gridSpan w:val="2"/>
            <w:tcBorders>
              <w:top w:val="single" w:sz="2" w:space="0" w:color="000000"/>
              <w:start w:val="single" w:sz="2" w:space="0" w:color="000000"/>
              <w:bottom w:val="single" w:sz="2" w:space="0" w:color="000000"/>
              <w:end w:val="single" w:sz="2" w:space="0" w:color="000000"/>
            </w:tcBorders>
          </w:tcPr>
          <w:p>
            <w:pPr>
              <w:pStyle w:val="Normal"/>
              <w:jc w:val="center"/>
              <w:rPr>
                <w:b/>
                <w:color w:val="000000"/>
                <w:sz w:val="16"/>
              </w:rPr>
            </w:pPr>
            <w:r>
              <w:rPr>
                <w:b/>
                <w:color w:val="000000"/>
                <w:sz w:val="16"/>
              </w:rPr>
              <w:t>23,367</w:t>
            </w:r>
          </w:p>
        </w:tc>
        <w:tc>
          <w:tcPr>
            <w:tcW w:w="1440" w:type="dxa"/>
            <w:gridSpan w:val="2"/>
            <w:tcBorders>
              <w:top w:val="single" w:sz="2" w:space="0" w:color="000000"/>
              <w:start w:val="single" w:sz="2" w:space="0" w:color="000000"/>
              <w:bottom w:val="single" w:sz="2" w:space="0" w:color="000000"/>
              <w:end w:val="single" w:sz="2" w:space="0" w:color="000000"/>
            </w:tcBorders>
          </w:tcPr>
          <w:p>
            <w:pPr>
              <w:pStyle w:val="Normal"/>
              <w:jc w:val="center"/>
              <w:rPr>
                <w:b/>
                <w:color w:val="000000"/>
                <w:sz w:val="16"/>
              </w:rPr>
            </w:pPr>
            <w:r>
              <w:rPr>
                <w:b/>
                <w:color w:val="000000"/>
                <w:sz w:val="16"/>
              </w:rPr>
              <w:t>$2,816</w:t>
            </w:r>
          </w:p>
        </w:tc>
        <w:tc>
          <w:tcPr>
            <w:tcW w:w="1399" w:type="dxa"/>
            <w:tcBorders>
              <w:top w:val="single" w:sz="2" w:space="0" w:color="000000"/>
              <w:start w:val="single" w:sz="2" w:space="0" w:color="000000"/>
              <w:bottom w:val="single" w:sz="2" w:space="0" w:color="000000"/>
              <w:end w:val="single" w:sz="2" w:space="0" w:color="000000"/>
            </w:tcBorders>
          </w:tcPr>
          <w:p>
            <w:pPr>
              <w:pStyle w:val="Normal"/>
              <w:jc w:val="center"/>
              <w:rPr>
                <w:b/>
                <w:color w:val="000000"/>
                <w:sz w:val="16"/>
              </w:rPr>
            </w:pPr>
            <w:r>
              <w:rPr>
                <w:b/>
                <w:color w:val="000000"/>
                <w:sz w:val="16"/>
              </w:rPr>
              <w:t>$650</w:t>
            </w:r>
          </w:p>
        </w:tc>
        <w:tc>
          <w:tcPr>
            <w:tcW w:w="1440" w:type="dxa"/>
            <w:gridSpan w:val="2"/>
            <w:tcBorders>
              <w:top w:val="single" w:sz="2" w:space="0" w:color="000000"/>
              <w:start w:val="single" w:sz="2" w:space="0" w:color="000000"/>
              <w:bottom w:val="single" w:sz="2" w:space="0" w:color="000000"/>
              <w:end w:val="single" w:sz="2" w:space="0" w:color="000000"/>
            </w:tcBorders>
          </w:tcPr>
          <w:p>
            <w:pPr>
              <w:pStyle w:val="Normal"/>
              <w:jc w:val="center"/>
              <w:rPr>
                <w:b/>
                <w:color w:val="000000"/>
                <w:sz w:val="16"/>
              </w:rPr>
            </w:pPr>
            <w:r>
              <w:rPr>
                <w:b/>
                <w:color w:val="000000"/>
                <w:sz w:val="16"/>
              </w:rPr>
              <w:t>$3,465</w:t>
            </w:r>
          </w:p>
        </w:tc>
        <w:tc>
          <w:tcPr>
            <w:tcW w:w="1361" w:type="dxa"/>
            <w:gridSpan w:val="2"/>
            <w:tcBorders>
              <w:top w:val="single" w:sz="2" w:space="0" w:color="000000"/>
              <w:start w:val="single" w:sz="2" w:space="0" w:color="000000"/>
              <w:bottom w:val="single" w:sz="2" w:space="0" w:color="000000"/>
              <w:end w:val="single" w:sz="2" w:space="0" w:color="000000"/>
            </w:tcBorders>
          </w:tcPr>
          <w:p>
            <w:pPr>
              <w:pStyle w:val="Normal"/>
              <w:jc w:val="center"/>
              <w:rPr>
                <w:b/>
                <w:color w:val="000000"/>
                <w:sz w:val="16"/>
              </w:rPr>
            </w:pPr>
            <w:r>
              <w:rPr>
                <w:b/>
                <w:color w:val="000000"/>
                <w:sz w:val="16"/>
              </w:rPr>
              <w:t>23.08%</w:t>
            </w:r>
          </w:p>
        </w:tc>
      </w:tr>
      <w:tr>
        <w:trPr>
          <w:trHeight w:val="247" w:hRule="atLeast"/>
        </w:trPr>
        <w:tc>
          <w:tcPr>
            <w:tcW w:w="1754" w:type="dxa"/>
            <w:tcBorders>
              <w:top w:val="single" w:sz="2" w:space="0" w:color="000000"/>
              <w:start w:val="single" w:sz="2" w:space="0" w:color="000000"/>
              <w:bottom w:val="single" w:sz="2" w:space="0" w:color="000000"/>
              <w:end w:val="single" w:sz="2" w:space="0" w:color="000000"/>
            </w:tcBorders>
          </w:tcPr>
          <w:p>
            <w:pPr>
              <w:pStyle w:val="Normal"/>
              <w:rPr>
                <w:b/>
                <w:color w:val="000000"/>
                <w:sz w:val="16"/>
              </w:rPr>
            </w:pPr>
            <w:r>
              <w:rPr>
                <w:b/>
                <w:color w:val="000000"/>
                <w:sz w:val="16"/>
              </w:rPr>
              <w:t>EL-1</w:t>
            </w:r>
          </w:p>
        </w:tc>
        <w:tc>
          <w:tcPr>
            <w:tcW w:w="1440" w:type="dxa"/>
            <w:gridSpan w:val="2"/>
            <w:tcBorders>
              <w:top w:val="single" w:sz="2" w:space="0" w:color="000000"/>
              <w:start w:val="single" w:sz="2" w:space="0" w:color="000000"/>
              <w:bottom w:val="single" w:sz="2" w:space="0" w:color="000000"/>
              <w:end w:val="single" w:sz="2" w:space="0" w:color="000000"/>
            </w:tcBorders>
          </w:tcPr>
          <w:p>
            <w:pPr>
              <w:pStyle w:val="Normal"/>
              <w:jc w:val="center"/>
              <w:rPr>
                <w:b/>
                <w:color w:val="000000"/>
                <w:sz w:val="16"/>
              </w:rPr>
            </w:pPr>
            <w:r>
              <w:rPr>
                <w:b/>
                <w:color w:val="000000"/>
                <w:sz w:val="16"/>
              </w:rPr>
              <w:t>1,922</w:t>
            </w:r>
          </w:p>
        </w:tc>
        <w:tc>
          <w:tcPr>
            <w:tcW w:w="1440" w:type="dxa"/>
            <w:gridSpan w:val="2"/>
            <w:tcBorders>
              <w:top w:val="single" w:sz="2" w:space="0" w:color="000000"/>
              <w:start w:val="single" w:sz="2" w:space="0" w:color="000000"/>
              <w:bottom w:val="single" w:sz="2" w:space="0" w:color="000000"/>
              <w:end w:val="single" w:sz="2" w:space="0" w:color="000000"/>
            </w:tcBorders>
          </w:tcPr>
          <w:p>
            <w:pPr>
              <w:pStyle w:val="Normal"/>
              <w:jc w:val="center"/>
              <w:rPr>
                <w:b/>
                <w:color w:val="000000"/>
                <w:sz w:val="16"/>
              </w:rPr>
            </w:pPr>
            <w:r>
              <w:rPr>
                <w:b/>
                <w:color w:val="000000"/>
                <w:sz w:val="16"/>
              </w:rPr>
              <w:t>$168</w:t>
            </w:r>
          </w:p>
        </w:tc>
        <w:tc>
          <w:tcPr>
            <w:tcW w:w="1399" w:type="dxa"/>
            <w:tcBorders>
              <w:top w:val="single" w:sz="2" w:space="0" w:color="000000"/>
              <w:start w:val="single" w:sz="2" w:space="0" w:color="000000"/>
              <w:bottom w:val="single" w:sz="2" w:space="0" w:color="000000"/>
              <w:end w:val="single" w:sz="2" w:space="0" w:color="000000"/>
            </w:tcBorders>
          </w:tcPr>
          <w:p>
            <w:pPr>
              <w:pStyle w:val="Normal"/>
              <w:jc w:val="center"/>
              <w:rPr>
                <w:b/>
                <w:color w:val="000000"/>
                <w:sz w:val="16"/>
              </w:rPr>
            </w:pPr>
            <w:r>
              <w:rPr>
                <w:b/>
                <w:color w:val="000000"/>
                <w:sz w:val="16"/>
              </w:rPr>
              <w:t>$0</w:t>
            </w:r>
          </w:p>
        </w:tc>
        <w:tc>
          <w:tcPr>
            <w:tcW w:w="1440" w:type="dxa"/>
            <w:gridSpan w:val="2"/>
            <w:tcBorders>
              <w:top w:val="single" w:sz="2" w:space="0" w:color="000000"/>
              <w:start w:val="single" w:sz="2" w:space="0" w:color="000000"/>
              <w:bottom w:val="single" w:sz="2" w:space="0" w:color="000000"/>
              <w:end w:val="single" w:sz="2" w:space="0" w:color="000000"/>
            </w:tcBorders>
          </w:tcPr>
          <w:p>
            <w:pPr>
              <w:pStyle w:val="Normal"/>
              <w:jc w:val="center"/>
              <w:rPr>
                <w:b/>
                <w:color w:val="000000"/>
                <w:sz w:val="16"/>
              </w:rPr>
            </w:pPr>
            <w:r>
              <w:rPr>
                <w:b/>
                <w:color w:val="000000"/>
                <w:sz w:val="16"/>
              </w:rPr>
              <w:t>$168</w:t>
            </w:r>
          </w:p>
        </w:tc>
        <w:tc>
          <w:tcPr>
            <w:tcW w:w="1361" w:type="dxa"/>
            <w:gridSpan w:val="2"/>
            <w:tcBorders>
              <w:top w:val="single" w:sz="2" w:space="0" w:color="000000"/>
              <w:start w:val="single" w:sz="2" w:space="0" w:color="000000"/>
              <w:bottom w:val="single" w:sz="2" w:space="0" w:color="000000"/>
              <w:end w:val="single" w:sz="2" w:space="0" w:color="000000"/>
            </w:tcBorders>
          </w:tcPr>
          <w:p>
            <w:pPr>
              <w:pStyle w:val="Normal"/>
              <w:jc w:val="center"/>
              <w:rPr>
                <w:b/>
                <w:color w:val="000000"/>
                <w:sz w:val="16"/>
              </w:rPr>
            </w:pPr>
            <w:r>
              <w:rPr>
                <w:b/>
                <w:color w:val="000000"/>
                <w:sz w:val="16"/>
              </w:rPr>
              <w:t>0.00%</w:t>
            </w:r>
          </w:p>
        </w:tc>
      </w:tr>
      <w:tr>
        <w:trPr>
          <w:trHeight w:val="247" w:hRule="atLeast"/>
        </w:trPr>
        <w:tc>
          <w:tcPr>
            <w:tcW w:w="1754" w:type="dxa"/>
            <w:tcBorders>
              <w:top w:val="single" w:sz="2" w:space="0" w:color="000000"/>
              <w:start w:val="single" w:sz="2" w:space="0" w:color="000000"/>
              <w:bottom w:val="single" w:sz="2" w:space="0" w:color="000000"/>
              <w:end w:val="single" w:sz="2" w:space="0" w:color="000000"/>
            </w:tcBorders>
          </w:tcPr>
          <w:p>
            <w:pPr>
              <w:pStyle w:val="Normal"/>
              <w:rPr>
                <w:b/>
                <w:color w:val="000000"/>
                <w:sz w:val="16"/>
              </w:rPr>
            </w:pPr>
            <w:r>
              <w:rPr>
                <w:b/>
                <w:color w:val="000000"/>
                <w:sz w:val="16"/>
              </w:rPr>
              <w:t>E-7 &amp; EL-7</w:t>
            </w:r>
          </w:p>
        </w:tc>
        <w:tc>
          <w:tcPr>
            <w:tcW w:w="1440" w:type="dxa"/>
            <w:gridSpan w:val="2"/>
            <w:tcBorders>
              <w:top w:val="single" w:sz="2" w:space="0" w:color="000000"/>
              <w:start w:val="single" w:sz="2" w:space="0" w:color="000000"/>
              <w:bottom w:val="single" w:sz="2" w:space="0" w:color="000000"/>
              <w:end w:val="single" w:sz="2" w:space="0" w:color="000000"/>
            </w:tcBorders>
          </w:tcPr>
          <w:p>
            <w:pPr>
              <w:pStyle w:val="Normal"/>
              <w:jc w:val="center"/>
              <w:rPr>
                <w:b/>
                <w:color w:val="000000"/>
                <w:sz w:val="16"/>
              </w:rPr>
            </w:pPr>
            <w:r>
              <w:rPr>
                <w:b/>
                <w:color w:val="000000"/>
                <w:sz w:val="16"/>
              </w:rPr>
              <w:t>1,213</w:t>
            </w:r>
          </w:p>
        </w:tc>
        <w:tc>
          <w:tcPr>
            <w:tcW w:w="1440" w:type="dxa"/>
            <w:gridSpan w:val="2"/>
            <w:tcBorders>
              <w:top w:val="single" w:sz="2" w:space="0" w:color="000000"/>
              <w:start w:val="single" w:sz="2" w:space="0" w:color="000000"/>
              <w:bottom w:val="single" w:sz="2" w:space="0" w:color="000000"/>
              <w:end w:val="single" w:sz="2" w:space="0" w:color="000000"/>
            </w:tcBorders>
          </w:tcPr>
          <w:p>
            <w:pPr>
              <w:pStyle w:val="Normal"/>
              <w:jc w:val="center"/>
              <w:rPr>
                <w:b/>
                <w:color w:val="000000"/>
                <w:sz w:val="16"/>
              </w:rPr>
            </w:pPr>
            <w:r>
              <w:rPr>
                <w:b/>
                <w:color w:val="000000"/>
                <w:sz w:val="16"/>
              </w:rPr>
              <w:t>$123</w:t>
            </w:r>
          </w:p>
        </w:tc>
        <w:tc>
          <w:tcPr>
            <w:tcW w:w="1399" w:type="dxa"/>
            <w:tcBorders>
              <w:top w:val="single" w:sz="2" w:space="0" w:color="000000"/>
              <w:start w:val="single" w:sz="2" w:space="0" w:color="000000"/>
              <w:bottom w:val="single" w:sz="2" w:space="0" w:color="000000"/>
              <w:end w:val="single" w:sz="2" w:space="0" w:color="000000"/>
            </w:tcBorders>
          </w:tcPr>
          <w:p>
            <w:pPr>
              <w:pStyle w:val="Normal"/>
              <w:jc w:val="center"/>
              <w:rPr>
                <w:b/>
                <w:color w:val="000000"/>
                <w:sz w:val="16"/>
              </w:rPr>
            </w:pPr>
            <w:r>
              <w:rPr>
                <w:b/>
                <w:color w:val="000000"/>
                <w:sz w:val="16"/>
              </w:rPr>
              <w:t>$26.5</w:t>
            </w:r>
          </w:p>
        </w:tc>
        <w:tc>
          <w:tcPr>
            <w:tcW w:w="1440" w:type="dxa"/>
            <w:gridSpan w:val="2"/>
            <w:tcBorders>
              <w:top w:val="single" w:sz="2" w:space="0" w:color="000000"/>
              <w:start w:val="single" w:sz="2" w:space="0" w:color="000000"/>
              <w:bottom w:val="single" w:sz="2" w:space="0" w:color="000000"/>
              <w:end w:val="single" w:sz="2" w:space="0" w:color="000000"/>
            </w:tcBorders>
          </w:tcPr>
          <w:p>
            <w:pPr>
              <w:pStyle w:val="Normal"/>
              <w:jc w:val="center"/>
              <w:rPr>
                <w:b/>
                <w:color w:val="000000"/>
                <w:sz w:val="16"/>
              </w:rPr>
            </w:pPr>
            <w:r>
              <w:rPr>
                <w:b/>
                <w:color w:val="000000"/>
                <w:sz w:val="16"/>
              </w:rPr>
              <w:t>$149</w:t>
            </w:r>
          </w:p>
        </w:tc>
        <w:tc>
          <w:tcPr>
            <w:tcW w:w="1361" w:type="dxa"/>
            <w:gridSpan w:val="2"/>
            <w:tcBorders>
              <w:top w:val="single" w:sz="2" w:space="0" w:color="000000"/>
              <w:start w:val="single" w:sz="2" w:space="0" w:color="000000"/>
              <w:bottom w:val="single" w:sz="2" w:space="0" w:color="000000"/>
              <w:end w:val="single" w:sz="2" w:space="0" w:color="000000"/>
            </w:tcBorders>
          </w:tcPr>
          <w:p>
            <w:pPr>
              <w:pStyle w:val="Normal"/>
              <w:jc w:val="center"/>
              <w:rPr>
                <w:b/>
                <w:color w:val="000000"/>
                <w:sz w:val="16"/>
              </w:rPr>
            </w:pPr>
            <w:r>
              <w:rPr>
                <w:b/>
                <w:color w:val="000000"/>
                <w:sz w:val="16"/>
              </w:rPr>
              <w:t>21.59%</w:t>
            </w:r>
          </w:p>
        </w:tc>
      </w:tr>
      <w:tr>
        <w:trPr>
          <w:trHeight w:val="247" w:hRule="atLeast"/>
        </w:trPr>
        <w:tc>
          <w:tcPr>
            <w:tcW w:w="1754" w:type="dxa"/>
            <w:tcBorders>
              <w:top w:val="single" w:sz="2" w:space="0" w:color="000000"/>
              <w:start w:val="single" w:sz="2" w:space="0" w:color="000000"/>
              <w:bottom w:val="single" w:sz="2" w:space="0" w:color="000000"/>
              <w:end w:val="single" w:sz="2" w:space="0" w:color="000000"/>
            </w:tcBorders>
          </w:tcPr>
          <w:p>
            <w:pPr>
              <w:pStyle w:val="Normal"/>
              <w:rPr>
                <w:b/>
                <w:color w:val="000000"/>
                <w:sz w:val="16"/>
              </w:rPr>
            </w:pPr>
            <w:r>
              <w:rPr>
                <w:b/>
                <w:color w:val="000000"/>
                <w:sz w:val="16"/>
              </w:rPr>
              <w:t>E-8</w:t>
            </w:r>
          </w:p>
        </w:tc>
        <w:tc>
          <w:tcPr>
            <w:tcW w:w="1440" w:type="dxa"/>
            <w:gridSpan w:val="2"/>
            <w:tcBorders>
              <w:top w:val="single" w:sz="2" w:space="0" w:color="000000"/>
              <w:start w:val="single" w:sz="2" w:space="0" w:color="000000"/>
              <w:bottom w:val="single" w:sz="2" w:space="0" w:color="000000"/>
              <w:end w:val="single" w:sz="2" w:space="0" w:color="000000"/>
            </w:tcBorders>
          </w:tcPr>
          <w:p>
            <w:pPr>
              <w:pStyle w:val="Normal"/>
              <w:jc w:val="center"/>
              <w:rPr>
                <w:b/>
                <w:color w:val="000000"/>
                <w:sz w:val="16"/>
              </w:rPr>
            </w:pPr>
            <w:r>
              <w:rPr>
                <w:b/>
                <w:color w:val="000000"/>
                <w:sz w:val="16"/>
              </w:rPr>
              <w:t>2,248</w:t>
            </w:r>
          </w:p>
        </w:tc>
        <w:tc>
          <w:tcPr>
            <w:tcW w:w="1440" w:type="dxa"/>
            <w:gridSpan w:val="2"/>
            <w:tcBorders>
              <w:top w:val="single" w:sz="2" w:space="0" w:color="000000"/>
              <w:start w:val="single" w:sz="2" w:space="0" w:color="000000"/>
              <w:bottom w:val="single" w:sz="2" w:space="0" w:color="000000"/>
              <w:end w:val="single" w:sz="2" w:space="0" w:color="000000"/>
            </w:tcBorders>
          </w:tcPr>
          <w:p>
            <w:pPr>
              <w:pStyle w:val="Normal"/>
              <w:jc w:val="center"/>
              <w:rPr>
                <w:b/>
                <w:color w:val="000000"/>
                <w:sz w:val="16"/>
              </w:rPr>
            </w:pPr>
            <w:r>
              <w:rPr>
                <w:b/>
                <w:color w:val="000000"/>
                <w:sz w:val="16"/>
              </w:rPr>
              <w:t>$234</w:t>
            </w:r>
          </w:p>
        </w:tc>
        <w:tc>
          <w:tcPr>
            <w:tcW w:w="1399" w:type="dxa"/>
            <w:tcBorders>
              <w:top w:val="single" w:sz="2" w:space="0" w:color="000000"/>
              <w:start w:val="single" w:sz="2" w:space="0" w:color="000000"/>
              <w:bottom w:val="single" w:sz="2" w:space="0" w:color="000000"/>
              <w:end w:val="single" w:sz="2" w:space="0" w:color="000000"/>
            </w:tcBorders>
          </w:tcPr>
          <w:p>
            <w:pPr>
              <w:pStyle w:val="Normal"/>
              <w:jc w:val="center"/>
              <w:rPr>
                <w:b/>
                <w:color w:val="000000"/>
                <w:sz w:val="16"/>
              </w:rPr>
            </w:pPr>
            <w:r>
              <w:rPr>
                <w:b/>
                <w:color w:val="000000"/>
                <w:sz w:val="16"/>
              </w:rPr>
              <w:t>$62.5</w:t>
            </w:r>
          </w:p>
        </w:tc>
        <w:tc>
          <w:tcPr>
            <w:tcW w:w="1440" w:type="dxa"/>
            <w:gridSpan w:val="2"/>
            <w:tcBorders>
              <w:top w:val="single" w:sz="2" w:space="0" w:color="000000"/>
              <w:start w:val="single" w:sz="2" w:space="0" w:color="000000"/>
              <w:bottom w:val="single" w:sz="2" w:space="0" w:color="000000"/>
              <w:end w:val="single" w:sz="2" w:space="0" w:color="000000"/>
            </w:tcBorders>
          </w:tcPr>
          <w:p>
            <w:pPr>
              <w:pStyle w:val="Normal"/>
              <w:jc w:val="center"/>
              <w:rPr>
                <w:b/>
                <w:color w:val="000000"/>
                <w:sz w:val="16"/>
              </w:rPr>
            </w:pPr>
            <w:r>
              <w:rPr>
                <w:b/>
                <w:color w:val="000000"/>
                <w:sz w:val="16"/>
              </w:rPr>
              <w:t>$296</w:t>
            </w:r>
          </w:p>
        </w:tc>
        <w:tc>
          <w:tcPr>
            <w:tcW w:w="1361" w:type="dxa"/>
            <w:gridSpan w:val="2"/>
            <w:tcBorders>
              <w:top w:val="single" w:sz="2" w:space="0" w:color="000000"/>
              <w:start w:val="single" w:sz="2" w:space="0" w:color="000000"/>
              <w:bottom w:val="single" w:sz="2" w:space="0" w:color="000000"/>
              <w:end w:val="single" w:sz="2" w:space="0" w:color="000000"/>
            </w:tcBorders>
          </w:tcPr>
          <w:p>
            <w:pPr>
              <w:pStyle w:val="Normal"/>
              <w:jc w:val="center"/>
              <w:rPr>
                <w:b/>
                <w:color w:val="000000"/>
                <w:sz w:val="16"/>
              </w:rPr>
            </w:pPr>
            <w:r>
              <w:rPr>
                <w:b/>
                <w:color w:val="000000"/>
                <w:sz w:val="16"/>
              </w:rPr>
              <w:t>26.71%</w:t>
            </w:r>
          </w:p>
        </w:tc>
      </w:tr>
      <w:tr>
        <w:trPr>
          <w:trHeight w:val="247" w:hRule="atLeast"/>
        </w:trPr>
        <w:tc>
          <w:tcPr>
            <w:tcW w:w="1754" w:type="dxa"/>
            <w:tcBorders>
              <w:top w:val="single" w:sz="2" w:space="0" w:color="000000"/>
              <w:start w:val="single" w:sz="2" w:space="0" w:color="000000"/>
              <w:bottom w:val="single" w:sz="2" w:space="0" w:color="000000"/>
              <w:end w:val="single" w:sz="2" w:space="0" w:color="000000"/>
            </w:tcBorders>
          </w:tcPr>
          <w:p>
            <w:pPr>
              <w:pStyle w:val="Normal"/>
              <w:rPr>
                <w:b/>
                <w:color w:val="000000"/>
                <w:sz w:val="16"/>
              </w:rPr>
            </w:pPr>
            <w:r>
              <w:rPr>
                <w:b/>
                <w:color w:val="000000"/>
                <w:sz w:val="16"/>
              </w:rPr>
              <w:t>EL-8</w:t>
            </w:r>
          </w:p>
        </w:tc>
        <w:tc>
          <w:tcPr>
            <w:tcW w:w="1440" w:type="dxa"/>
            <w:gridSpan w:val="2"/>
            <w:tcBorders>
              <w:top w:val="single" w:sz="2" w:space="0" w:color="000000"/>
              <w:start w:val="single" w:sz="2" w:space="0" w:color="000000"/>
              <w:bottom w:val="single" w:sz="2" w:space="0" w:color="000000"/>
              <w:end w:val="single" w:sz="2" w:space="0" w:color="000000"/>
            </w:tcBorders>
          </w:tcPr>
          <w:p>
            <w:pPr>
              <w:pStyle w:val="Normal"/>
              <w:jc w:val="center"/>
              <w:rPr>
                <w:b/>
                <w:color w:val="000000"/>
                <w:sz w:val="16"/>
              </w:rPr>
            </w:pPr>
            <w:r>
              <w:rPr>
                <w:b/>
                <w:color w:val="000000"/>
                <w:sz w:val="16"/>
              </w:rPr>
              <w:t>97</w:t>
            </w:r>
          </w:p>
        </w:tc>
        <w:tc>
          <w:tcPr>
            <w:tcW w:w="1440" w:type="dxa"/>
            <w:gridSpan w:val="2"/>
            <w:tcBorders>
              <w:top w:val="single" w:sz="2" w:space="0" w:color="000000"/>
              <w:start w:val="single" w:sz="2" w:space="0" w:color="000000"/>
              <w:bottom w:val="single" w:sz="2" w:space="0" w:color="000000"/>
              <w:end w:val="single" w:sz="2" w:space="0" w:color="000000"/>
            </w:tcBorders>
          </w:tcPr>
          <w:p>
            <w:pPr>
              <w:pStyle w:val="Normal"/>
              <w:jc w:val="center"/>
              <w:rPr>
                <w:b/>
                <w:color w:val="000000"/>
                <w:sz w:val="16"/>
              </w:rPr>
            </w:pPr>
            <w:r>
              <w:rPr>
                <w:b/>
                <w:color w:val="000000"/>
                <w:sz w:val="16"/>
              </w:rPr>
              <w:t>$7.8</w:t>
            </w:r>
          </w:p>
        </w:tc>
        <w:tc>
          <w:tcPr>
            <w:tcW w:w="1399" w:type="dxa"/>
            <w:tcBorders>
              <w:top w:val="single" w:sz="2" w:space="0" w:color="000000"/>
              <w:start w:val="single" w:sz="2" w:space="0" w:color="000000"/>
              <w:bottom w:val="single" w:sz="2" w:space="0" w:color="000000"/>
              <w:end w:val="single" w:sz="2" w:space="0" w:color="000000"/>
            </w:tcBorders>
          </w:tcPr>
          <w:p>
            <w:pPr>
              <w:pStyle w:val="Normal"/>
              <w:jc w:val="center"/>
              <w:rPr>
                <w:b/>
                <w:color w:val="000000"/>
                <w:sz w:val="16"/>
              </w:rPr>
            </w:pPr>
            <w:r>
              <w:rPr>
                <w:b/>
                <w:color w:val="000000"/>
                <w:sz w:val="16"/>
              </w:rPr>
              <w:t>$0</w:t>
            </w:r>
          </w:p>
        </w:tc>
        <w:tc>
          <w:tcPr>
            <w:tcW w:w="1440" w:type="dxa"/>
            <w:gridSpan w:val="2"/>
            <w:tcBorders>
              <w:top w:val="single" w:sz="2" w:space="0" w:color="000000"/>
              <w:start w:val="single" w:sz="2" w:space="0" w:color="000000"/>
              <w:bottom w:val="single" w:sz="2" w:space="0" w:color="000000"/>
              <w:end w:val="single" w:sz="2" w:space="0" w:color="000000"/>
            </w:tcBorders>
          </w:tcPr>
          <w:p>
            <w:pPr>
              <w:pStyle w:val="Normal"/>
              <w:jc w:val="center"/>
              <w:rPr>
                <w:b/>
                <w:color w:val="000000"/>
                <w:sz w:val="16"/>
              </w:rPr>
            </w:pPr>
            <w:r>
              <w:rPr>
                <w:b/>
                <w:color w:val="000000"/>
                <w:sz w:val="16"/>
              </w:rPr>
              <w:t>$7.3</w:t>
            </w:r>
          </w:p>
        </w:tc>
        <w:tc>
          <w:tcPr>
            <w:tcW w:w="1361" w:type="dxa"/>
            <w:gridSpan w:val="2"/>
            <w:tcBorders>
              <w:top w:val="single" w:sz="2" w:space="0" w:color="000000"/>
              <w:start w:val="single" w:sz="2" w:space="0" w:color="000000"/>
              <w:bottom w:val="single" w:sz="2" w:space="0" w:color="000000"/>
              <w:end w:val="single" w:sz="2" w:space="0" w:color="000000"/>
            </w:tcBorders>
          </w:tcPr>
          <w:p>
            <w:pPr>
              <w:pStyle w:val="Normal"/>
              <w:jc w:val="center"/>
              <w:rPr>
                <w:b/>
                <w:color w:val="000000"/>
                <w:sz w:val="16"/>
              </w:rPr>
            </w:pPr>
            <w:r>
              <w:rPr>
                <w:b/>
                <w:color w:val="000000"/>
                <w:sz w:val="16"/>
              </w:rPr>
              <w:t>0.00%</w:t>
            </w:r>
          </w:p>
        </w:tc>
      </w:tr>
      <w:tr>
        <w:trPr>
          <w:trHeight w:val="247" w:hRule="atLeast"/>
        </w:trPr>
        <w:tc>
          <w:tcPr>
            <w:tcW w:w="1754" w:type="dxa"/>
            <w:tcBorders>
              <w:top w:val="single" w:sz="2" w:space="0" w:color="000000"/>
              <w:start w:val="single" w:sz="2" w:space="0" w:color="000000"/>
              <w:bottom w:val="single" w:sz="2" w:space="0" w:color="000000"/>
              <w:end w:val="single" w:sz="2" w:space="0" w:color="000000"/>
            </w:tcBorders>
          </w:tcPr>
          <w:p>
            <w:pPr>
              <w:pStyle w:val="Normal"/>
              <w:rPr>
                <w:b/>
                <w:color w:val="000000"/>
                <w:sz w:val="16"/>
              </w:rPr>
            </w:pPr>
            <w:r>
              <w:rPr>
                <w:b/>
                <w:color w:val="000000"/>
                <w:sz w:val="16"/>
              </w:rPr>
              <w:t>A-1</w:t>
            </w:r>
          </w:p>
        </w:tc>
        <w:tc>
          <w:tcPr>
            <w:tcW w:w="1440" w:type="dxa"/>
            <w:gridSpan w:val="2"/>
            <w:tcBorders>
              <w:top w:val="single" w:sz="2" w:space="0" w:color="000000"/>
              <w:start w:val="single" w:sz="2" w:space="0" w:color="000000"/>
              <w:bottom w:val="single" w:sz="2" w:space="0" w:color="000000"/>
              <w:end w:val="single" w:sz="2" w:space="0" w:color="000000"/>
            </w:tcBorders>
          </w:tcPr>
          <w:p>
            <w:pPr>
              <w:pStyle w:val="Normal"/>
              <w:jc w:val="center"/>
              <w:rPr>
                <w:b/>
                <w:color w:val="000000"/>
                <w:sz w:val="16"/>
              </w:rPr>
            </w:pPr>
            <w:r>
              <w:rPr>
                <w:b/>
                <w:color w:val="000000"/>
                <w:sz w:val="16"/>
              </w:rPr>
              <w:t>5,906</w:t>
            </w:r>
          </w:p>
        </w:tc>
        <w:tc>
          <w:tcPr>
            <w:tcW w:w="1440" w:type="dxa"/>
            <w:gridSpan w:val="2"/>
            <w:tcBorders>
              <w:top w:val="single" w:sz="2" w:space="0" w:color="000000"/>
              <w:start w:val="single" w:sz="2" w:space="0" w:color="000000"/>
              <w:bottom w:val="single" w:sz="2" w:space="0" w:color="000000"/>
              <w:end w:val="single" w:sz="2" w:space="0" w:color="000000"/>
            </w:tcBorders>
          </w:tcPr>
          <w:p>
            <w:pPr>
              <w:pStyle w:val="Normal"/>
              <w:jc w:val="center"/>
              <w:rPr>
                <w:b/>
                <w:color w:val="000000"/>
                <w:sz w:val="16"/>
              </w:rPr>
            </w:pPr>
            <w:r>
              <w:rPr>
                <w:b/>
                <w:color w:val="000000"/>
                <w:sz w:val="16"/>
              </w:rPr>
              <w:t>$769</w:t>
            </w:r>
          </w:p>
        </w:tc>
        <w:tc>
          <w:tcPr>
            <w:tcW w:w="1399" w:type="dxa"/>
            <w:tcBorders>
              <w:top w:val="single" w:sz="2" w:space="0" w:color="000000"/>
              <w:start w:val="single" w:sz="2" w:space="0" w:color="000000"/>
              <w:bottom w:val="single" w:sz="2" w:space="0" w:color="000000"/>
              <w:end w:val="single" w:sz="2" w:space="0" w:color="000000"/>
            </w:tcBorders>
          </w:tcPr>
          <w:p>
            <w:pPr>
              <w:pStyle w:val="Normal"/>
              <w:jc w:val="center"/>
              <w:rPr>
                <w:b/>
                <w:color w:val="000000"/>
                <w:sz w:val="16"/>
              </w:rPr>
            </w:pPr>
            <w:r>
              <w:rPr>
                <w:b/>
                <w:color w:val="000000"/>
                <w:sz w:val="16"/>
              </w:rPr>
              <w:t>$209</w:t>
            </w:r>
          </w:p>
        </w:tc>
        <w:tc>
          <w:tcPr>
            <w:tcW w:w="1440" w:type="dxa"/>
            <w:gridSpan w:val="2"/>
            <w:tcBorders>
              <w:top w:val="single" w:sz="2" w:space="0" w:color="000000"/>
              <w:start w:val="single" w:sz="2" w:space="0" w:color="000000"/>
              <w:bottom w:val="single" w:sz="2" w:space="0" w:color="000000"/>
              <w:end w:val="single" w:sz="2" w:space="0" w:color="000000"/>
            </w:tcBorders>
          </w:tcPr>
          <w:p>
            <w:pPr>
              <w:pStyle w:val="Normal"/>
              <w:jc w:val="center"/>
              <w:rPr>
                <w:b/>
                <w:color w:val="000000"/>
                <w:sz w:val="16"/>
              </w:rPr>
            </w:pPr>
            <w:r>
              <w:rPr>
                <w:b/>
                <w:color w:val="000000"/>
                <w:sz w:val="16"/>
              </w:rPr>
              <w:t>$979</w:t>
            </w:r>
          </w:p>
        </w:tc>
        <w:tc>
          <w:tcPr>
            <w:tcW w:w="1361" w:type="dxa"/>
            <w:gridSpan w:val="2"/>
            <w:tcBorders>
              <w:top w:val="single" w:sz="2" w:space="0" w:color="000000"/>
              <w:start w:val="single" w:sz="2" w:space="0" w:color="000000"/>
              <w:bottom w:val="single" w:sz="2" w:space="0" w:color="000000"/>
              <w:end w:val="single" w:sz="2" w:space="0" w:color="000000"/>
            </w:tcBorders>
          </w:tcPr>
          <w:p>
            <w:pPr>
              <w:pStyle w:val="Normal"/>
              <w:jc w:val="center"/>
              <w:rPr>
                <w:b/>
                <w:color w:val="000000"/>
                <w:sz w:val="16"/>
              </w:rPr>
            </w:pPr>
            <w:r>
              <w:rPr>
                <w:b/>
                <w:color w:val="000000"/>
                <w:sz w:val="16"/>
              </w:rPr>
              <w:t>27.24%</w:t>
            </w:r>
          </w:p>
        </w:tc>
      </w:tr>
      <w:tr>
        <w:trPr>
          <w:trHeight w:val="247" w:hRule="atLeast"/>
        </w:trPr>
        <w:tc>
          <w:tcPr>
            <w:tcW w:w="1754" w:type="dxa"/>
            <w:tcBorders>
              <w:top w:val="single" w:sz="2" w:space="0" w:color="000000"/>
              <w:start w:val="single" w:sz="2" w:space="0" w:color="000000"/>
              <w:bottom w:val="single" w:sz="2" w:space="0" w:color="000000"/>
              <w:end w:val="single" w:sz="2" w:space="0" w:color="000000"/>
            </w:tcBorders>
          </w:tcPr>
          <w:p>
            <w:pPr>
              <w:pStyle w:val="Normal"/>
              <w:rPr>
                <w:b/>
                <w:color w:val="000000"/>
                <w:sz w:val="16"/>
              </w:rPr>
            </w:pPr>
            <w:r>
              <w:rPr>
                <w:b/>
                <w:color w:val="000000"/>
                <w:sz w:val="16"/>
              </w:rPr>
              <w:t>A-6</w:t>
            </w:r>
          </w:p>
        </w:tc>
        <w:tc>
          <w:tcPr>
            <w:tcW w:w="1440" w:type="dxa"/>
            <w:gridSpan w:val="2"/>
            <w:tcBorders>
              <w:top w:val="single" w:sz="2" w:space="0" w:color="000000"/>
              <w:start w:val="single" w:sz="2" w:space="0" w:color="000000"/>
              <w:bottom w:val="single" w:sz="2" w:space="0" w:color="000000"/>
              <w:end w:val="single" w:sz="2" w:space="0" w:color="000000"/>
            </w:tcBorders>
          </w:tcPr>
          <w:p>
            <w:pPr>
              <w:pStyle w:val="Normal"/>
              <w:jc w:val="center"/>
              <w:rPr>
                <w:b/>
                <w:color w:val="000000"/>
                <w:sz w:val="16"/>
              </w:rPr>
            </w:pPr>
            <w:r>
              <w:rPr>
                <w:b/>
                <w:color w:val="000000"/>
                <w:sz w:val="16"/>
              </w:rPr>
              <w:t>1,973</w:t>
            </w:r>
          </w:p>
        </w:tc>
        <w:tc>
          <w:tcPr>
            <w:tcW w:w="1440" w:type="dxa"/>
            <w:gridSpan w:val="2"/>
            <w:tcBorders>
              <w:top w:val="single" w:sz="2" w:space="0" w:color="000000"/>
              <w:start w:val="single" w:sz="2" w:space="0" w:color="000000"/>
              <w:bottom w:val="single" w:sz="2" w:space="0" w:color="000000"/>
              <w:end w:val="single" w:sz="2" w:space="0" w:color="000000"/>
            </w:tcBorders>
          </w:tcPr>
          <w:p>
            <w:pPr>
              <w:pStyle w:val="Normal"/>
              <w:jc w:val="center"/>
              <w:rPr>
                <w:b/>
                <w:color w:val="000000"/>
                <w:sz w:val="16"/>
              </w:rPr>
            </w:pPr>
            <w:r>
              <w:rPr>
                <w:b/>
                <w:color w:val="000000"/>
                <w:sz w:val="16"/>
              </w:rPr>
              <w:t>$195</w:t>
            </w:r>
          </w:p>
        </w:tc>
        <w:tc>
          <w:tcPr>
            <w:tcW w:w="1399" w:type="dxa"/>
            <w:tcBorders>
              <w:top w:val="single" w:sz="2" w:space="0" w:color="000000"/>
              <w:start w:val="single" w:sz="2" w:space="0" w:color="000000"/>
              <w:bottom w:val="single" w:sz="2" w:space="0" w:color="000000"/>
              <w:end w:val="single" w:sz="2" w:space="0" w:color="000000"/>
            </w:tcBorders>
          </w:tcPr>
          <w:p>
            <w:pPr>
              <w:pStyle w:val="Normal"/>
              <w:jc w:val="center"/>
              <w:rPr>
                <w:b/>
                <w:color w:val="000000"/>
                <w:sz w:val="16"/>
              </w:rPr>
            </w:pPr>
            <w:r>
              <w:rPr>
                <w:b/>
                <w:color w:val="000000"/>
                <w:sz w:val="16"/>
              </w:rPr>
              <w:t>$58.5</w:t>
            </w:r>
          </w:p>
        </w:tc>
        <w:tc>
          <w:tcPr>
            <w:tcW w:w="1440" w:type="dxa"/>
            <w:gridSpan w:val="2"/>
            <w:tcBorders>
              <w:top w:val="single" w:sz="2" w:space="0" w:color="000000"/>
              <w:start w:val="single" w:sz="2" w:space="0" w:color="000000"/>
              <w:bottom w:val="single" w:sz="2" w:space="0" w:color="000000"/>
              <w:end w:val="single" w:sz="2" w:space="0" w:color="000000"/>
            </w:tcBorders>
          </w:tcPr>
          <w:p>
            <w:pPr>
              <w:pStyle w:val="Normal"/>
              <w:jc w:val="center"/>
              <w:rPr>
                <w:b/>
                <w:color w:val="000000"/>
                <w:sz w:val="16"/>
              </w:rPr>
            </w:pPr>
            <w:r>
              <w:rPr>
                <w:b/>
                <w:color w:val="000000"/>
                <w:sz w:val="16"/>
              </w:rPr>
              <w:t>$254</w:t>
            </w:r>
          </w:p>
        </w:tc>
        <w:tc>
          <w:tcPr>
            <w:tcW w:w="1361" w:type="dxa"/>
            <w:gridSpan w:val="2"/>
            <w:tcBorders>
              <w:top w:val="single" w:sz="2" w:space="0" w:color="000000"/>
              <w:start w:val="single" w:sz="2" w:space="0" w:color="000000"/>
              <w:bottom w:val="single" w:sz="2" w:space="0" w:color="000000"/>
              <w:end w:val="single" w:sz="2" w:space="0" w:color="000000"/>
            </w:tcBorders>
          </w:tcPr>
          <w:p>
            <w:pPr>
              <w:pStyle w:val="Normal"/>
              <w:jc w:val="center"/>
              <w:rPr>
                <w:b/>
                <w:color w:val="000000"/>
                <w:sz w:val="16"/>
              </w:rPr>
            </w:pPr>
            <w:r>
              <w:rPr>
                <w:b/>
                <w:color w:val="000000"/>
                <w:sz w:val="16"/>
              </w:rPr>
              <w:t>29.95%</w:t>
            </w:r>
          </w:p>
        </w:tc>
      </w:tr>
      <w:tr>
        <w:trPr>
          <w:trHeight w:val="247" w:hRule="atLeast"/>
        </w:trPr>
        <w:tc>
          <w:tcPr>
            <w:tcW w:w="1754" w:type="dxa"/>
            <w:tcBorders>
              <w:top w:val="single" w:sz="2" w:space="0" w:color="000000"/>
              <w:start w:val="single" w:sz="2" w:space="0" w:color="000000"/>
              <w:bottom w:val="single" w:sz="2" w:space="0" w:color="000000"/>
              <w:end w:val="single" w:sz="2" w:space="0" w:color="000000"/>
            </w:tcBorders>
          </w:tcPr>
          <w:p>
            <w:pPr>
              <w:pStyle w:val="Normal"/>
              <w:rPr>
                <w:b/>
                <w:color w:val="000000"/>
                <w:sz w:val="16"/>
              </w:rPr>
            </w:pPr>
            <w:r>
              <w:rPr>
                <w:b/>
                <w:color w:val="000000"/>
                <w:sz w:val="16"/>
              </w:rPr>
              <w:t>A-15</w:t>
            </w:r>
          </w:p>
        </w:tc>
        <w:tc>
          <w:tcPr>
            <w:tcW w:w="1440" w:type="dxa"/>
            <w:gridSpan w:val="2"/>
            <w:tcBorders>
              <w:top w:val="single" w:sz="2" w:space="0" w:color="000000"/>
              <w:start w:val="single" w:sz="2" w:space="0" w:color="000000"/>
              <w:bottom w:val="single" w:sz="2" w:space="0" w:color="000000"/>
              <w:end w:val="single" w:sz="2" w:space="0" w:color="000000"/>
            </w:tcBorders>
          </w:tcPr>
          <w:p>
            <w:pPr>
              <w:pStyle w:val="Normal"/>
              <w:jc w:val="center"/>
              <w:rPr>
                <w:b/>
                <w:color w:val="000000"/>
                <w:sz w:val="16"/>
              </w:rPr>
            </w:pPr>
            <w:r>
              <w:rPr>
                <w:b/>
                <w:color w:val="000000"/>
                <w:sz w:val="16"/>
              </w:rPr>
              <w:t>1</w:t>
            </w:r>
          </w:p>
        </w:tc>
        <w:tc>
          <w:tcPr>
            <w:tcW w:w="1440" w:type="dxa"/>
            <w:gridSpan w:val="2"/>
            <w:tcBorders>
              <w:top w:val="single" w:sz="2" w:space="0" w:color="000000"/>
              <w:start w:val="single" w:sz="2" w:space="0" w:color="000000"/>
              <w:bottom w:val="single" w:sz="2" w:space="0" w:color="000000"/>
              <w:end w:val="single" w:sz="2" w:space="0" w:color="000000"/>
            </w:tcBorders>
          </w:tcPr>
          <w:p>
            <w:pPr>
              <w:pStyle w:val="Normal"/>
              <w:jc w:val="center"/>
              <w:rPr>
                <w:b/>
                <w:color w:val="000000"/>
                <w:sz w:val="16"/>
              </w:rPr>
            </w:pPr>
            <w:r>
              <w:rPr>
                <w:b/>
                <w:color w:val="000000"/>
                <w:sz w:val="16"/>
              </w:rPr>
              <w:t>$0.4</w:t>
            </w:r>
          </w:p>
        </w:tc>
        <w:tc>
          <w:tcPr>
            <w:tcW w:w="1399" w:type="dxa"/>
            <w:tcBorders>
              <w:top w:val="single" w:sz="2" w:space="0" w:color="000000"/>
              <w:start w:val="single" w:sz="2" w:space="0" w:color="000000"/>
              <w:bottom w:val="single" w:sz="2" w:space="0" w:color="000000"/>
              <w:end w:val="single" w:sz="2" w:space="0" w:color="000000"/>
            </w:tcBorders>
          </w:tcPr>
          <w:p>
            <w:pPr>
              <w:pStyle w:val="Normal"/>
              <w:jc w:val="center"/>
              <w:rPr>
                <w:b/>
                <w:color w:val="000000"/>
                <w:sz w:val="16"/>
              </w:rPr>
            </w:pPr>
            <w:r>
              <w:rPr>
                <w:b/>
                <w:color w:val="000000"/>
                <w:sz w:val="16"/>
              </w:rPr>
              <w:t>$0.04</w:t>
            </w:r>
          </w:p>
        </w:tc>
        <w:tc>
          <w:tcPr>
            <w:tcW w:w="1440" w:type="dxa"/>
            <w:gridSpan w:val="2"/>
            <w:tcBorders>
              <w:top w:val="single" w:sz="2" w:space="0" w:color="000000"/>
              <w:start w:val="single" w:sz="2" w:space="0" w:color="000000"/>
              <w:bottom w:val="single" w:sz="2" w:space="0" w:color="000000"/>
              <w:end w:val="single" w:sz="2" w:space="0" w:color="000000"/>
            </w:tcBorders>
          </w:tcPr>
          <w:p>
            <w:pPr>
              <w:pStyle w:val="Normal"/>
              <w:jc w:val="center"/>
              <w:rPr>
                <w:b/>
                <w:color w:val="000000"/>
                <w:sz w:val="16"/>
              </w:rPr>
            </w:pPr>
            <w:r>
              <w:rPr>
                <w:b/>
                <w:color w:val="000000"/>
                <w:sz w:val="16"/>
              </w:rPr>
              <w:t>$0.4</w:t>
            </w:r>
          </w:p>
        </w:tc>
        <w:tc>
          <w:tcPr>
            <w:tcW w:w="1361" w:type="dxa"/>
            <w:gridSpan w:val="2"/>
            <w:tcBorders>
              <w:top w:val="single" w:sz="2" w:space="0" w:color="000000"/>
              <w:start w:val="single" w:sz="2" w:space="0" w:color="000000"/>
              <w:bottom w:val="single" w:sz="2" w:space="0" w:color="000000"/>
              <w:end w:val="single" w:sz="2" w:space="0" w:color="000000"/>
            </w:tcBorders>
          </w:tcPr>
          <w:p>
            <w:pPr>
              <w:pStyle w:val="Normal"/>
              <w:jc w:val="center"/>
              <w:rPr>
                <w:b/>
                <w:color w:val="000000"/>
                <w:sz w:val="16"/>
              </w:rPr>
            </w:pPr>
            <w:r>
              <w:rPr>
                <w:b/>
                <w:color w:val="000000"/>
                <w:sz w:val="16"/>
              </w:rPr>
              <w:t>11.64%</w:t>
            </w:r>
          </w:p>
        </w:tc>
      </w:tr>
      <w:tr>
        <w:trPr>
          <w:trHeight w:val="247" w:hRule="atLeast"/>
        </w:trPr>
        <w:tc>
          <w:tcPr>
            <w:tcW w:w="1754" w:type="dxa"/>
            <w:tcBorders>
              <w:top w:val="single" w:sz="2" w:space="0" w:color="000000"/>
              <w:start w:val="single" w:sz="2" w:space="0" w:color="000000"/>
              <w:bottom w:val="single" w:sz="2" w:space="0" w:color="000000"/>
              <w:end w:val="single" w:sz="2" w:space="0" w:color="000000"/>
            </w:tcBorders>
          </w:tcPr>
          <w:p>
            <w:pPr>
              <w:pStyle w:val="Normal"/>
              <w:rPr>
                <w:b/>
                <w:color w:val="000000"/>
                <w:sz w:val="16"/>
              </w:rPr>
            </w:pPr>
            <w:r>
              <w:rPr>
                <w:b/>
                <w:color w:val="000000"/>
                <w:sz w:val="16"/>
              </w:rPr>
              <w:t>TC-1</w:t>
            </w:r>
          </w:p>
        </w:tc>
        <w:tc>
          <w:tcPr>
            <w:tcW w:w="1440" w:type="dxa"/>
            <w:gridSpan w:val="2"/>
            <w:tcBorders>
              <w:top w:val="single" w:sz="2" w:space="0" w:color="000000"/>
              <w:start w:val="single" w:sz="2" w:space="0" w:color="000000"/>
              <w:bottom w:val="single" w:sz="2" w:space="0" w:color="000000"/>
              <w:end w:val="single" w:sz="2" w:space="0" w:color="000000"/>
            </w:tcBorders>
          </w:tcPr>
          <w:p>
            <w:pPr>
              <w:pStyle w:val="Normal"/>
              <w:jc w:val="center"/>
              <w:rPr>
                <w:b/>
                <w:color w:val="000000"/>
                <w:sz w:val="16"/>
              </w:rPr>
            </w:pPr>
            <w:r>
              <w:rPr>
                <w:b/>
                <w:color w:val="000000"/>
                <w:sz w:val="16"/>
              </w:rPr>
              <w:t>121</w:t>
            </w:r>
          </w:p>
        </w:tc>
        <w:tc>
          <w:tcPr>
            <w:tcW w:w="1440" w:type="dxa"/>
            <w:gridSpan w:val="2"/>
            <w:tcBorders>
              <w:top w:val="single" w:sz="2" w:space="0" w:color="000000"/>
              <w:start w:val="single" w:sz="2" w:space="0" w:color="000000"/>
              <w:bottom w:val="single" w:sz="2" w:space="0" w:color="000000"/>
              <w:end w:val="single" w:sz="2" w:space="0" w:color="000000"/>
            </w:tcBorders>
          </w:tcPr>
          <w:p>
            <w:pPr>
              <w:pStyle w:val="Normal"/>
              <w:jc w:val="center"/>
              <w:rPr>
                <w:b/>
                <w:color w:val="000000"/>
                <w:sz w:val="16"/>
              </w:rPr>
            </w:pPr>
            <w:r>
              <w:rPr>
                <w:b/>
                <w:color w:val="000000"/>
                <w:sz w:val="16"/>
              </w:rPr>
              <w:t>$14.6</w:t>
            </w:r>
          </w:p>
        </w:tc>
        <w:tc>
          <w:tcPr>
            <w:tcW w:w="1399" w:type="dxa"/>
            <w:tcBorders>
              <w:top w:val="single" w:sz="2" w:space="0" w:color="000000"/>
              <w:start w:val="single" w:sz="2" w:space="0" w:color="000000"/>
              <w:bottom w:val="single" w:sz="2" w:space="0" w:color="000000"/>
              <w:end w:val="single" w:sz="2" w:space="0" w:color="000000"/>
            </w:tcBorders>
          </w:tcPr>
          <w:p>
            <w:pPr>
              <w:pStyle w:val="Normal"/>
              <w:jc w:val="center"/>
              <w:rPr>
                <w:b/>
                <w:color w:val="000000"/>
                <w:sz w:val="16"/>
              </w:rPr>
            </w:pPr>
            <w:r>
              <w:rPr>
                <w:b/>
                <w:color w:val="000000"/>
                <w:sz w:val="16"/>
              </w:rPr>
              <w:t>$3.1</w:t>
            </w:r>
          </w:p>
        </w:tc>
        <w:tc>
          <w:tcPr>
            <w:tcW w:w="1440" w:type="dxa"/>
            <w:gridSpan w:val="2"/>
            <w:tcBorders>
              <w:top w:val="single" w:sz="2" w:space="0" w:color="000000"/>
              <w:start w:val="single" w:sz="2" w:space="0" w:color="000000"/>
              <w:bottom w:val="single" w:sz="2" w:space="0" w:color="000000"/>
              <w:end w:val="single" w:sz="2" w:space="0" w:color="000000"/>
            </w:tcBorders>
          </w:tcPr>
          <w:p>
            <w:pPr>
              <w:pStyle w:val="Normal"/>
              <w:jc w:val="center"/>
              <w:rPr>
                <w:b/>
                <w:color w:val="000000"/>
                <w:sz w:val="16"/>
              </w:rPr>
            </w:pPr>
            <w:r>
              <w:rPr>
                <w:b/>
                <w:color w:val="000000"/>
                <w:sz w:val="16"/>
              </w:rPr>
              <w:t>$17.7</w:t>
            </w:r>
          </w:p>
        </w:tc>
        <w:tc>
          <w:tcPr>
            <w:tcW w:w="1361" w:type="dxa"/>
            <w:gridSpan w:val="2"/>
            <w:tcBorders>
              <w:top w:val="single" w:sz="2" w:space="0" w:color="000000"/>
              <w:start w:val="single" w:sz="2" w:space="0" w:color="000000"/>
              <w:bottom w:val="single" w:sz="2" w:space="0" w:color="000000"/>
              <w:end w:val="single" w:sz="2" w:space="0" w:color="000000"/>
            </w:tcBorders>
          </w:tcPr>
          <w:p>
            <w:pPr>
              <w:pStyle w:val="Normal"/>
              <w:jc w:val="center"/>
              <w:rPr>
                <w:b/>
                <w:color w:val="000000"/>
                <w:sz w:val="16"/>
              </w:rPr>
            </w:pPr>
            <w:r>
              <w:rPr>
                <w:b/>
                <w:color w:val="000000"/>
                <w:sz w:val="16"/>
              </w:rPr>
              <w:t>21.53%</w:t>
            </w:r>
          </w:p>
        </w:tc>
      </w:tr>
      <w:tr>
        <w:trPr>
          <w:trHeight w:val="247" w:hRule="atLeast"/>
        </w:trPr>
        <w:tc>
          <w:tcPr>
            <w:tcW w:w="1754" w:type="dxa"/>
            <w:tcBorders>
              <w:top w:val="single" w:sz="2" w:space="0" w:color="000000"/>
              <w:start w:val="single" w:sz="2" w:space="0" w:color="000000"/>
              <w:bottom w:val="single" w:sz="2" w:space="0" w:color="000000"/>
              <w:end w:val="single" w:sz="2" w:space="0" w:color="000000"/>
            </w:tcBorders>
          </w:tcPr>
          <w:p>
            <w:pPr>
              <w:pStyle w:val="Normal"/>
              <w:rPr>
                <w:b/>
                <w:color w:val="000000"/>
                <w:sz w:val="16"/>
              </w:rPr>
            </w:pPr>
            <w:r>
              <w:rPr>
                <w:b/>
                <w:color w:val="000000"/>
                <w:sz w:val="16"/>
              </w:rPr>
              <w:t>A-10T/P</w:t>
            </w:r>
          </w:p>
        </w:tc>
        <w:tc>
          <w:tcPr>
            <w:tcW w:w="1440" w:type="dxa"/>
            <w:gridSpan w:val="2"/>
            <w:tcBorders>
              <w:top w:val="single" w:sz="2" w:space="0" w:color="000000"/>
              <w:start w:val="single" w:sz="2" w:space="0" w:color="000000"/>
              <w:bottom w:val="single" w:sz="2" w:space="0" w:color="000000"/>
              <w:end w:val="single" w:sz="2" w:space="0" w:color="000000"/>
            </w:tcBorders>
          </w:tcPr>
          <w:p>
            <w:pPr>
              <w:pStyle w:val="Normal"/>
              <w:jc w:val="center"/>
              <w:rPr>
                <w:b/>
                <w:color w:val="000000"/>
                <w:sz w:val="16"/>
              </w:rPr>
            </w:pPr>
            <w:r>
              <w:rPr>
                <w:b/>
                <w:color w:val="000000"/>
                <w:sz w:val="16"/>
              </w:rPr>
              <w:t>91</w:t>
            </w:r>
          </w:p>
        </w:tc>
        <w:tc>
          <w:tcPr>
            <w:tcW w:w="1440" w:type="dxa"/>
            <w:gridSpan w:val="2"/>
            <w:tcBorders>
              <w:top w:val="single" w:sz="2" w:space="0" w:color="000000"/>
              <w:start w:val="single" w:sz="2" w:space="0" w:color="000000"/>
              <w:bottom w:val="single" w:sz="2" w:space="0" w:color="000000"/>
              <w:end w:val="single" w:sz="2" w:space="0" w:color="000000"/>
            </w:tcBorders>
          </w:tcPr>
          <w:p>
            <w:pPr>
              <w:pStyle w:val="Normal"/>
              <w:jc w:val="center"/>
              <w:rPr>
                <w:b/>
                <w:color w:val="000000"/>
                <w:sz w:val="16"/>
              </w:rPr>
            </w:pPr>
            <w:r>
              <w:rPr>
                <w:b/>
                <w:color w:val="000000"/>
                <w:sz w:val="16"/>
              </w:rPr>
              <w:t>$9.4</w:t>
            </w:r>
          </w:p>
        </w:tc>
        <w:tc>
          <w:tcPr>
            <w:tcW w:w="1399" w:type="dxa"/>
            <w:tcBorders>
              <w:top w:val="single" w:sz="2" w:space="0" w:color="000000"/>
              <w:start w:val="single" w:sz="2" w:space="0" w:color="000000"/>
              <w:bottom w:val="single" w:sz="2" w:space="0" w:color="000000"/>
              <w:end w:val="single" w:sz="2" w:space="0" w:color="000000"/>
            </w:tcBorders>
          </w:tcPr>
          <w:p>
            <w:pPr>
              <w:pStyle w:val="Normal"/>
              <w:jc w:val="center"/>
              <w:rPr>
                <w:b/>
                <w:color w:val="000000"/>
                <w:sz w:val="16"/>
              </w:rPr>
            </w:pPr>
            <w:r>
              <w:rPr>
                <w:b/>
                <w:color w:val="000000"/>
                <w:sz w:val="16"/>
              </w:rPr>
              <w:t>$3.3</w:t>
            </w:r>
          </w:p>
        </w:tc>
        <w:tc>
          <w:tcPr>
            <w:tcW w:w="1440" w:type="dxa"/>
            <w:gridSpan w:val="2"/>
            <w:tcBorders>
              <w:top w:val="single" w:sz="2" w:space="0" w:color="000000"/>
              <w:start w:val="single" w:sz="2" w:space="0" w:color="000000"/>
              <w:bottom w:val="single" w:sz="2" w:space="0" w:color="000000"/>
              <w:end w:val="single" w:sz="2" w:space="0" w:color="000000"/>
            </w:tcBorders>
          </w:tcPr>
          <w:p>
            <w:pPr>
              <w:pStyle w:val="Normal"/>
              <w:jc w:val="center"/>
              <w:rPr>
                <w:b/>
                <w:color w:val="000000"/>
                <w:sz w:val="16"/>
              </w:rPr>
            </w:pPr>
            <w:r>
              <w:rPr>
                <w:b/>
                <w:color w:val="000000"/>
                <w:sz w:val="16"/>
              </w:rPr>
              <w:t>$12.7</w:t>
            </w:r>
          </w:p>
        </w:tc>
        <w:tc>
          <w:tcPr>
            <w:tcW w:w="1361" w:type="dxa"/>
            <w:gridSpan w:val="2"/>
            <w:tcBorders>
              <w:top w:val="single" w:sz="2" w:space="0" w:color="000000"/>
              <w:start w:val="single" w:sz="2" w:space="0" w:color="000000"/>
              <w:bottom w:val="single" w:sz="2" w:space="0" w:color="000000"/>
              <w:end w:val="single" w:sz="2" w:space="0" w:color="000000"/>
            </w:tcBorders>
          </w:tcPr>
          <w:p>
            <w:pPr>
              <w:pStyle w:val="Normal"/>
              <w:jc w:val="center"/>
              <w:rPr>
                <w:b/>
                <w:color w:val="000000"/>
                <w:sz w:val="16"/>
              </w:rPr>
            </w:pPr>
            <w:r>
              <w:rPr>
                <w:b/>
                <w:color w:val="000000"/>
                <w:sz w:val="16"/>
              </w:rPr>
              <w:t>35.48%</w:t>
            </w:r>
          </w:p>
        </w:tc>
      </w:tr>
      <w:tr>
        <w:trPr>
          <w:trHeight w:val="247" w:hRule="atLeast"/>
        </w:trPr>
        <w:tc>
          <w:tcPr>
            <w:tcW w:w="1754" w:type="dxa"/>
            <w:tcBorders>
              <w:top w:val="single" w:sz="2" w:space="0" w:color="000000"/>
              <w:start w:val="single" w:sz="2" w:space="0" w:color="000000"/>
              <w:bottom w:val="single" w:sz="2" w:space="0" w:color="000000"/>
              <w:end w:val="single" w:sz="2" w:space="0" w:color="000000"/>
            </w:tcBorders>
          </w:tcPr>
          <w:p>
            <w:pPr>
              <w:pStyle w:val="Normal"/>
              <w:rPr>
                <w:b/>
                <w:color w:val="000000"/>
                <w:sz w:val="16"/>
              </w:rPr>
            </w:pPr>
            <w:r>
              <w:rPr>
                <w:b/>
                <w:color w:val="000000"/>
                <w:sz w:val="16"/>
              </w:rPr>
              <w:t>A-10S</w:t>
            </w:r>
          </w:p>
        </w:tc>
        <w:tc>
          <w:tcPr>
            <w:tcW w:w="1440" w:type="dxa"/>
            <w:gridSpan w:val="2"/>
            <w:tcBorders>
              <w:top w:val="single" w:sz="2" w:space="0" w:color="000000"/>
              <w:start w:val="single" w:sz="2" w:space="0" w:color="000000"/>
              <w:bottom w:val="single" w:sz="2" w:space="0" w:color="000000"/>
              <w:end w:val="single" w:sz="2" w:space="0" w:color="000000"/>
            </w:tcBorders>
          </w:tcPr>
          <w:p>
            <w:pPr>
              <w:pStyle w:val="Normal"/>
              <w:jc w:val="center"/>
              <w:rPr>
                <w:b/>
                <w:color w:val="000000"/>
                <w:sz w:val="16"/>
              </w:rPr>
            </w:pPr>
            <w:r>
              <w:rPr>
                <w:b/>
                <w:color w:val="000000"/>
                <w:sz w:val="16"/>
              </w:rPr>
              <w:t>12,860</w:t>
            </w:r>
          </w:p>
        </w:tc>
        <w:tc>
          <w:tcPr>
            <w:tcW w:w="1440" w:type="dxa"/>
            <w:gridSpan w:val="2"/>
            <w:tcBorders>
              <w:top w:val="single" w:sz="2" w:space="0" w:color="000000"/>
              <w:start w:val="single" w:sz="2" w:space="0" w:color="000000"/>
              <w:bottom w:val="single" w:sz="2" w:space="0" w:color="000000"/>
              <w:end w:val="single" w:sz="2" w:space="0" w:color="000000"/>
            </w:tcBorders>
          </w:tcPr>
          <w:p>
            <w:pPr>
              <w:pStyle w:val="Normal"/>
              <w:jc w:val="center"/>
              <w:rPr>
                <w:b/>
                <w:color w:val="000000"/>
                <w:sz w:val="16"/>
              </w:rPr>
            </w:pPr>
            <w:r>
              <w:rPr>
                <w:b/>
                <w:color w:val="000000"/>
                <w:sz w:val="16"/>
              </w:rPr>
              <w:t>$1,401</w:t>
            </w:r>
          </w:p>
        </w:tc>
        <w:tc>
          <w:tcPr>
            <w:tcW w:w="1399" w:type="dxa"/>
            <w:tcBorders>
              <w:top w:val="single" w:sz="2" w:space="0" w:color="000000"/>
              <w:start w:val="single" w:sz="2" w:space="0" w:color="000000"/>
              <w:bottom w:val="single" w:sz="2" w:space="0" w:color="000000"/>
              <w:end w:val="single" w:sz="2" w:space="0" w:color="000000"/>
            </w:tcBorders>
          </w:tcPr>
          <w:p>
            <w:pPr>
              <w:pStyle w:val="Normal"/>
              <w:jc w:val="center"/>
              <w:rPr>
                <w:b/>
                <w:color w:val="000000"/>
                <w:sz w:val="16"/>
              </w:rPr>
            </w:pPr>
            <w:r>
              <w:rPr>
                <w:b/>
                <w:color w:val="000000"/>
                <w:sz w:val="16"/>
              </w:rPr>
              <w:t>$491</w:t>
            </w:r>
          </w:p>
        </w:tc>
        <w:tc>
          <w:tcPr>
            <w:tcW w:w="1440" w:type="dxa"/>
            <w:gridSpan w:val="2"/>
            <w:tcBorders>
              <w:top w:val="single" w:sz="2" w:space="0" w:color="000000"/>
              <w:start w:val="single" w:sz="2" w:space="0" w:color="000000"/>
              <w:bottom w:val="single" w:sz="2" w:space="0" w:color="000000"/>
              <w:end w:val="single" w:sz="2" w:space="0" w:color="000000"/>
            </w:tcBorders>
          </w:tcPr>
          <w:p>
            <w:pPr>
              <w:pStyle w:val="Normal"/>
              <w:jc w:val="center"/>
              <w:rPr>
                <w:b/>
                <w:color w:val="000000"/>
                <w:sz w:val="16"/>
              </w:rPr>
            </w:pPr>
            <w:r>
              <w:rPr>
                <w:b/>
                <w:color w:val="000000"/>
                <w:sz w:val="16"/>
              </w:rPr>
              <w:t>$1,892</w:t>
            </w:r>
          </w:p>
        </w:tc>
        <w:tc>
          <w:tcPr>
            <w:tcW w:w="1361" w:type="dxa"/>
            <w:gridSpan w:val="2"/>
            <w:tcBorders>
              <w:top w:val="single" w:sz="2" w:space="0" w:color="000000"/>
              <w:start w:val="single" w:sz="2" w:space="0" w:color="000000"/>
              <w:bottom w:val="single" w:sz="2" w:space="0" w:color="000000"/>
              <w:end w:val="single" w:sz="2" w:space="0" w:color="000000"/>
            </w:tcBorders>
          </w:tcPr>
          <w:p>
            <w:pPr>
              <w:pStyle w:val="Normal"/>
              <w:jc w:val="center"/>
              <w:rPr>
                <w:b/>
                <w:color w:val="000000"/>
                <w:sz w:val="16"/>
              </w:rPr>
            </w:pPr>
            <w:r>
              <w:rPr>
                <w:b/>
                <w:color w:val="000000"/>
                <w:sz w:val="16"/>
              </w:rPr>
              <w:t>35.06%</w:t>
            </w:r>
          </w:p>
        </w:tc>
      </w:tr>
      <w:tr>
        <w:trPr>
          <w:trHeight w:val="247" w:hRule="atLeast"/>
        </w:trPr>
        <w:tc>
          <w:tcPr>
            <w:tcW w:w="1754" w:type="dxa"/>
            <w:tcBorders>
              <w:top w:val="single" w:sz="2" w:space="0" w:color="000000"/>
              <w:start w:val="single" w:sz="2" w:space="0" w:color="000000"/>
              <w:bottom w:val="single" w:sz="2" w:space="0" w:color="000000"/>
              <w:end w:val="single" w:sz="2" w:space="0" w:color="000000"/>
            </w:tcBorders>
          </w:tcPr>
          <w:p>
            <w:pPr>
              <w:pStyle w:val="Normal"/>
              <w:rPr>
                <w:b/>
                <w:color w:val="000000"/>
                <w:sz w:val="16"/>
              </w:rPr>
            </w:pPr>
            <w:r>
              <w:rPr>
                <w:b/>
                <w:color w:val="000000"/>
                <w:sz w:val="16"/>
              </w:rPr>
              <w:t>E-19T</w:t>
            </w:r>
          </w:p>
        </w:tc>
        <w:tc>
          <w:tcPr>
            <w:tcW w:w="1440" w:type="dxa"/>
            <w:gridSpan w:val="2"/>
            <w:tcBorders>
              <w:top w:val="single" w:sz="2" w:space="0" w:color="000000"/>
              <w:start w:val="single" w:sz="2" w:space="0" w:color="000000"/>
              <w:bottom w:val="single" w:sz="2" w:space="0" w:color="000000"/>
              <w:end w:val="single" w:sz="2" w:space="0" w:color="000000"/>
            </w:tcBorders>
          </w:tcPr>
          <w:p>
            <w:pPr>
              <w:pStyle w:val="Normal"/>
              <w:jc w:val="center"/>
              <w:rPr>
                <w:b/>
                <w:color w:val="000000"/>
                <w:sz w:val="16"/>
              </w:rPr>
            </w:pPr>
            <w:r>
              <w:rPr>
                <w:b/>
                <w:color w:val="000000"/>
                <w:sz w:val="16"/>
              </w:rPr>
              <w:t>11</w:t>
            </w:r>
          </w:p>
        </w:tc>
        <w:tc>
          <w:tcPr>
            <w:tcW w:w="1440" w:type="dxa"/>
            <w:gridSpan w:val="2"/>
            <w:tcBorders>
              <w:top w:val="single" w:sz="2" w:space="0" w:color="000000"/>
              <w:start w:val="single" w:sz="2" w:space="0" w:color="000000"/>
              <w:bottom w:val="single" w:sz="2" w:space="0" w:color="000000"/>
              <w:end w:val="single" w:sz="2" w:space="0" w:color="000000"/>
            </w:tcBorders>
          </w:tcPr>
          <w:p>
            <w:pPr>
              <w:pStyle w:val="Normal"/>
              <w:jc w:val="center"/>
              <w:rPr>
                <w:b/>
                <w:color w:val="000000"/>
                <w:sz w:val="16"/>
              </w:rPr>
            </w:pPr>
            <w:r>
              <w:rPr>
                <w:b/>
                <w:color w:val="000000"/>
                <w:sz w:val="16"/>
              </w:rPr>
              <w:t>$1.0</w:t>
            </w:r>
          </w:p>
        </w:tc>
        <w:tc>
          <w:tcPr>
            <w:tcW w:w="1399" w:type="dxa"/>
            <w:tcBorders>
              <w:top w:val="single" w:sz="2" w:space="0" w:color="000000"/>
              <w:start w:val="single" w:sz="2" w:space="0" w:color="000000"/>
              <w:bottom w:val="single" w:sz="2" w:space="0" w:color="000000"/>
              <w:end w:val="single" w:sz="2" w:space="0" w:color="000000"/>
            </w:tcBorders>
          </w:tcPr>
          <w:p>
            <w:pPr>
              <w:pStyle w:val="Normal"/>
              <w:jc w:val="center"/>
              <w:rPr>
                <w:b/>
                <w:color w:val="000000"/>
                <w:sz w:val="16"/>
              </w:rPr>
            </w:pPr>
            <w:r>
              <w:rPr>
                <w:b/>
                <w:color w:val="000000"/>
                <w:sz w:val="16"/>
              </w:rPr>
              <w:t>$0.3</w:t>
            </w:r>
          </w:p>
        </w:tc>
        <w:tc>
          <w:tcPr>
            <w:tcW w:w="1440" w:type="dxa"/>
            <w:gridSpan w:val="2"/>
            <w:tcBorders>
              <w:top w:val="single" w:sz="2" w:space="0" w:color="000000"/>
              <w:start w:val="single" w:sz="2" w:space="0" w:color="000000"/>
              <w:bottom w:val="single" w:sz="2" w:space="0" w:color="000000"/>
              <w:end w:val="single" w:sz="2" w:space="0" w:color="000000"/>
            </w:tcBorders>
          </w:tcPr>
          <w:p>
            <w:pPr>
              <w:pStyle w:val="Normal"/>
              <w:jc w:val="center"/>
              <w:rPr>
                <w:b/>
                <w:color w:val="000000"/>
                <w:sz w:val="16"/>
              </w:rPr>
            </w:pPr>
            <w:r>
              <w:rPr>
                <w:b/>
                <w:color w:val="000000"/>
                <w:sz w:val="16"/>
              </w:rPr>
              <w:t>$1.4</w:t>
            </w:r>
          </w:p>
        </w:tc>
        <w:tc>
          <w:tcPr>
            <w:tcW w:w="1361" w:type="dxa"/>
            <w:gridSpan w:val="2"/>
            <w:tcBorders>
              <w:top w:val="single" w:sz="2" w:space="0" w:color="000000"/>
              <w:start w:val="single" w:sz="2" w:space="0" w:color="000000"/>
              <w:bottom w:val="single" w:sz="2" w:space="0" w:color="000000"/>
              <w:end w:val="single" w:sz="2" w:space="0" w:color="000000"/>
            </w:tcBorders>
          </w:tcPr>
          <w:p>
            <w:pPr>
              <w:pStyle w:val="Normal"/>
              <w:jc w:val="center"/>
              <w:rPr>
                <w:b/>
                <w:color w:val="000000"/>
                <w:sz w:val="16"/>
              </w:rPr>
            </w:pPr>
            <w:r>
              <w:rPr>
                <w:b/>
                <w:color w:val="000000"/>
                <w:sz w:val="16"/>
              </w:rPr>
              <w:t>34.81%</w:t>
            </w:r>
          </w:p>
        </w:tc>
      </w:tr>
      <w:tr>
        <w:trPr>
          <w:trHeight w:val="247" w:hRule="atLeast"/>
        </w:trPr>
        <w:tc>
          <w:tcPr>
            <w:tcW w:w="1754" w:type="dxa"/>
            <w:tcBorders>
              <w:top w:val="single" w:sz="2" w:space="0" w:color="000000"/>
              <w:start w:val="single" w:sz="2" w:space="0" w:color="000000"/>
              <w:bottom w:val="single" w:sz="2" w:space="0" w:color="000000"/>
              <w:end w:val="single" w:sz="2" w:space="0" w:color="000000"/>
            </w:tcBorders>
          </w:tcPr>
          <w:p>
            <w:pPr>
              <w:pStyle w:val="Normal"/>
              <w:rPr>
                <w:b/>
                <w:color w:val="000000"/>
                <w:sz w:val="16"/>
              </w:rPr>
            </w:pPr>
            <w:r>
              <w:rPr>
                <w:b/>
                <w:color w:val="000000"/>
                <w:sz w:val="16"/>
              </w:rPr>
              <w:t>E-19P</w:t>
            </w:r>
          </w:p>
        </w:tc>
        <w:tc>
          <w:tcPr>
            <w:tcW w:w="1440" w:type="dxa"/>
            <w:gridSpan w:val="2"/>
            <w:tcBorders>
              <w:top w:val="single" w:sz="2" w:space="0" w:color="000000"/>
              <w:start w:val="single" w:sz="2" w:space="0" w:color="000000"/>
              <w:bottom w:val="single" w:sz="2" w:space="0" w:color="000000"/>
              <w:end w:val="single" w:sz="2" w:space="0" w:color="000000"/>
            </w:tcBorders>
          </w:tcPr>
          <w:p>
            <w:pPr>
              <w:pStyle w:val="Normal"/>
              <w:jc w:val="center"/>
              <w:rPr>
                <w:b/>
                <w:color w:val="000000"/>
                <w:sz w:val="16"/>
              </w:rPr>
            </w:pPr>
            <w:r>
              <w:rPr>
                <w:b/>
                <w:color w:val="000000"/>
                <w:sz w:val="16"/>
              </w:rPr>
              <w:t>784</w:t>
            </w:r>
          </w:p>
        </w:tc>
        <w:tc>
          <w:tcPr>
            <w:tcW w:w="1440" w:type="dxa"/>
            <w:gridSpan w:val="2"/>
            <w:tcBorders>
              <w:top w:val="single" w:sz="2" w:space="0" w:color="000000"/>
              <w:start w:val="single" w:sz="2" w:space="0" w:color="000000"/>
              <w:bottom w:val="single" w:sz="2" w:space="0" w:color="000000"/>
              <w:end w:val="single" w:sz="2" w:space="0" w:color="000000"/>
            </w:tcBorders>
          </w:tcPr>
          <w:p>
            <w:pPr>
              <w:pStyle w:val="Normal"/>
              <w:jc w:val="center"/>
              <w:rPr>
                <w:b/>
                <w:color w:val="000000"/>
                <w:sz w:val="16"/>
              </w:rPr>
            </w:pPr>
            <w:r>
              <w:rPr>
                <w:b/>
                <w:color w:val="000000"/>
                <w:sz w:val="16"/>
              </w:rPr>
              <w:t>$68.4</w:t>
            </w:r>
          </w:p>
        </w:tc>
        <w:tc>
          <w:tcPr>
            <w:tcW w:w="1399" w:type="dxa"/>
            <w:tcBorders>
              <w:top w:val="single" w:sz="2" w:space="0" w:color="000000"/>
              <w:start w:val="single" w:sz="2" w:space="0" w:color="000000"/>
              <w:bottom w:val="single" w:sz="2" w:space="0" w:color="000000"/>
              <w:end w:val="single" w:sz="2" w:space="0" w:color="000000"/>
            </w:tcBorders>
          </w:tcPr>
          <w:p>
            <w:pPr>
              <w:pStyle w:val="Normal"/>
              <w:jc w:val="center"/>
              <w:rPr>
                <w:b/>
                <w:color w:val="000000"/>
                <w:sz w:val="16"/>
              </w:rPr>
            </w:pPr>
            <w:r>
              <w:rPr>
                <w:b/>
                <w:color w:val="000000"/>
                <w:sz w:val="16"/>
              </w:rPr>
              <w:t>$24.3</w:t>
            </w:r>
          </w:p>
        </w:tc>
        <w:tc>
          <w:tcPr>
            <w:tcW w:w="1440" w:type="dxa"/>
            <w:gridSpan w:val="2"/>
            <w:tcBorders>
              <w:top w:val="single" w:sz="2" w:space="0" w:color="000000"/>
              <w:start w:val="single" w:sz="2" w:space="0" w:color="000000"/>
              <w:bottom w:val="single" w:sz="2" w:space="0" w:color="000000"/>
              <w:end w:val="single" w:sz="2" w:space="0" w:color="000000"/>
            </w:tcBorders>
          </w:tcPr>
          <w:p>
            <w:pPr>
              <w:pStyle w:val="Normal"/>
              <w:jc w:val="center"/>
              <w:rPr>
                <w:b/>
                <w:color w:val="000000"/>
                <w:sz w:val="16"/>
              </w:rPr>
            </w:pPr>
            <w:r>
              <w:rPr>
                <w:b/>
                <w:color w:val="000000"/>
                <w:sz w:val="16"/>
              </w:rPr>
              <w:t>$93</w:t>
            </w:r>
          </w:p>
        </w:tc>
        <w:tc>
          <w:tcPr>
            <w:tcW w:w="1361" w:type="dxa"/>
            <w:gridSpan w:val="2"/>
            <w:tcBorders>
              <w:top w:val="single" w:sz="2" w:space="0" w:color="000000"/>
              <w:start w:val="single" w:sz="2" w:space="0" w:color="000000"/>
              <w:bottom w:val="single" w:sz="2" w:space="0" w:color="000000"/>
              <w:end w:val="single" w:sz="2" w:space="0" w:color="000000"/>
            </w:tcBorders>
          </w:tcPr>
          <w:p>
            <w:pPr>
              <w:pStyle w:val="Normal"/>
              <w:jc w:val="center"/>
              <w:rPr>
                <w:b/>
                <w:color w:val="000000"/>
                <w:sz w:val="16"/>
              </w:rPr>
            </w:pPr>
            <w:r>
              <w:rPr>
                <w:b/>
                <w:color w:val="000000"/>
                <w:sz w:val="16"/>
              </w:rPr>
              <w:t>35.49%</w:t>
            </w:r>
          </w:p>
        </w:tc>
      </w:tr>
      <w:tr>
        <w:trPr>
          <w:trHeight w:val="247" w:hRule="atLeast"/>
        </w:trPr>
        <w:tc>
          <w:tcPr>
            <w:tcW w:w="1754" w:type="dxa"/>
            <w:tcBorders>
              <w:top w:val="single" w:sz="2" w:space="0" w:color="000000"/>
              <w:start w:val="single" w:sz="2" w:space="0" w:color="000000"/>
              <w:bottom w:val="single" w:sz="2" w:space="0" w:color="000000"/>
              <w:end w:val="single" w:sz="2" w:space="0" w:color="000000"/>
            </w:tcBorders>
          </w:tcPr>
          <w:p>
            <w:pPr>
              <w:pStyle w:val="Normal"/>
              <w:rPr>
                <w:b/>
                <w:color w:val="000000"/>
                <w:sz w:val="16"/>
              </w:rPr>
            </w:pPr>
            <w:r>
              <w:rPr>
                <w:b/>
                <w:color w:val="000000"/>
                <w:sz w:val="16"/>
              </w:rPr>
              <w:t>E-19S</w:t>
            </w:r>
          </w:p>
        </w:tc>
        <w:tc>
          <w:tcPr>
            <w:tcW w:w="1440" w:type="dxa"/>
            <w:gridSpan w:val="2"/>
            <w:tcBorders>
              <w:top w:val="single" w:sz="2" w:space="0" w:color="000000"/>
              <w:start w:val="single" w:sz="2" w:space="0" w:color="000000"/>
              <w:bottom w:val="single" w:sz="2" w:space="0" w:color="000000"/>
              <w:end w:val="single" w:sz="2" w:space="0" w:color="000000"/>
            </w:tcBorders>
          </w:tcPr>
          <w:p>
            <w:pPr>
              <w:pStyle w:val="Normal"/>
              <w:jc w:val="center"/>
              <w:rPr>
                <w:b/>
                <w:color w:val="000000"/>
                <w:sz w:val="16"/>
              </w:rPr>
            </w:pPr>
            <w:r>
              <w:rPr>
                <w:b/>
                <w:color w:val="000000"/>
                <w:sz w:val="16"/>
              </w:rPr>
              <w:t>10,174</w:t>
            </w:r>
          </w:p>
        </w:tc>
        <w:tc>
          <w:tcPr>
            <w:tcW w:w="1440" w:type="dxa"/>
            <w:gridSpan w:val="2"/>
            <w:tcBorders>
              <w:top w:val="single" w:sz="2" w:space="0" w:color="000000"/>
              <w:start w:val="single" w:sz="2" w:space="0" w:color="000000"/>
              <w:bottom w:val="single" w:sz="2" w:space="0" w:color="000000"/>
              <w:end w:val="single" w:sz="2" w:space="0" w:color="000000"/>
            </w:tcBorders>
          </w:tcPr>
          <w:p>
            <w:pPr>
              <w:pStyle w:val="Normal"/>
              <w:jc w:val="center"/>
              <w:rPr>
                <w:b/>
                <w:color w:val="000000"/>
                <w:sz w:val="16"/>
              </w:rPr>
            </w:pPr>
            <w:r>
              <w:rPr>
                <w:b/>
                <w:color w:val="000000"/>
                <w:sz w:val="16"/>
              </w:rPr>
              <w:t>$998</w:t>
            </w:r>
          </w:p>
        </w:tc>
        <w:tc>
          <w:tcPr>
            <w:tcW w:w="1399" w:type="dxa"/>
            <w:tcBorders>
              <w:top w:val="single" w:sz="2" w:space="0" w:color="000000"/>
              <w:start w:val="single" w:sz="2" w:space="0" w:color="000000"/>
              <w:bottom w:val="single" w:sz="2" w:space="0" w:color="000000"/>
              <w:end w:val="single" w:sz="2" w:space="0" w:color="000000"/>
            </w:tcBorders>
          </w:tcPr>
          <w:p>
            <w:pPr>
              <w:pStyle w:val="Normal"/>
              <w:jc w:val="center"/>
              <w:rPr>
                <w:b/>
                <w:color w:val="000000"/>
                <w:sz w:val="16"/>
              </w:rPr>
            </w:pPr>
            <w:r>
              <w:rPr>
                <w:b/>
                <w:color w:val="000000"/>
                <w:sz w:val="16"/>
              </w:rPr>
              <w:t>$321</w:t>
            </w:r>
          </w:p>
        </w:tc>
        <w:tc>
          <w:tcPr>
            <w:tcW w:w="1440" w:type="dxa"/>
            <w:gridSpan w:val="2"/>
            <w:tcBorders>
              <w:top w:val="single" w:sz="2" w:space="0" w:color="000000"/>
              <w:start w:val="single" w:sz="2" w:space="0" w:color="000000"/>
              <w:bottom w:val="single" w:sz="2" w:space="0" w:color="000000"/>
              <w:end w:val="single" w:sz="2" w:space="0" w:color="000000"/>
            </w:tcBorders>
          </w:tcPr>
          <w:p>
            <w:pPr>
              <w:pStyle w:val="Normal"/>
              <w:jc w:val="center"/>
              <w:rPr>
                <w:b/>
                <w:color w:val="000000"/>
                <w:sz w:val="16"/>
              </w:rPr>
            </w:pPr>
            <w:r>
              <w:rPr>
                <w:b/>
                <w:color w:val="000000"/>
                <w:sz w:val="16"/>
              </w:rPr>
              <w:t>$1,319</w:t>
            </w:r>
          </w:p>
        </w:tc>
        <w:tc>
          <w:tcPr>
            <w:tcW w:w="1361" w:type="dxa"/>
            <w:gridSpan w:val="2"/>
            <w:tcBorders>
              <w:top w:val="single" w:sz="2" w:space="0" w:color="000000"/>
              <w:start w:val="single" w:sz="2" w:space="0" w:color="000000"/>
              <w:bottom w:val="single" w:sz="2" w:space="0" w:color="000000"/>
              <w:end w:val="single" w:sz="2" w:space="0" w:color="000000"/>
            </w:tcBorders>
          </w:tcPr>
          <w:p>
            <w:pPr>
              <w:pStyle w:val="Normal"/>
              <w:jc w:val="center"/>
              <w:rPr>
                <w:b/>
                <w:color w:val="000000"/>
                <w:sz w:val="16"/>
              </w:rPr>
            </w:pPr>
            <w:r>
              <w:rPr>
                <w:b/>
                <w:color w:val="000000"/>
                <w:sz w:val="16"/>
              </w:rPr>
              <w:t>32.22%</w:t>
            </w:r>
          </w:p>
        </w:tc>
      </w:tr>
      <w:tr>
        <w:trPr>
          <w:trHeight w:val="247" w:hRule="atLeast"/>
        </w:trPr>
        <w:tc>
          <w:tcPr>
            <w:tcW w:w="1754" w:type="dxa"/>
            <w:tcBorders>
              <w:top w:val="single" w:sz="2" w:space="0" w:color="000000"/>
              <w:start w:val="single" w:sz="2" w:space="0" w:color="000000"/>
              <w:bottom w:val="single" w:sz="2" w:space="0" w:color="000000"/>
              <w:end w:val="single" w:sz="2" w:space="0" w:color="000000"/>
            </w:tcBorders>
          </w:tcPr>
          <w:p>
            <w:pPr>
              <w:pStyle w:val="Normal"/>
              <w:rPr>
                <w:b/>
                <w:color w:val="000000"/>
                <w:sz w:val="16"/>
              </w:rPr>
            </w:pPr>
            <w:r>
              <w:rPr>
                <w:b/>
                <w:color w:val="000000"/>
                <w:sz w:val="16"/>
              </w:rPr>
              <w:t>E-20T</w:t>
            </w:r>
          </w:p>
        </w:tc>
        <w:tc>
          <w:tcPr>
            <w:tcW w:w="1440" w:type="dxa"/>
            <w:gridSpan w:val="2"/>
            <w:tcBorders>
              <w:top w:val="single" w:sz="2" w:space="0" w:color="000000"/>
              <w:start w:val="single" w:sz="2" w:space="0" w:color="000000"/>
              <w:bottom w:val="single" w:sz="2" w:space="0" w:color="000000"/>
              <w:end w:val="single" w:sz="2" w:space="0" w:color="000000"/>
            </w:tcBorders>
          </w:tcPr>
          <w:p>
            <w:pPr>
              <w:pStyle w:val="Normal"/>
              <w:jc w:val="center"/>
              <w:rPr>
                <w:b/>
                <w:color w:val="000000"/>
                <w:sz w:val="16"/>
              </w:rPr>
            </w:pPr>
            <w:r>
              <w:rPr>
                <w:b/>
                <w:color w:val="000000"/>
                <w:sz w:val="16"/>
              </w:rPr>
              <w:t>7,042</w:t>
            </w:r>
          </w:p>
        </w:tc>
        <w:tc>
          <w:tcPr>
            <w:tcW w:w="1440" w:type="dxa"/>
            <w:gridSpan w:val="2"/>
            <w:tcBorders>
              <w:top w:val="single" w:sz="2" w:space="0" w:color="000000"/>
              <w:start w:val="single" w:sz="2" w:space="0" w:color="000000"/>
              <w:bottom w:val="single" w:sz="2" w:space="0" w:color="000000"/>
              <w:end w:val="single" w:sz="2" w:space="0" w:color="000000"/>
            </w:tcBorders>
          </w:tcPr>
          <w:p>
            <w:pPr>
              <w:pStyle w:val="Normal"/>
              <w:jc w:val="center"/>
              <w:rPr>
                <w:b/>
                <w:color w:val="000000"/>
                <w:sz w:val="16"/>
              </w:rPr>
            </w:pPr>
            <w:r>
              <w:rPr>
                <w:b/>
                <w:color w:val="000000"/>
                <w:sz w:val="16"/>
              </w:rPr>
              <w:t>$401</w:t>
            </w:r>
          </w:p>
        </w:tc>
        <w:tc>
          <w:tcPr>
            <w:tcW w:w="1399" w:type="dxa"/>
            <w:tcBorders>
              <w:top w:val="single" w:sz="2" w:space="0" w:color="000000"/>
              <w:start w:val="single" w:sz="2" w:space="0" w:color="000000"/>
              <w:bottom w:val="single" w:sz="2" w:space="0" w:color="000000"/>
              <w:end w:val="single" w:sz="2" w:space="0" w:color="000000"/>
            </w:tcBorders>
          </w:tcPr>
          <w:p>
            <w:pPr>
              <w:pStyle w:val="Normal"/>
              <w:jc w:val="center"/>
              <w:rPr>
                <w:b/>
                <w:color w:val="000000"/>
                <w:sz w:val="16"/>
              </w:rPr>
            </w:pPr>
            <w:r>
              <w:rPr>
                <w:b/>
                <w:color w:val="000000"/>
                <w:sz w:val="16"/>
              </w:rPr>
              <w:t>$197</w:t>
            </w:r>
          </w:p>
        </w:tc>
        <w:tc>
          <w:tcPr>
            <w:tcW w:w="1440" w:type="dxa"/>
            <w:gridSpan w:val="2"/>
            <w:tcBorders>
              <w:top w:val="single" w:sz="2" w:space="0" w:color="000000"/>
              <w:start w:val="single" w:sz="2" w:space="0" w:color="000000"/>
              <w:bottom w:val="single" w:sz="2" w:space="0" w:color="000000"/>
              <w:end w:val="single" w:sz="2" w:space="0" w:color="000000"/>
            </w:tcBorders>
          </w:tcPr>
          <w:p>
            <w:pPr>
              <w:pStyle w:val="Normal"/>
              <w:jc w:val="center"/>
              <w:rPr>
                <w:b/>
                <w:color w:val="000000"/>
                <w:sz w:val="16"/>
              </w:rPr>
            </w:pPr>
            <w:r>
              <w:rPr>
                <w:b/>
                <w:color w:val="000000"/>
                <w:sz w:val="16"/>
              </w:rPr>
              <w:t>$598</w:t>
            </w:r>
          </w:p>
        </w:tc>
        <w:tc>
          <w:tcPr>
            <w:tcW w:w="1361" w:type="dxa"/>
            <w:gridSpan w:val="2"/>
            <w:tcBorders>
              <w:top w:val="single" w:sz="2" w:space="0" w:color="000000"/>
              <w:start w:val="single" w:sz="2" w:space="0" w:color="000000"/>
              <w:bottom w:val="single" w:sz="2" w:space="0" w:color="000000"/>
              <w:end w:val="single" w:sz="2" w:space="0" w:color="000000"/>
            </w:tcBorders>
          </w:tcPr>
          <w:p>
            <w:pPr>
              <w:pStyle w:val="Normal"/>
              <w:jc w:val="center"/>
              <w:rPr>
                <w:b/>
                <w:color w:val="000000"/>
                <w:sz w:val="16"/>
              </w:rPr>
            </w:pPr>
            <w:r>
              <w:rPr>
                <w:b/>
                <w:color w:val="000000"/>
                <w:sz w:val="16"/>
              </w:rPr>
              <w:t>49.06%</w:t>
            </w:r>
          </w:p>
        </w:tc>
      </w:tr>
      <w:tr>
        <w:trPr>
          <w:trHeight w:val="247" w:hRule="atLeast"/>
        </w:trPr>
        <w:tc>
          <w:tcPr>
            <w:tcW w:w="1754" w:type="dxa"/>
            <w:tcBorders>
              <w:top w:val="single" w:sz="2" w:space="0" w:color="000000"/>
              <w:start w:val="single" w:sz="2" w:space="0" w:color="000000"/>
              <w:bottom w:val="single" w:sz="2" w:space="0" w:color="000000"/>
              <w:end w:val="single" w:sz="2" w:space="0" w:color="000000"/>
            </w:tcBorders>
          </w:tcPr>
          <w:p>
            <w:pPr>
              <w:pStyle w:val="Normal"/>
              <w:rPr>
                <w:b/>
                <w:color w:val="000000"/>
                <w:sz w:val="16"/>
              </w:rPr>
            </w:pPr>
            <w:r>
              <w:rPr>
                <w:b/>
                <w:color w:val="000000"/>
                <w:sz w:val="16"/>
              </w:rPr>
              <w:t>E-20P</w:t>
            </w:r>
          </w:p>
        </w:tc>
        <w:tc>
          <w:tcPr>
            <w:tcW w:w="1440" w:type="dxa"/>
            <w:gridSpan w:val="2"/>
            <w:tcBorders>
              <w:top w:val="single" w:sz="2" w:space="0" w:color="000000"/>
              <w:start w:val="single" w:sz="2" w:space="0" w:color="000000"/>
              <w:bottom w:val="single" w:sz="2" w:space="0" w:color="000000"/>
              <w:end w:val="single" w:sz="2" w:space="0" w:color="000000"/>
            </w:tcBorders>
          </w:tcPr>
          <w:p>
            <w:pPr>
              <w:pStyle w:val="Normal"/>
              <w:jc w:val="center"/>
              <w:rPr>
                <w:b/>
                <w:color w:val="000000"/>
                <w:sz w:val="16"/>
              </w:rPr>
            </w:pPr>
            <w:r>
              <w:rPr>
                <w:b/>
                <w:color w:val="000000"/>
                <w:sz w:val="16"/>
              </w:rPr>
              <w:t>6,261</w:t>
            </w:r>
          </w:p>
        </w:tc>
        <w:tc>
          <w:tcPr>
            <w:tcW w:w="1440" w:type="dxa"/>
            <w:gridSpan w:val="2"/>
            <w:tcBorders>
              <w:top w:val="single" w:sz="2" w:space="0" w:color="000000"/>
              <w:start w:val="single" w:sz="2" w:space="0" w:color="000000"/>
              <w:bottom w:val="single" w:sz="2" w:space="0" w:color="000000"/>
              <w:end w:val="single" w:sz="2" w:space="0" w:color="000000"/>
            </w:tcBorders>
          </w:tcPr>
          <w:p>
            <w:pPr>
              <w:pStyle w:val="Normal"/>
              <w:jc w:val="center"/>
              <w:rPr>
                <w:b/>
                <w:color w:val="000000"/>
                <w:sz w:val="16"/>
              </w:rPr>
            </w:pPr>
            <w:r>
              <w:rPr>
                <w:b/>
                <w:color w:val="000000"/>
                <w:sz w:val="16"/>
              </w:rPr>
              <w:t>$488</w:t>
            </w:r>
          </w:p>
        </w:tc>
        <w:tc>
          <w:tcPr>
            <w:tcW w:w="1399" w:type="dxa"/>
            <w:tcBorders>
              <w:top w:val="single" w:sz="2" w:space="0" w:color="000000"/>
              <w:start w:val="single" w:sz="2" w:space="0" w:color="000000"/>
              <w:bottom w:val="single" w:sz="2" w:space="0" w:color="000000"/>
              <w:end w:val="single" w:sz="2" w:space="0" w:color="000000"/>
            </w:tcBorders>
          </w:tcPr>
          <w:p>
            <w:pPr>
              <w:pStyle w:val="Normal"/>
              <w:jc w:val="center"/>
              <w:rPr>
                <w:b/>
                <w:color w:val="000000"/>
                <w:sz w:val="16"/>
              </w:rPr>
            </w:pPr>
            <w:r>
              <w:rPr>
                <w:b/>
                <w:color w:val="000000"/>
                <w:sz w:val="16"/>
              </w:rPr>
              <w:t>$186</w:t>
            </w:r>
          </w:p>
        </w:tc>
        <w:tc>
          <w:tcPr>
            <w:tcW w:w="1440" w:type="dxa"/>
            <w:gridSpan w:val="2"/>
            <w:tcBorders>
              <w:top w:val="single" w:sz="2" w:space="0" w:color="000000"/>
              <w:start w:val="single" w:sz="2" w:space="0" w:color="000000"/>
              <w:bottom w:val="single" w:sz="2" w:space="0" w:color="000000"/>
              <w:end w:val="single" w:sz="2" w:space="0" w:color="000000"/>
            </w:tcBorders>
          </w:tcPr>
          <w:p>
            <w:pPr>
              <w:pStyle w:val="Normal"/>
              <w:jc w:val="center"/>
              <w:rPr>
                <w:b/>
                <w:color w:val="000000"/>
                <w:sz w:val="16"/>
              </w:rPr>
            </w:pPr>
            <w:r>
              <w:rPr>
                <w:b/>
                <w:color w:val="000000"/>
                <w:sz w:val="16"/>
              </w:rPr>
              <w:t>$674</w:t>
            </w:r>
          </w:p>
        </w:tc>
        <w:tc>
          <w:tcPr>
            <w:tcW w:w="1361" w:type="dxa"/>
            <w:gridSpan w:val="2"/>
            <w:tcBorders>
              <w:top w:val="single" w:sz="2" w:space="0" w:color="000000"/>
              <w:start w:val="single" w:sz="2" w:space="0" w:color="000000"/>
              <w:bottom w:val="single" w:sz="2" w:space="0" w:color="000000"/>
              <w:end w:val="single" w:sz="2" w:space="0" w:color="000000"/>
            </w:tcBorders>
          </w:tcPr>
          <w:p>
            <w:pPr>
              <w:pStyle w:val="Normal"/>
              <w:jc w:val="center"/>
              <w:rPr>
                <w:b/>
                <w:color w:val="000000"/>
                <w:sz w:val="16"/>
              </w:rPr>
            </w:pPr>
            <w:r>
              <w:rPr>
                <w:b/>
                <w:color w:val="000000"/>
                <w:sz w:val="16"/>
              </w:rPr>
              <w:t>38.22%</w:t>
            </w:r>
          </w:p>
        </w:tc>
      </w:tr>
      <w:tr>
        <w:trPr>
          <w:trHeight w:val="247" w:hRule="atLeast"/>
        </w:trPr>
        <w:tc>
          <w:tcPr>
            <w:tcW w:w="1754" w:type="dxa"/>
            <w:tcBorders>
              <w:top w:val="single" w:sz="2" w:space="0" w:color="000000"/>
              <w:start w:val="single" w:sz="2" w:space="0" w:color="000000"/>
              <w:bottom w:val="single" w:sz="2" w:space="0" w:color="000000"/>
              <w:end w:val="single" w:sz="2" w:space="0" w:color="000000"/>
            </w:tcBorders>
          </w:tcPr>
          <w:p>
            <w:pPr>
              <w:pStyle w:val="Normal"/>
              <w:rPr>
                <w:b/>
                <w:color w:val="000000"/>
                <w:sz w:val="16"/>
              </w:rPr>
            </w:pPr>
            <w:r>
              <w:rPr>
                <w:b/>
                <w:color w:val="000000"/>
                <w:sz w:val="16"/>
              </w:rPr>
              <w:t>E-20S</w:t>
            </w:r>
          </w:p>
        </w:tc>
        <w:tc>
          <w:tcPr>
            <w:tcW w:w="1440" w:type="dxa"/>
            <w:gridSpan w:val="2"/>
            <w:tcBorders>
              <w:top w:val="single" w:sz="2" w:space="0" w:color="000000"/>
              <w:start w:val="single" w:sz="2" w:space="0" w:color="000000"/>
              <w:bottom w:val="single" w:sz="2" w:space="0" w:color="000000"/>
              <w:end w:val="single" w:sz="2" w:space="0" w:color="000000"/>
            </w:tcBorders>
          </w:tcPr>
          <w:p>
            <w:pPr>
              <w:pStyle w:val="Normal"/>
              <w:jc w:val="center"/>
              <w:rPr>
                <w:b/>
                <w:color w:val="000000"/>
                <w:sz w:val="16"/>
              </w:rPr>
            </w:pPr>
            <w:r>
              <w:rPr>
                <w:b/>
                <w:color w:val="000000"/>
                <w:sz w:val="16"/>
              </w:rPr>
              <w:t>3,188</w:t>
            </w:r>
          </w:p>
        </w:tc>
        <w:tc>
          <w:tcPr>
            <w:tcW w:w="1440" w:type="dxa"/>
            <w:gridSpan w:val="2"/>
            <w:tcBorders>
              <w:top w:val="single" w:sz="2" w:space="0" w:color="000000"/>
              <w:start w:val="single" w:sz="2" w:space="0" w:color="000000"/>
              <w:bottom w:val="single" w:sz="2" w:space="0" w:color="000000"/>
              <w:end w:val="single" w:sz="2" w:space="0" w:color="000000"/>
            </w:tcBorders>
          </w:tcPr>
          <w:p>
            <w:pPr>
              <w:pStyle w:val="Normal"/>
              <w:jc w:val="center"/>
              <w:rPr>
                <w:b/>
                <w:color w:val="000000"/>
                <w:sz w:val="16"/>
              </w:rPr>
            </w:pPr>
            <w:r>
              <w:rPr>
                <w:b/>
                <w:color w:val="000000"/>
                <w:sz w:val="16"/>
              </w:rPr>
              <w:t>$295</w:t>
            </w:r>
          </w:p>
        </w:tc>
        <w:tc>
          <w:tcPr>
            <w:tcW w:w="1399" w:type="dxa"/>
            <w:tcBorders>
              <w:top w:val="single" w:sz="2" w:space="0" w:color="000000"/>
              <w:start w:val="single" w:sz="2" w:space="0" w:color="000000"/>
              <w:bottom w:val="single" w:sz="2" w:space="0" w:color="000000"/>
              <w:end w:val="single" w:sz="2" w:space="0" w:color="000000"/>
            </w:tcBorders>
          </w:tcPr>
          <w:p>
            <w:pPr>
              <w:pStyle w:val="Normal"/>
              <w:jc w:val="center"/>
              <w:rPr>
                <w:b/>
                <w:color w:val="000000"/>
                <w:sz w:val="16"/>
              </w:rPr>
            </w:pPr>
            <w:r>
              <w:rPr>
                <w:b/>
                <w:color w:val="000000"/>
                <w:sz w:val="16"/>
              </w:rPr>
              <w:t>$103</w:t>
            </w:r>
          </w:p>
        </w:tc>
        <w:tc>
          <w:tcPr>
            <w:tcW w:w="1440" w:type="dxa"/>
            <w:gridSpan w:val="2"/>
            <w:tcBorders>
              <w:top w:val="single" w:sz="2" w:space="0" w:color="000000"/>
              <w:start w:val="single" w:sz="2" w:space="0" w:color="000000"/>
              <w:bottom w:val="single" w:sz="2" w:space="0" w:color="000000"/>
              <w:end w:val="single" w:sz="2" w:space="0" w:color="000000"/>
            </w:tcBorders>
          </w:tcPr>
          <w:p>
            <w:pPr>
              <w:pStyle w:val="Normal"/>
              <w:jc w:val="center"/>
              <w:rPr>
                <w:b/>
                <w:color w:val="000000"/>
                <w:sz w:val="16"/>
              </w:rPr>
            </w:pPr>
            <w:r>
              <w:rPr>
                <w:b/>
                <w:color w:val="000000"/>
                <w:sz w:val="16"/>
              </w:rPr>
              <w:t>$397</w:t>
            </w:r>
          </w:p>
        </w:tc>
        <w:tc>
          <w:tcPr>
            <w:tcW w:w="1361" w:type="dxa"/>
            <w:gridSpan w:val="2"/>
            <w:tcBorders>
              <w:top w:val="single" w:sz="2" w:space="0" w:color="000000"/>
              <w:start w:val="single" w:sz="2" w:space="0" w:color="000000"/>
              <w:bottom w:val="single" w:sz="2" w:space="0" w:color="000000"/>
              <w:end w:val="single" w:sz="2" w:space="0" w:color="000000"/>
            </w:tcBorders>
          </w:tcPr>
          <w:p>
            <w:pPr>
              <w:pStyle w:val="Normal"/>
              <w:jc w:val="center"/>
              <w:rPr>
                <w:b/>
                <w:color w:val="000000"/>
                <w:sz w:val="16"/>
              </w:rPr>
            </w:pPr>
            <w:r>
              <w:rPr>
                <w:b/>
                <w:color w:val="000000"/>
                <w:sz w:val="16"/>
              </w:rPr>
              <w:t>34.84%</w:t>
            </w:r>
          </w:p>
        </w:tc>
      </w:tr>
      <w:tr>
        <w:trPr>
          <w:trHeight w:val="247" w:hRule="atLeast"/>
        </w:trPr>
        <w:tc>
          <w:tcPr>
            <w:tcW w:w="1754" w:type="dxa"/>
            <w:tcBorders>
              <w:top w:val="single" w:sz="2" w:space="0" w:color="000000"/>
              <w:start w:val="single" w:sz="2" w:space="0" w:color="000000"/>
              <w:bottom w:val="single" w:sz="2" w:space="0" w:color="000000"/>
              <w:end w:val="single" w:sz="2" w:space="0" w:color="000000"/>
            </w:tcBorders>
          </w:tcPr>
          <w:p>
            <w:pPr>
              <w:pStyle w:val="Normal"/>
              <w:rPr>
                <w:b/>
                <w:color w:val="000000"/>
                <w:sz w:val="16"/>
              </w:rPr>
            </w:pPr>
            <w:r>
              <w:rPr>
                <w:b/>
                <w:color w:val="000000"/>
                <w:sz w:val="16"/>
              </w:rPr>
              <w:t>Stby-T</w:t>
            </w:r>
          </w:p>
        </w:tc>
        <w:tc>
          <w:tcPr>
            <w:tcW w:w="1440" w:type="dxa"/>
            <w:gridSpan w:val="2"/>
            <w:tcBorders>
              <w:top w:val="single" w:sz="2" w:space="0" w:color="000000"/>
              <w:start w:val="single" w:sz="2" w:space="0" w:color="000000"/>
              <w:bottom w:val="single" w:sz="2" w:space="0" w:color="000000"/>
              <w:end w:val="single" w:sz="2" w:space="0" w:color="000000"/>
            </w:tcBorders>
          </w:tcPr>
          <w:p>
            <w:pPr>
              <w:pStyle w:val="Normal"/>
              <w:jc w:val="center"/>
              <w:rPr>
                <w:b/>
                <w:color w:val="000000"/>
                <w:sz w:val="16"/>
              </w:rPr>
            </w:pPr>
            <w:r>
              <w:rPr>
                <w:b/>
                <w:color w:val="000000"/>
                <w:sz w:val="16"/>
              </w:rPr>
              <w:t>129</w:t>
            </w:r>
          </w:p>
        </w:tc>
        <w:tc>
          <w:tcPr>
            <w:tcW w:w="1440" w:type="dxa"/>
            <w:gridSpan w:val="2"/>
            <w:tcBorders>
              <w:top w:val="single" w:sz="2" w:space="0" w:color="000000"/>
              <w:start w:val="single" w:sz="2" w:space="0" w:color="000000"/>
              <w:bottom w:val="single" w:sz="2" w:space="0" w:color="000000"/>
              <w:end w:val="single" w:sz="2" w:space="0" w:color="000000"/>
            </w:tcBorders>
          </w:tcPr>
          <w:p>
            <w:pPr>
              <w:pStyle w:val="Normal"/>
              <w:jc w:val="center"/>
              <w:rPr>
                <w:b/>
                <w:color w:val="000000"/>
                <w:sz w:val="16"/>
              </w:rPr>
            </w:pPr>
            <w:r>
              <w:rPr>
                <w:b/>
                <w:color w:val="000000"/>
                <w:sz w:val="16"/>
              </w:rPr>
              <w:t>$13.2</w:t>
            </w:r>
          </w:p>
        </w:tc>
        <w:tc>
          <w:tcPr>
            <w:tcW w:w="1399" w:type="dxa"/>
            <w:tcBorders>
              <w:top w:val="single" w:sz="2" w:space="0" w:color="000000"/>
              <w:start w:val="single" w:sz="2" w:space="0" w:color="000000"/>
              <w:bottom w:val="single" w:sz="2" w:space="0" w:color="000000"/>
              <w:end w:val="single" w:sz="2" w:space="0" w:color="000000"/>
            </w:tcBorders>
          </w:tcPr>
          <w:p>
            <w:pPr>
              <w:pStyle w:val="Normal"/>
              <w:jc w:val="center"/>
              <w:rPr>
                <w:b/>
                <w:color w:val="000000"/>
                <w:sz w:val="16"/>
              </w:rPr>
            </w:pPr>
            <w:r>
              <w:rPr>
                <w:b/>
                <w:color w:val="000000"/>
                <w:sz w:val="16"/>
              </w:rPr>
              <w:t>$0</w:t>
            </w:r>
          </w:p>
        </w:tc>
        <w:tc>
          <w:tcPr>
            <w:tcW w:w="1440" w:type="dxa"/>
            <w:gridSpan w:val="2"/>
            <w:tcBorders>
              <w:top w:val="single" w:sz="2" w:space="0" w:color="000000"/>
              <w:start w:val="single" w:sz="2" w:space="0" w:color="000000"/>
              <w:bottom w:val="single" w:sz="2" w:space="0" w:color="000000"/>
              <w:end w:val="single" w:sz="2" w:space="0" w:color="000000"/>
            </w:tcBorders>
          </w:tcPr>
          <w:p>
            <w:pPr>
              <w:pStyle w:val="Normal"/>
              <w:jc w:val="center"/>
              <w:rPr>
                <w:b/>
                <w:color w:val="000000"/>
                <w:sz w:val="16"/>
              </w:rPr>
            </w:pPr>
            <w:r>
              <w:rPr>
                <w:b/>
                <w:color w:val="000000"/>
                <w:sz w:val="16"/>
              </w:rPr>
              <w:t>$13.2</w:t>
            </w:r>
          </w:p>
        </w:tc>
        <w:tc>
          <w:tcPr>
            <w:tcW w:w="1361" w:type="dxa"/>
            <w:gridSpan w:val="2"/>
            <w:tcBorders>
              <w:top w:val="single" w:sz="2" w:space="0" w:color="000000"/>
              <w:start w:val="single" w:sz="2" w:space="0" w:color="000000"/>
              <w:bottom w:val="single" w:sz="2" w:space="0" w:color="000000"/>
              <w:end w:val="single" w:sz="2" w:space="0" w:color="000000"/>
            </w:tcBorders>
          </w:tcPr>
          <w:p>
            <w:pPr>
              <w:pStyle w:val="Normal"/>
              <w:jc w:val="center"/>
              <w:rPr>
                <w:b/>
                <w:color w:val="000000"/>
                <w:sz w:val="16"/>
              </w:rPr>
            </w:pPr>
            <w:r>
              <w:rPr>
                <w:b/>
                <w:color w:val="000000"/>
                <w:sz w:val="16"/>
              </w:rPr>
              <w:t>0.00%</w:t>
            </w:r>
          </w:p>
        </w:tc>
      </w:tr>
      <w:tr>
        <w:trPr>
          <w:trHeight w:val="247" w:hRule="atLeast"/>
        </w:trPr>
        <w:tc>
          <w:tcPr>
            <w:tcW w:w="1754" w:type="dxa"/>
            <w:tcBorders>
              <w:top w:val="single" w:sz="2" w:space="0" w:color="000000"/>
              <w:start w:val="single" w:sz="2" w:space="0" w:color="000000"/>
              <w:bottom w:val="single" w:sz="2" w:space="0" w:color="000000"/>
              <w:end w:val="single" w:sz="2" w:space="0" w:color="000000"/>
            </w:tcBorders>
          </w:tcPr>
          <w:p>
            <w:pPr>
              <w:pStyle w:val="Normal"/>
              <w:rPr>
                <w:b/>
                <w:color w:val="000000"/>
                <w:sz w:val="16"/>
              </w:rPr>
            </w:pPr>
            <w:r>
              <w:rPr>
                <w:b/>
                <w:color w:val="000000"/>
                <w:sz w:val="16"/>
              </w:rPr>
              <w:t>Stby-P</w:t>
            </w:r>
          </w:p>
        </w:tc>
        <w:tc>
          <w:tcPr>
            <w:tcW w:w="1440" w:type="dxa"/>
            <w:gridSpan w:val="2"/>
            <w:tcBorders>
              <w:top w:val="single" w:sz="2" w:space="0" w:color="000000"/>
              <w:start w:val="single" w:sz="2" w:space="0" w:color="000000"/>
              <w:bottom w:val="single" w:sz="2" w:space="0" w:color="000000"/>
              <w:end w:val="single" w:sz="2" w:space="0" w:color="000000"/>
            </w:tcBorders>
          </w:tcPr>
          <w:p>
            <w:pPr>
              <w:pStyle w:val="Normal"/>
              <w:jc w:val="center"/>
              <w:rPr>
                <w:b/>
                <w:color w:val="000000"/>
                <w:sz w:val="16"/>
              </w:rPr>
            </w:pPr>
            <w:r>
              <w:rPr>
                <w:b/>
                <w:color w:val="000000"/>
                <w:sz w:val="16"/>
              </w:rPr>
              <w:t>30</w:t>
            </w:r>
          </w:p>
        </w:tc>
        <w:tc>
          <w:tcPr>
            <w:tcW w:w="1440" w:type="dxa"/>
            <w:gridSpan w:val="2"/>
            <w:tcBorders>
              <w:top w:val="single" w:sz="2" w:space="0" w:color="000000"/>
              <w:start w:val="single" w:sz="2" w:space="0" w:color="000000"/>
              <w:bottom w:val="single" w:sz="2" w:space="0" w:color="000000"/>
              <w:end w:val="single" w:sz="2" w:space="0" w:color="000000"/>
            </w:tcBorders>
          </w:tcPr>
          <w:p>
            <w:pPr>
              <w:pStyle w:val="Normal"/>
              <w:jc w:val="center"/>
              <w:rPr>
                <w:b/>
                <w:color w:val="000000"/>
                <w:sz w:val="16"/>
              </w:rPr>
            </w:pPr>
            <w:r>
              <w:rPr>
                <w:b/>
                <w:color w:val="000000"/>
                <w:sz w:val="16"/>
              </w:rPr>
              <w:t>$4.3</w:t>
            </w:r>
          </w:p>
        </w:tc>
        <w:tc>
          <w:tcPr>
            <w:tcW w:w="1399" w:type="dxa"/>
            <w:tcBorders>
              <w:top w:val="single" w:sz="2" w:space="0" w:color="000000"/>
              <w:start w:val="single" w:sz="2" w:space="0" w:color="000000"/>
              <w:bottom w:val="single" w:sz="2" w:space="0" w:color="000000"/>
              <w:end w:val="single" w:sz="2" w:space="0" w:color="000000"/>
            </w:tcBorders>
          </w:tcPr>
          <w:p>
            <w:pPr>
              <w:pStyle w:val="Normal"/>
              <w:jc w:val="center"/>
              <w:rPr>
                <w:b/>
                <w:color w:val="000000"/>
                <w:sz w:val="16"/>
              </w:rPr>
            </w:pPr>
            <w:r>
              <w:rPr>
                <w:b/>
                <w:color w:val="000000"/>
                <w:sz w:val="16"/>
              </w:rPr>
              <w:t>$0</w:t>
            </w:r>
          </w:p>
        </w:tc>
        <w:tc>
          <w:tcPr>
            <w:tcW w:w="1440" w:type="dxa"/>
            <w:gridSpan w:val="2"/>
            <w:tcBorders>
              <w:top w:val="single" w:sz="2" w:space="0" w:color="000000"/>
              <w:start w:val="single" w:sz="2" w:space="0" w:color="000000"/>
              <w:bottom w:val="single" w:sz="2" w:space="0" w:color="000000"/>
              <w:end w:val="single" w:sz="2" w:space="0" w:color="000000"/>
            </w:tcBorders>
          </w:tcPr>
          <w:p>
            <w:pPr>
              <w:pStyle w:val="Normal"/>
              <w:jc w:val="center"/>
              <w:rPr>
                <w:b/>
                <w:color w:val="000000"/>
                <w:sz w:val="16"/>
              </w:rPr>
            </w:pPr>
            <w:r>
              <w:rPr>
                <w:b/>
                <w:color w:val="000000"/>
                <w:sz w:val="16"/>
              </w:rPr>
              <w:t>$4.3</w:t>
            </w:r>
          </w:p>
        </w:tc>
        <w:tc>
          <w:tcPr>
            <w:tcW w:w="1361" w:type="dxa"/>
            <w:gridSpan w:val="2"/>
            <w:tcBorders>
              <w:top w:val="single" w:sz="2" w:space="0" w:color="000000"/>
              <w:start w:val="single" w:sz="2" w:space="0" w:color="000000"/>
              <w:bottom w:val="single" w:sz="2" w:space="0" w:color="000000"/>
              <w:end w:val="single" w:sz="2" w:space="0" w:color="000000"/>
            </w:tcBorders>
          </w:tcPr>
          <w:p>
            <w:pPr>
              <w:pStyle w:val="Normal"/>
              <w:jc w:val="center"/>
              <w:rPr>
                <w:b/>
                <w:color w:val="000000"/>
                <w:sz w:val="16"/>
              </w:rPr>
            </w:pPr>
            <w:r>
              <w:rPr>
                <w:b/>
                <w:color w:val="000000"/>
                <w:sz w:val="16"/>
              </w:rPr>
              <w:t>0.00%</w:t>
            </w:r>
          </w:p>
        </w:tc>
      </w:tr>
      <w:tr>
        <w:trPr>
          <w:trHeight w:val="247" w:hRule="atLeast"/>
        </w:trPr>
        <w:tc>
          <w:tcPr>
            <w:tcW w:w="1754" w:type="dxa"/>
            <w:tcBorders>
              <w:top w:val="single" w:sz="2" w:space="0" w:color="000000"/>
              <w:start w:val="single" w:sz="2" w:space="0" w:color="000000"/>
              <w:bottom w:val="single" w:sz="2" w:space="0" w:color="000000"/>
              <w:end w:val="single" w:sz="2" w:space="0" w:color="000000"/>
            </w:tcBorders>
          </w:tcPr>
          <w:p>
            <w:pPr>
              <w:pStyle w:val="Normal"/>
              <w:rPr>
                <w:b/>
                <w:color w:val="000000"/>
                <w:sz w:val="16"/>
              </w:rPr>
            </w:pPr>
            <w:r>
              <w:rPr>
                <w:b/>
                <w:color w:val="000000"/>
                <w:sz w:val="16"/>
              </w:rPr>
              <w:t>Stby-S</w:t>
            </w:r>
          </w:p>
        </w:tc>
        <w:tc>
          <w:tcPr>
            <w:tcW w:w="1440" w:type="dxa"/>
            <w:gridSpan w:val="2"/>
            <w:tcBorders>
              <w:top w:val="single" w:sz="2" w:space="0" w:color="000000"/>
              <w:start w:val="single" w:sz="2" w:space="0" w:color="000000"/>
              <w:bottom w:val="single" w:sz="2" w:space="0" w:color="000000"/>
              <w:end w:val="single" w:sz="2" w:space="0" w:color="000000"/>
            </w:tcBorders>
          </w:tcPr>
          <w:p>
            <w:pPr>
              <w:pStyle w:val="Normal"/>
              <w:jc w:val="center"/>
              <w:rPr>
                <w:b/>
                <w:color w:val="000000"/>
                <w:sz w:val="16"/>
              </w:rPr>
            </w:pPr>
            <w:r>
              <w:rPr>
                <w:b/>
                <w:color w:val="000000"/>
                <w:sz w:val="16"/>
              </w:rPr>
              <w:t>7</w:t>
            </w:r>
          </w:p>
        </w:tc>
        <w:tc>
          <w:tcPr>
            <w:tcW w:w="1440" w:type="dxa"/>
            <w:gridSpan w:val="2"/>
            <w:tcBorders>
              <w:top w:val="single" w:sz="2" w:space="0" w:color="000000"/>
              <w:start w:val="single" w:sz="2" w:space="0" w:color="000000"/>
              <w:bottom w:val="single" w:sz="2" w:space="0" w:color="000000"/>
              <w:end w:val="single" w:sz="2" w:space="0" w:color="000000"/>
            </w:tcBorders>
          </w:tcPr>
          <w:p>
            <w:pPr>
              <w:pStyle w:val="Normal"/>
              <w:jc w:val="center"/>
              <w:rPr>
                <w:b/>
                <w:color w:val="000000"/>
                <w:sz w:val="16"/>
              </w:rPr>
            </w:pPr>
            <w:r>
              <w:rPr>
                <w:b/>
                <w:color w:val="000000"/>
                <w:sz w:val="16"/>
              </w:rPr>
              <w:t>$0.9</w:t>
            </w:r>
          </w:p>
        </w:tc>
        <w:tc>
          <w:tcPr>
            <w:tcW w:w="1399" w:type="dxa"/>
            <w:tcBorders>
              <w:top w:val="single" w:sz="2" w:space="0" w:color="000000"/>
              <w:start w:val="single" w:sz="2" w:space="0" w:color="000000"/>
              <w:bottom w:val="single" w:sz="2" w:space="0" w:color="000000"/>
              <w:end w:val="single" w:sz="2" w:space="0" w:color="000000"/>
            </w:tcBorders>
          </w:tcPr>
          <w:p>
            <w:pPr>
              <w:pStyle w:val="Normal"/>
              <w:jc w:val="center"/>
              <w:rPr>
                <w:b/>
                <w:color w:val="000000"/>
                <w:sz w:val="16"/>
              </w:rPr>
            </w:pPr>
            <w:r>
              <w:rPr>
                <w:b/>
                <w:color w:val="000000"/>
                <w:sz w:val="16"/>
              </w:rPr>
              <w:t>$0</w:t>
            </w:r>
          </w:p>
        </w:tc>
        <w:tc>
          <w:tcPr>
            <w:tcW w:w="1440" w:type="dxa"/>
            <w:gridSpan w:val="2"/>
            <w:tcBorders>
              <w:top w:val="single" w:sz="2" w:space="0" w:color="000000"/>
              <w:start w:val="single" w:sz="2" w:space="0" w:color="000000"/>
              <w:bottom w:val="single" w:sz="2" w:space="0" w:color="000000"/>
              <w:end w:val="single" w:sz="2" w:space="0" w:color="000000"/>
            </w:tcBorders>
          </w:tcPr>
          <w:p>
            <w:pPr>
              <w:pStyle w:val="Normal"/>
              <w:jc w:val="center"/>
              <w:rPr>
                <w:b/>
                <w:color w:val="000000"/>
                <w:sz w:val="16"/>
              </w:rPr>
            </w:pPr>
            <w:r>
              <w:rPr>
                <w:b/>
                <w:color w:val="000000"/>
                <w:sz w:val="16"/>
              </w:rPr>
              <w:t>$0.8</w:t>
            </w:r>
          </w:p>
        </w:tc>
        <w:tc>
          <w:tcPr>
            <w:tcW w:w="1361" w:type="dxa"/>
            <w:gridSpan w:val="2"/>
            <w:tcBorders>
              <w:top w:val="single" w:sz="2" w:space="0" w:color="000000"/>
              <w:start w:val="single" w:sz="2" w:space="0" w:color="000000"/>
              <w:bottom w:val="single" w:sz="2" w:space="0" w:color="000000"/>
              <w:end w:val="single" w:sz="2" w:space="0" w:color="000000"/>
            </w:tcBorders>
          </w:tcPr>
          <w:p>
            <w:pPr>
              <w:pStyle w:val="Normal"/>
              <w:jc w:val="center"/>
              <w:rPr>
                <w:b/>
                <w:color w:val="000000"/>
                <w:sz w:val="16"/>
              </w:rPr>
            </w:pPr>
            <w:r>
              <w:rPr>
                <w:b/>
                <w:color w:val="000000"/>
                <w:sz w:val="16"/>
              </w:rPr>
              <w:t>0.00%</w:t>
            </w:r>
          </w:p>
        </w:tc>
      </w:tr>
      <w:tr>
        <w:trPr>
          <w:trHeight w:val="247" w:hRule="atLeast"/>
        </w:trPr>
        <w:tc>
          <w:tcPr>
            <w:tcW w:w="1754" w:type="dxa"/>
            <w:tcBorders>
              <w:top w:val="single" w:sz="2" w:space="0" w:color="000000"/>
              <w:start w:val="single" w:sz="2" w:space="0" w:color="000000"/>
              <w:bottom w:val="single" w:sz="2" w:space="0" w:color="000000"/>
              <w:end w:val="single" w:sz="2" w:space="0" w:color="000000"/>
            </w:tcBorders>
          </w:tcPr>
          <w:p>
            <w:pPr>
              <w:pStyle w:val="Normal"/>
              <w:rPr>
                <w:b/>
                <w:color w:val="000000"/>
                <w:sz w:val="16"/>
              </w:rPr>
            </w:pPr>
            <w:r>
              <w:rPr>
                <w:b/>
                <w:color w:val="000000"/>
                <w:sz w:val="16"/>
              </w:rPr>
              <w:t>Lighting</w:t>
            </w:r>
          </w:p>
        </w:tc>
        <w:tc>
          <w:tcPr>
            <w:tcW w:w="1440" w:type="dxa"/>
            <w:gridSpan w:val="2"/>
            <w:tcBorders>
              <w:top w:val="single" w:sz="2" w:space="0" w:color="000000"/>
              <w:start w:val="single" w:sz="2" w:space="0" w:color="000000"/>
              <w:bottom w:val="single" w:sz="2" w:space="0" w:color="000000"/>
              <w:end w:val="single" w:sz="2" w:space="0" w:color="000000"/>
            </w:tcBorders>
          </w:tcPr>
          <w:p>
            <w:pPr>
              <w:pStyle w:val="Normal"/>
              <w:jc w:val="center"/>
              <w:rPr>
                <w:b/>
                <w:color w:val="000000"/>
                <w:sz w:val="16"/>
              </w:rPr>
            </w:pPr>
            <w:r>
              <w:rPr>
                <w:b/>
                <w:color w:val="000000"/>
                <w:sz w:val="16"/>
              </w:rPr>
              <w:t>351</w:t>
            </w:r>
          </w:p>
        </w:tc>
        <w:tc>
          <w:tcPr>
            <w:tcW w:w="1440" w:type="dxa"/>
            <w:gridSpan w:val="2"/>
            <w:tcBorders>
              <w:top w:val="single" w:sz="2" w:space="0" w:color="000000"/>
              <w:start w:val="single" w:sz="2" w:space="0" w:color="000000"/>
              <w:bottom w:val="single" w:sz="2" w:space="0" w:color="000000"/>
              <w:end w:val="single" w:sz="2" w:space="0" w:color="000000"/>
            </w:tcBorders>
          </w:tcPr>
          <w:p>
            <w:pPr>
              <w:pStyle w:val="Normal"/>
              <w:jc w:val="center"/>
              <w:rPr>
                <w:b/>
                <w:color w:val="000000"/>
                <w:sz w:val="16"/>
              </w:rPr>
            </w:pPr>
            <w:r>
              <w:rPr>
                <w:b/>
                <w:color w:val="000000"/>
                <w:sz w:val="16"/>
              </w:rPr>
              <w:t>$46.4</w:t>
            </w:r>
          </w:p>
        </w:tc>
        <w:tc>
          <w:tcPr>
            <w:tcW w:w="1399" w:type="dxa"/>
            <w:tcBorders>
              <w:top w:val="single" w:sz="2" w:space="0" w:color="000000"/>
              <w:start w:val="single" w:sz="2" w:space="0" w:color="000000"/>
              <w:bottom w:val="single" w:sz="2" w:space="0" w:color="000000"/>
              <w:end w:val="single" w:sz="2" w:space="0" w:color="000000"/>
            </w:tcBorders>
          </w:tcPr>
          <w:p>
            <w:pPr>
              <w:pStyle w:val="Normal"/>
              <w:jc w:val="center"/>
              <w:rPr>
                <w:b/>
                <w:color w:val="000000"/>
                <w:sz w:val="16"/>
              </w:rPr>
            </w:pPr>
            <w:r>
              <w:rPr>
                <w:b/>
                <w:color w:val="000000"/>
                <w:sz w:val="16"/>
              </w:rPr>
              <w:t>$0.9</w:t>
            </w:r>
          </w:p>
        </w:tc>
        <w:tc>
          <w:tcPr>
            <w:tcW w:w="1440" w:type="dxa"/>
            <w:gridSpan w:val="2"/>
            <w:tcBorders>
              <w:top w:val="single" w:sz="2" w:space="0" w:color="000000"/>
              <w:start w:val="single" w:sz="2" w:space="0" w:color="000000"/>
              <w:bottom w:val="single" w:sz="2" w:space="0" w:color="000000"/>
              <w:end w:val="single" w:sz="2" w:space="0" w:color="000000"/>
            </w:tcBorders>
          </w:tcPr>
          <w:p>
            <w:pPr>
              <w:pStyle w:val="Normal"/>
              <w:jc w:val="center"/>
              <w:rPr>
                <w:b/>
                <w:color w:val="000000"/>
                <w:sz w:val="16"/>
              </w:rPr>
            </w:pPr>
            <w:r>
              <w:rPr>
                <w:b/>
                <w:color w:val="000000"/>
                <w:sz w:val="16"/>
              </w:rPr>
              <w:t>$47.4</w:t>
            </w:r>
          </w:p>
        </w:tc>
        <w:tc>
          <w:tcPr>
            <w:tcW w:w="1361" w:type="dxa"/>
            <w:gridSpan w:val="2"/>
            <w:tcBorders>
              <w:top w:val="single" w:sz="2" w:space="0" w:color="000000"/>
              <w:start w:val="single" w:sz="2" w:space="0" w:color="000000"/>
              <w:bottom w:val="single" w:sz="2" w:space="0" w:color="000000"/>
              <w:end w:val="single" w:sz="2" w:space="0" w:color="000000"/>
            </w:tcBorders>
          </w:tcPr>
          <w:p>
            <w:pPr>
              <w:pStyle w:val="Normal"/>
              <w:jc w:val="center"/>
              <w:rPr>
                <w:b/>
                <w:color w:val="000000"/>
                <w:sz w:val="16"/>
              </w:rPr>
            </w:pPr>
            <w:r>
              <w:rPr>
                <w:b/>
                <w:color w:val="000000"/>
                <w:sz w:val="16"/>
              </w:rPr>
              <w:t>2.07%</w:t>
            </w:r>
          </w:p>
        </w:tc>
      </w:tr>
      <w:tr>
        <w:trPr>
          <w:trHeight w:val="247" w:hRule="atLeast"/>
        </w:trPr>
        <w:tc>
          <w:tcPr>
            <w:tcW w:w="1754" w:type="dxa"/>
            <w:tcBorders>
              <w:top w:val="single" w:sz="2" w:space="0" w:color="000000"/>
              <w:start w:val="single" w:sz="2" w:space="0" w:color="000000"/>
              <w:bottom w:val="single" w:sz="2" w:space="0" w:color="000000"/>
              <w:end w:val="single" w:sz="2" w:space="0" w:color="000000"/>
            </w:tcBorders>
          </w:tcPr>
          <w:p>
            <w:pPr>
              <w:pStyle w:val="Normal"/>
              <w:rPr>
                <w:b/>
                <w:color w:val="000000"/>
                <w:sz w:val="16"/>
              </w:rPr>
            </w:pPr>
            <w:r>
              <w:rPr>
                <w:b/>
                <w:color w:val="000000"/>
                <w:sz w:val="16"/>
              </w:rPr>
              <w:t>AG-1A</w:t>
            </w:r>
          </w:p>
        </w:tc>
        <w:tc>
          <w:tcPr>
            <w:tcW w:w="1440" w:type="dxa"/>
            <w:gridSpan w:val="2"/>
            <w:tcBorders>
              <w:top w:val="single" w:sz="2" w:space="0" w:color="000000"/>
              <w:start w:val="single" w:sz="2" w:space="0" w:color="000000"/>
              <w:bottom w:val="single" w:sz="2" w:space="0" w:color="000000"/>
              <w:end w:val="single" w:sz="2" w:space="0" w:color="000000"/>
            </w:tcBorders>
          </w:tcPr>
          <w:p>
            <w:pPr>
              <w:pStyle w:val="Normal"/>
              <w:jc w:val="center"/>
              <w:rPr>
                <w:b/>
                <w:color w:val="000000"/>
                <w:sz w:val="16"/>
              </w:rPr>
            </w:pPr>
            <w:r>
              <w:rPr>
                <w:b/>
                <w:color w:val="000000"/>
                <w:sz w:val="16"/>
              </w:rPr>
              <w:t>179</w:t>
            </w:r>
          </w:p>
        </w:tc>
        <w:tc>
          <w:tcPr>
            <w:tcW w:w="1440" w:type="dxa"/>
            <w:gridSpan w:val="2"/>
            <w:tcBorders>
              <w:top w:val="single" w:sz="2" w:space="0" w:color="000000"/>
              <w:start w:val="single" w:sz="2" w:space="0" w:color="000000"/>
              <w:bottom w:val="single" w:sz="2" w:space="0" w:color="000000"/>
              <w:end w:val="single" w:sz="2" w:space="0" w:color="000000"/>
            </w:tcBorders>
          </w:tcPr>
          <w:p>
            <w:pPr>
              <w:pStyle w:val="Normal"/>
              <w:jc w:val="center"/>
              <w:rPr>
                <w:b/>
                <w:color w:val="000000"/>
                <w:sz w:val="16"/>
              </w:rPr>
            </w:pPr>
            <w:r>
              <w:rPr>
                <w:b/>
                <w:color w:val="000000"/>
                <w:sz w:val="16"/>
              </w:rPr>
              <w:t>$39.7</w:t>
            </w:r>
          </w:p>
        </w:tc>
        <w:tc>
          <w:tcPr>
            <w:tcW w:w="1399" w:type="dxa"/>
            <w:tcBorders>
              <w:top w:val="single" w:sz="2" w:space="0" w:color="000000"/>
              <w:start w:val="single" w:sz="2" w:space="0" w:color="000000"/>
              <w:bottom w:val="single" w:sz="2" w:space="0" w:color="000000"/>
              <w:end w:val="single" w:sz="2" w:space="0" w:color="000000"/>
            </w:tcBorders>
          </w:tcPr>
          <w:p>
            <w:pPr>
              <w:pStyle w:val="Normal"/>
              <w:jc w:val="center"/>
              <w:rPr>
                <w:b/>
                <w:color w:val="000000"/>
                <w:sz w:val="16"/>
              </w:rPr>
            </w:pPr>
            <w:r>
              <w:rPr>
                <w:b/>
                <w:color w:val="000000"/>
                <w:sz w:val="16"/>
              </w:rPr>
              <w:t>$7.3</w:t>
            </w:r>
          </w:p>
        </w:tc>
        <w:tc>
          <w:tcPr>
            <w:tcW w:w="1440" w:type="dxa"/>
            <w:gridSpan w:val="2"/>
            <w:tcBorders>
              <w:top w:val="single" w:sz="2" w:space="0" w:color="000000"/>
              <w:start w:val="single" w:sz="2" w:space="0" w:color="000000"/>
              <w:bottom w:val="single" w:sz="2" w:space="0" w:color="000000"/>
              <w:end w:val="single" w:sz="2" w:space="0" w:color="000000"/>
            </w:tcBorders>
          </w:tcPr>
          <w:p>
            <w:pPr>
              <w:pStyle w:val="Normal"/>
              <w:jc w:val="center"/>
              <w:rPr>
                <w:b/>
                <w:color w:val="000000"/>
                <w:sz w:val="16"/>
              </w:rPr>
            </w:pPr>
            <w:r>
              <w:rPr>
                <w:b/>
                <w:color w:val="000000"/>
                <w:sz w:val="16"/>
              </w:rPr>
              <w:t>$46.9</w:t>
            </w:r>
          </w:p>
        </w:tc>
        <w:tc>
          <w:tcPr>
            <w:tcW w:w="1361" w:type="dxa"/>
            <w:gridSpan w:val="2"/>
            <w:tcBorders>
              <w:top w:val="single" w:sz="2" w:space="0" w:color="000000"/>
              <w:start w:val="single" w:sz="2" w:space="0" w:color="000000"/>
              <w:bottom w:val="single" w:sz="2" w:space="0" w:color="000000"/>
              <w:end w:val="single" w:sz="2" w:space="0" w:color="000000"/>
            </w:tcBorders>
          </w:tcPr>
          <w:p>
            <w:pPr>
              <w:pStyle w:val="Normal"/>
              <w:jc w:val="center"/>
              <w:rPr>
                <w:b/>
                <w:color w:val="000000"/>
                <w:sz w:val="16"/>
              </w:rPr>
            </w:pPr>
            <w:r>
              <w:rPr>
                <w:b/>
                <w:color w:val="000000"/>
                <w:sz w:val="16"/>
              </w:rPr>
              <w:t>18.29%</w:t>
            </w:r>
          </w:p>
        </w:tc>
      </w:tr>
      <w:tr>
        <w:trPr>
          <w:trHeight w:val="247" w:hRule="atLeast"/>
        </w:trPr>
        <w:tc>
          <w:tcPr>
            <w:tcW w:w="1754" w:type="dxa"/>
            <w:tcBorders>
              <w:top w:val="single" w:sz="2" w:space="0" w:color="000000"/>
              <w:start w:val="single" w:sz="2" w:space="0" w:color="000000"/>
              <w:bottom w:val="single" w:sz="2" w:space="0" w:color="000000"/>
              <w:end w:val="single" w:sz="2" w:space="0" w:color="000000"/>
            </w:tcBorders>
          </w:tcPr>
          <w:p>
            <w:pPr>
              <w:pStyle w:val="Normal"/>
              <w:rPr>
                <w:b/>
                <w:color w:val="000000"/>
                <w:sz w:val="16"/>
              </w:rPr>
            </w:pPr>
            <w:r>
              <w:rPr>
                <w:b/>
                <w:color w:val="000000"/>
                <w:sz w:val="16"/>
              </w:rPr>
              <w:t>AG-1B</w:t>
            </w:r>
          </w:p>
        </w:tc>
        <w:tc>
          <w:tcPr>
            <w:tcW w:w="1440" w:type="dxa"/>
            <w:gridSpan w:val="2"/>
            <w:tcBorders>
              <w:top w:val="single" w:sz="2" w:space="0" w:color="000000"/>
              <w:start w:val="single" w:sz="2" w:space="0" w:color="000000"/>
              <w:bottom w:val="single" w:sz="2" w:space="0" w:color="000000"/>
              <w:end w:val="single" w:sz="2" w:space="0" w:color="000000"/>
            </w:tcBorders>
          </w:tcPr>
          <w:p>
            <w:pPr>
              <w:pStyle w:val="Normal"/>
              <w:jc w:val="center"/>
              <w:rPr>
                <w:b/>
                <w:color w:val="000000"/>
                <w:sz w:val="16"/>
              </w:rPr>
            </w:pPr>
            <w:r>
              <w:rPr>
                <w:b/>
                <w:color w:val="000000"/>
                <w:sz w:val="16"/>
              </w:rPr>
              <w:t>249</w:t>
            </w:r>
          </w:p>
        </w:tc>
        <w:tc>
          <w:tcPr>
            <w:tcW w:w="1440" w:type="dxa"/>
            <w:gridSpan w:val="2"/>
            <w:tcBorders>
              <w:top w:val="single" w:sz="2" w:space="0" w:color="000000"/>
              <w:start w:val="single" w:sz="2" w:space="0" w:color="000000"/>
              <w:bottom w:val="single" w:sz="2" w:space="0" w:color="000000"/>
              <w:end w:val="single" w:sz="2" w:space="0" w:color="000000"/>
            </w:tcBorders>
          </w:tcPr>
          <w:p>
            <w:pPr>
              <w:pStyle w:val="Normal"/>
              <w:jc w:val="center"/>
              <w:rPr>
                <w:b/>
                <w:color w:val="000000"/>
                <w:sz w:val="16"/>
              </w:rPr>
            </w:pPr>
            <w:r>
              <w:rPr>
                <w:b/>
                <w:color w:val="000000"/>
                <w:sz w:val="16"/>
              </w:rPr>
              <w:t>$42.9</w:t>
            </w:r>
          </w:p>
        </w:tc>
        <w:tc>
          <w:tcPr>
            <w:tcW w:w="1399" w:type="dxa"/>
            <w:tcBorders>
              <w:top w:val="single" w:sz="2" w:space="0" w:color="000000"/>
              <w:start w:val="single" w:sz="2" w:space="0" w:color="000000"/>
              <w:bottom w:val="single" w:sz="2" w:space="0" w:color="000000"/>
              <w:end w:val="single" w:sz="2" w:space="0" w:color="000000"/>
            </w:tcBorders>
          </w:tcPr>
          <w:p>
            <w:pPr>
              <w:pStyle w:val="Normal"/>
              <w:jc w:val="center"/>
              <w:rPr>
                <w:b/>
                <w:color w:val="000000"/>
                <w:sz w:val="16"/>
              </w:rPr>
            </w:pPr>
            <w:r>
              <w:rPr>
                <w:b/>
                <w:color w:val="000000"/>
                <w:sz w:val="16"/>
              </w:rPr>
              <w:t>$11.0</w:t>
            </w:r>
          </w:p>
        </w:tc>
        <w:tc>
          <w:tcPr>
            <w:tcW w:w="1440" w:type="dxa"/>
            <w:gridSpan w:val="2"/>
            <w:tcBorders>
              <w:top w:val="single" w:sz="2" w:space="0" w:color="000000"/>
              <w:start w:val="single" w:sz="2" w:space="0" w:color="000000"/>
              <w:bottom w:val="single" w:sz="2" w:space="0" w:color="000000"/>
              <w:end w:val="single" w:sz="2" w:space="0" w:color="000000"/>
            </w:tcBorders>
          </w:tcPr>
          <w:p>
            <w:pPr>
              <w:pStyle w:val="Normal"/>
              <w:jc w:val="center"/>
              <w:rPr>
                <w:b/>
                <w:color w:val="000000"/>
                <w:sz w:val="16"/>
              </w:rPr>
            </w:pPr>
            <w:r>
              <w:rPr>
                <w:b/>
                <w:color w:val="000000"/>
                <w:sz w:val="16"/>
              </w:rPr>
              <w:t>$53.9</w:t>
            </w:r>
          </w:p>
        </w:tc>
        <w:tc>
          <w:tcPr>
            <w:tcW w:w="1361" w:type="dxa"/>
            <w:gridSpan w:val="2"/>
            <w:tcBorders>
              <w:top w:val="single" w:sz="2" w:space="0" w:color="000000"/>
              <w:start w:val="single" w:sz="2" w:space="0" w:color="000000"/>
              <w:bottom w:val="single" w:sz="2" w:space="0" w:color="000000"/>
              <w:end w:val="single" w:sz="2" w:space="0" w:color="000000"/>
            </w:tcBorders>
          </w:tcPr>
          <w:p>
            <w:pPr>
              <w:pStyle w:val="Normal"/>
              <w:jc w:val="center"/>
              <w:rPr>
                <w:b/>
                <w:color w:val="000000"/>
                <w:sz w:val="16"/>
              </w:rPr>
            </w:pPr>
            <w:r>
              <w:rPr>
                <w:b/>
                <w:color w:val="000000"/>
                <w:sz w:val="16"/>
              </w:rPr>
              <w:t>25.69%</w:t>
            </w:r>
          </w:p>
        </w:tc>
      </w:tr>
      <w:tr>
        <w:trPr>
          <w:trHeight w:val="247" w:hRule="atLeast"/>
        </w:trPr>
        <w:tc>
          <w:tcPr>
            <w:tcW w:w="1754" w:type="dxa"/>
            <w:tcBorders>
              <w:top w:val="single" w:sz="2" w:space="0" w:color="000000"/>
              <w:start w:val="single" w:sz="2" w:space="0" w:color="000000"/>
              <w:bottom w:val="single" w:sz="2" w:space="0" w:color="000000"/>
              <w:end w:val="single" w:sz="2" w:space="0" w:color="000000"/>
            </w:tcBorders>
          </w:tcPr>
          <w:p>
            <w:pPr>
              <w:pStyle w:val="Normal"/>
              <w:rPr>
                <w:b/>
                <w:color w:val="000000"/>
                <w:sz w:val="16"/>
              </w:rPr>
            </w:pPr>
            <w:r>
              <w:rPr>
                <w:b/>
                <w:color w:val="000000"/>
                <w:sz w:val="16"/>
              </w:rPr>
              <w:t>AG-RA</w:t>
            </w:r>
          </w:p>
        </w:tc>
        <w:tc>
          <w:tcPr>
            <w:tcW w:w="1440" w:type="dxa"/>
            <w:gridSpan w:val="2"/>
            <w:tcBorders>
              <w:top w:val="single" w:sz="2" w:space="0" w:color="000000"/>
              <w:start w:val="single" w:sz="2" w:space="0" w:color="000000"/>
              <w:bottom w:val="single" w:sz="2" w:space="0" w:color="000000"/>
              <w:end w:val="single" w:sz="2" w:space="0" w:color="000000"/>
            </w:tcBorders>
          </w:tcPr>
          <w:p>
            <w:pPr>
              <w:pStyle w:val="Normal"/>
              <w:jc w:val="center"/>
              <w:rPr>
                <w:b/>
                <w:color w:val="000000"/>
                <w:sz w:val="16"/>
              </w:rPr>
            </w:pPr>
            <w:r>
              <w:rPr>
                <w:b/>
                <w:color w:val="000000"/>
                <w:sz w:val="16"/>
              </w:rPr>
              <w:t>29</w:t>
            </w:r>
          </w:p>
        </w:tc>
        <w:tc>
          <w:tcPr>
            <w:tcW w:w="1440" w:type="dxa"/>
            <w:gridSpan w:val="2"/>
            <w:tcBorders>
              <w:top w:val="single" w:sz="2" w:space="0" w:color="000000"/>
              <w:start w:val="single" w:sz="2" w:space="0" w:color="000000"/>
              <w:bottom w:val="single" w:sz="2" w:space="0" w:color="000000"/>
              <w:end w:val="single" w:sz="2" w:space="0" w:color="000000"/>
            </w:tcBorders>
          </w:tcPr>
          <w:p>
            <w:pPr>
              <w:pStyle w:val="Normal"/>
              <w:jc w:val="center"/>
              <w:rPr>
                <w:b/>
                <w:color w:val="000000"/>
                <w:sz w:val="16"/>
              </w:rPr>
            </w:pPr>
            <w:r>
              <w:rPr>
                <w:b/>
                <w:color w:val="000000"/>
                <w:sz w:val="16"/>
              </w:rPr>
              <w:t>$4.6</w:t>
            </w:r>
          </w:p>
        </w:tc>
        <w:tc>
          <w:tcPr>
            <w:tcW w:w="1399" w:type="dxa"/>
            <w:tcBorders>
              <w:top w:val="single" w:sz="2" w:space="0" w:color="000000"/>
              <w:start w:val="single" w:sz="2" w:space="0" w:color="000000"/>
              <w:bottom w:val="single" w:sz="2" w:space="0" w:color="000000"/>
              <w:end w:val="single" w:sz="2" w:space="0" w:color="000000"/>
            </w:tcBorders>
          </w:tcPr>
          <w:p>
            <w:pPr>
              <w:pStyle w:val="Normal"/>
              <w:jc w:val="center"/>
              <w:rPr>
                <w:b/>
                <w:color w:val="000000"/>
                <w:sz w:val="16"/>
              </w:rPr>
            </w:pPr>
            <w:r>
              <w:rPr>
                <w:b/>
                <w:color w:val="000000"/>
                <w:sz w:val="16"/>
              </w:rPr>
              <w:t>$0.5</w:t>
            </w:r>
          </w:p>
        </w:tc>
        <w:tc>
          <w:tcPr>
            <w:tcW w:w="1440" w:type="dxa"/>
            <w:gridSpan w:val="2"/>
            <w:tcBorders>
              <w:top w:val="single" w:sz="2" w:space="0" w:color="000000"/>
              <w:start w:val="single" w:sz="2" w:space="0" w:color="000000"/>
              <w:bottom w:val="single" w:sz="2" w:space="0" w:color="000000"/>
              <w:end w:val="single" w:sz="2" w:space="0" w:color="000000"/>
            </w:tcBorders>
          </w:tcPr>
          <w:p>
            <w:pPr>
              <w:pStyle w:val="Normal"/>
              <w:jc w:val="center"/>
              <w:rPr>
                <w:b/>
                <w:color w:val="000000"/>
                <w:sz w:val="16"/>
              </w:rPr>
            </w:pPr>
            <w:r>
              <w:rPr>
                <w:b/>
                <w:color w:val="000000"/>
                <w:sz w:val="16"/>
              </w:rPr>
              <w:t>$5.1</w:t>
            </w:r>
          </w:p>
        </w:tc>
        <w:tc>
          <w:tcPr>
            <w:tcW w:w="1361" w:type="dxa"/>
            <w:gridSpan w:val="2"/>
            <w:tcBorders>
              <w:top w:val="single" w:sz="2" w:space="0" w:color="000000"/>
              <w:start w:val="single" w:sz="2" w:space="0" w:color="000000"/>
              <w:bottom w:val="single" w:sz="2" w:space="0" w:color="000000"/>
              <w:end w:val="single" w:sz="2" w:space="0" w:color="000000"/>
            </w:tcBorders>
          </w:tcPr>
          <w:p>
            <w:pPr>
              <w:pStyle w:val="Normal"/>
              <w:jc w:val="center"/>
              <w:rPr>
                <w:b/>
                <w:color w:val="000000"/>
                <w:sz w:val="16"/>
              </w:rPr>
            </w:pPr>
            <w:r>
              <w:rPr>
                <w:b/>
                <w:color w:val="000000"/>
                <w:sz w:val="16"/>
              </w:rPr>
              <w:t>11.60%</w:t>
            </w:r>
          </w:p>
        </w:tc>
      </w:tr>
      <w:tr>
        <w:trPr>
          <w:trHeight w:val="247" w:hRule="atLeast"/>
        </w:trPr>
        <w:tc>
          <w:tcPr>
            <w:tcW w:w="1754" w:type="dxa"/>
            <w:tcBorders>
              <w:top w:val="single" w:sz="2" w:space="0" w:color="000000"/>
              <w:start w:val="single" w:sz="2" w:space="0" w:color="000000"/>
              <w:bottom w:val="single" w:sz="2" w:space="0" w:color="000000"/>
              <w:end w:val="single" w:sz="2" w:space="0" w:color="000000"/>
            </w:tcBorders>
          </w:tcPr>
          <w:p>
            <w:pPr>
              <w:pStyle w:val="Normal"/>
              <w:rPr>
                <w:b/>
                <w:color w:val="000000"/>
                <w:sz w:val="16"/>
              </w:rPr>
            </w:pPr>
            <w:r>
              <w:rPr>
                <w:b/>
                <w:color w:val="000000"/>
                <w:sz w:val="16"/>
              </w:rPr>
              <w:t>AG-RB</w:t>
            </w:r>
          </w:p>
        </w:tc>
        <w:tc>
          <w:tcPr>
            <w:tcW w:w="1440" w:type="dxa"/>
            <w:gridSpan w:val="2"/>
            <w:tcBorders>
              <w:top w:val="single" w:sz="2" w:space="0" w:color="000000"/>
              <w:start w:val="single" w:sz="2" w:space="0" w:color="000000"/>
              <w:bottom w:val="single" w:sz="2" w:space="0" w:color="000000"/>
              <w:end w:val="single" w:sz="2" w:space="0" w:color="000000"/>
            </w:tcBorders>
          </w:tcPr>
          <w:p>
            <w:pPr>
              <w:pStyle w:val="Normal"/>
              <w:jc w:val="center"/>
              <w:rPr>
                <w:b/>
                <w:color w:val="000000"/>
                <w:sz w:val="16"/>
              </w:rPr>
            </w:pPr>
            <w:r>
              <w:rPr>
                <w:b/>
                <w:color w:val="000000"/>
                <w:sz w:val="16"/>
              </w:rPr>
              <w:t>26</w:t>
            </w:r>
          </w:p>
        </w:tc>
        <w:tc>
          <w:tcPr>
            <w:tcW w:w="1440" w:type="dxa"/>
            <w:gridSpan w:val="2"/>
            <w:tcBorders>
              <w:top w:val="single" w:sz="2" w:space="0" w:color="000000"/>
              <w:start w:val="single" w:sz="2" w:space="0" w:color="000000"/>
              <w:bottom w:val="single" w:sz="2" w:space="0" w:color="000000"/>
              <w:end w:val="single" w:sz="2" w:space="0" w:color="000000"/>
            </w:tcBorders>
          </w:tcPr>
          <w:p>
            <w:pPr>
              <w:pStyle w:val="Normal"/>
              <w:jc w:val="center"/>
              <w:rPr>
                <w:b/>
                <w:color w:val="000000"/>
                <w:sz w:val="16"/>
              </w:rPr>
            </w:pPr>
            <w:r>
              <w:rPr>
                <w:b/>
                <w:color w:val="000000"/>
                <w:sz w:val="16"/>
              </w:rPr>
              <w:t>$3.9</w:t>
            </w:r>
          </w:p>
        </w:tc>
        <w:tc>
          <w:tcPr>
            <w:tcW w:w="1399" w:type="dxa"/>
            <w:tcBorders>
              <w:top w:val="single" w:sz="2" w:space="0" w:color="000000"/>
              <w:start w:val="single" w:sz="2" w:space="0" w:color="000000"/>
              <w:bottom w:val="single" w:sz="2" w:space="0" w:color="000000"/>
              <w:end w:val="single" w:sz="2" w:space="0" w:color="000000"/>
            </w:tcBorders>
          </w:tcPr>
          <w:p>
            <w:pPr>
              <w:pStyle w:val="Normal"/>
              <w:jc w:val="center"/>
              <w:rPr>
                <w:b/>
                <w:color w:val="000000"/>
                <w:sz w:val="16"/>
              </w:rPr>
            </w:pPr>
            <w:r>
              <w:rPr>
                <w:b/>
                <w:color w:val="000000"/>
                <w:sz w:val="16"/>
              </w:rPr>
              <w:t>$0.4</w:t>
            </w:r>
          </w:p>
        </w:tc>
        <w:tc>
          <w:tcPr>
            <w:tcW w:w="1440" w:type="dxa"/>
            <w:gridSpan w:val="2"/>
            <w:tcBorders>
              <w:top w:val="single" w:sz="2" w:space="0" w:color="000000"/>
              <w:start w:val="single" w:sz="2" w:space="0" w:color="000000"/>
              <w:bottom w:val="single" w:sz="2" w:space="0" w:color="000000"/>
              <w:end w:val="single" w:sz="2" w:space="0" w:color="000000"/>
            </w:tcBorders>
          </w:tcPr>
          <w:p>
            <w:pPr>
              <w:pStyle w:val="Normal"/>
              <w:jc w:val="center"/>
              <w:rPr>
                <w:b/>
                <w:color w:val="000000"/>
                <w:sz w:val="16"/>
              </w:rPr>
            </w:pPr>
            <w:r>
              <w:rPr>
                <w:b/>
                <w:color w:val="000000"/>
                <w:sz w:val="16"/>
              </w:rPr>
              <w:t>$4.2</w:t>
            </w:r>
          </w:p>
        </w:tc>
        <w:tc>
          <w:tcPr>
            <w:tcW w:w="1361" w:type="dxa"/>
            <w:gridSpan w:val="2"/>
            <w:tcBorders>
              <w:top w:val="single" w:sz="2" w:space="0" w:color="000000"/>
              <w:start w:val="single" w:sz="2" w:space="0" w:color="000000"/>
              <w:bottom w:val="single" w:sz="2" w:space="0" w:color="000000"/>
              <w:end w:val="single" w:sz="2" w:space="0" w:color="000000"/>
            </w:tcBorders>
          </w:tcPr>
          <w:p>
            <w:pPr>
              <w:pStyle w:val="Normal"/>
              <w:jc w:val="center"/>
              <w:rPr>
                <w:b/>
                <w:color w:val="000000"/>
                <w:sz w:val="16"/>
              </w:rPr>
            </w:pPr>
            <w:r>
              <w:rPr>
                <w:b/>
                <w:color w:val="000000"/>
                <w:sz w:val="16"/>
              </w:rPr>
              <w:t>9.39%</w:t>
            </w:r>
          </w:p>
        </w:tc>
      </w:tr>
      <w:tr>
        <w:trPr>
          <w:trHeight w:val="247" w:hRule="atLeast"/>
        </w:trPr>
        <w:tc>
          <w:tcPr>
            <w:tcW w:w="1754" w:type="dxa"/>
            <w:tcBorders>
              <w:top w:val="single" w:sz="2" w:space="0" w:color="000000"/>
              <w:start w:val="single" w:sz="2" w:space="0" w:color="000000"/>
              <w:bottom w:val="single" w:sz="2" w:space="0" w:color="000000"/>
              <w:end w:val="single" w:sz="2" w:space="0" w:color="000000"/>
            </w:tcBorders>
          </w:tcPr>
          <w:p>
            <w:pPr>
              <w:pStyle w:val="Normal"/>
              <w:rPr>
                <w:b/>
                <w:color w:val="000000"/>
                <w:sz w:val="16"/>
              </w:rPr>
            </w:pPr>
            <w:r>
              <w:rPr>
                <w:b/>
                <w:color w:val="000000"/>
                <w:sz w:val="16"/>
              </w:rPr>
              <w:t>AG-VA</w:t>
            </w:r>
          </w:p>
        </w:tc>
        <w:tc>
          <w:tcPr>
            <w:tcW w:w="1440" w:type="dxa"/>
            <w:gridSpan w:val="2"/>
            <w:tcBorders>
              <w:top w:val="single" w:sz="2" w:space="0" w:color="000000"/>
              <w:start w:val="single" w:sz="2" w:space="0" w:color="000000"/>
              <w:bottom w:val="single" w:sz="2" w:space="0" w:color="000000"/>
              <w:end w:val="single" w:sz="2" w:space="0" w:color="000000"/>
            </w:tcBorders>
          </w:tcPr>
          <w:p>
            <w:pPr>
              <w:pStyle w:val="Normal"/>
              <w:jc w:val="center"/>
              <w:rPr>
                <w:b/>
                <w:color w:val="000000"/>
                <w:sz w:val="16"/>
              </w:rPr>
            </w:pPr>
            <w:r>
              <w:rPr>
                <w:b/>
                <w:color w:val="000000"/>
                <w:sz w:val="16"/>
              </w:rPr>
              <w:t>31</w:t>
            </w:r>
          </w:p>
        </w:tc>
        <w:tc>
          <w:tcPr>
            <w:tcW w:w="1440" w:type="dxa"/>
            <w:gridSpan w:val="2"/>
            <w:tcBorders>
              <w:top w:val="single" w:sz="2" w:space="0" w:color="000000"/>
              <w:start w:val="single" w:sz="2" w:space="0" w:color="000000"/>
              <w:bottom w:val="single" w:sz="2" w:space="0" w:color="000000"/>
              <w:end w:val="single" w:sz="2" w:space="0" w:color="000000"/>
            </w:tcBorders>
          </w:tcPr>
          <w:p>
            <w:pPr>
              <w:pStyle w:val="Normal"/>
              <w:jc w:val="center"/>
              <w:rPr>
                <w:b/>
                <w:color w:val="000000"/>
                <w:sz w:val="16"/>
              </w:rPr>
            </w:pPr>
            <w:r>
              <w:rPr>
                <w:b/>
                <w:color w:val="000000"/>
                <w:sz w:val="16"/>
              </w:rPr>
              <w:t>$4.9</w:t>
            </w:r>
          </w:p>
        </w:tc>
        <w:tc>
          <w:tcPr>
            <w:tcW w:w="1399" w:type="dxa"/>
            <w:tcBorders>
              <w:top w:val="single" w:sz="2" w:space="0" w:color="000000"/>
              <w:start w:val="single" w:sz="2" w:space="0" w:color="000000"/>
              <w:bottom w:val="single" w:sz="2" w:space="0" w:color="000000"/>
              <w:end w:val="single" w:sz="2" w:space="0" w:color="000000"/>
            </w:tcBorders>
          </w:tcPr>
          <w:p>
            <w:pPr>
              <w:pStyle w:val="Normal"/>
              <w:jc w:val="center"/>
              <w:rPr>
                <w:b/>
                <w:color w:val="000000"/>
                <w:sz w:val="16"/>
              </w:rPr>
            </w:pPr>
            <w:r>
              <w:rPr>
                <w:b/>
                <w:color w:val="000000"/>
                <w:sz w:val="16"/>
              </w:rPr>
              <w:t>$0.7</w:t>
            </w:r>
          </w:p>
        </w:tc>
        <w:tc>
          <w:tcPr>
            <w:tcW w:w="1440" w:type="dxa"/>
            <w:gridSpan w:val="2"/>
            <w:tcBorders>
              <w:top w:val="single" w:sz="2" w:space="0" w:color="000000"/>
              <w:start w:val="single" w:sz="2" w:space="0" w:color="000000"/>
              <w:bottom w:val="single" w:sz="2" w:space="0" w:color="000000"/>
              <w:end w:val="single" w:sz="2" w:space="0" w:color="000000"/>
            </w:tcBorders>
          </w:tcPr>
          <w:p>
            <w:pPr>
              <w:pStyle w:val="Normal"/>
              <w:jc w:val="center"/>
              <w:rPr>
                <w:b/>
                <w:color w:val="000000"/>
                <w:sz w:val="16"/>
              </w:rPr>
            </w:pPr>
            <w:r>
              <w:rPr>
                <w:b/>
                <w:color w:val="000000"/>
                <w:sz w:val="16"/>
              </w:rPr>
              <w:t>$5.7</w:t>
            </w:r>
          </w:p>
        </w:tc>
        <w:tc>
          <w:tcPr>
            <w:tcW w:w="1361" w:type="dxa"/>
            <w:gridSpan w:val="2"/>
            <w:tcBorders>
              <w:top w:val="single" w:sz="2" w:space="0" w:color="000000"/>
              <w:start w:val="single" w:sz="2" w:space="0" w:color="000000"/>
              <w:bottom w:val="single" w:sz="2" w:space="0" w:color="000000"/>
              <w:end w:val="single" w:sz="2" w:space="0" w:color="000000"/>
            </w:tcBorders>
          </w:tcPr>
          <w:p>
            <w:pPr>
              <w:pStyle w:val="Normal"/>
              <w:jc w:val="center"/>
              <w:rPr>
                <w:b/>
                <w:color w:val="000000"/>
                <w:sz w:val="16"/>
              </w:rPr>
            </w:pPr>
            <w:r>
              <w:rPr>
                <w:b/>
                <w:color w:val="000000"/>
                <w:sz w:val="16"/>
              </w:rPr>
              <w:t>15.26%</w:t>
            </w:r>
          </w:p>
        </w:tc>
      </w:tr>
      <w:tr>
        <w:trPr>
          <w:trHeight w:val="247" w:hRule="atLeast"/>
        </w:trPr>
        <w:tc>
          <w:tcPr>
            <w:tcW w:w="1754" w:type="dxa"/>
            <w:tcBorders>
              <w:top w:val="single" w:sz="2" w:space="0" w:color="000000"/>
              <w:start w:val="single" w:sz="2" w:space="0" w:color="000000"/>
              <w:bottom w:val="single" w:sz="2" w:space="0" w:color="000000"/>
              <w:end w:val="single" w:sz="2" w:space="0" w:color="000000"/>
            </w:tcBorders>
          </w:tcPr>
          <w:p>
            <w:pPr>
              <w:pStyle w:val="Normal"/>
              <w:rPr>
                <w:b/>
                <w:color w:val="000000"/>
                <w:sz w:val="16"/>
              </w:rPr>
            </w:pPr>
            <w:r>
              <w:rPr>
                <w:b/>
                <w:color w:val="000000"/>
                <w:sz w:val="16"/>
              </w:rPr>
              <w:t>AG-VB</w:t>
            </w:r>
          </w:p>
        </w:tc>
        <w:tc>
          <w:tcPr>
            <w:tcW w:w="1440" w:type="dxa"/>
            <w:gridSpan w:val="2"/>
            <w:tcBorders>
              <w:top w:val="single" w:sz="2" w:space="0" w:color="000000"/>
              <w:start w:val="single" w:sz="2" w:space="0" w:color="000000"/>
              <w:bottom w:val="single" w:sz="2" w:space="0" w:color="000000"/>
              <w:end w:val="single" w:sz="2" w:space="0" w:color="000000"/>
            </w:tcBorders>
          </w:tcPr>
          <w:p>
            <w:pPr>
              <w:pStyle w:val="Normal"/>
              <w:jc w:val="center"/>
              <w:rPr>
                <w:b/>
                <w:color w:val="000000"/>
                <w:sz w:val="16"/>
              </w:rPr>
            </w:pPr>
            <w:r>
              <w:rPr>
                <w:b/>
                <w:color w:val="000000"/>
                <w:sz w:val="16"/>
              </w:rPr>
              <w:t>18</w:t>
            </w:r>
          </w:p>
        </w:tc>
        <w:tc>
          <w:tcPr>
            <w:tcW w:w="1440" w:type="dxa"/>
            <w:gridSpan w:val="2"/>
            <w:tcBorders>
              <w:top w:val="single" w:sz="2" w:space="0" w:color="000000"/>
              <w:start w:val="single" w:sz="2" w:space="0" w:color="000000"/>
              <w:bottom w:val="single" w:sz="2" w:space="0" w:color="000000"/>
              <w:end w:val="single" w:sz="2" w:space="0" w:color="000000"/>
            </w:tcBorders>
          </w:tcPr>
          <w:p>
            <w:pPr>
              <w:pStyle w:val="Normal"/>
              <w:jc w:val="center"/>
              <w:rPr>
                <w:b/>
                <w:color w:val="000000"/>
                <w:sz w:val="16"/>
              </w:rPr>
            </w:pPr>
            <w:r>
              <w:rPr>
                <w:b/>
                <w:color w:val="000000"/>
                <w:sz w:val="16"/>
              </w:rPr>
              <w:t>$2.6</w:t>
            </w:r>
          </w:p>
        </w:tc>
        <w:tc>
          <w:tcPr>
            <w:tcW w:w="1399" w:type="dxa"/>
            <w:tcBorders>
              <w:top w:val="single" w:sz="2" w:space="0" w:color="000000"/>
              <w:start w:val="single" w:sz="2" w:space="0" w:color="000000"/>
              <w:bottom w:val="single" w:sz="2" w:space="0" w:color="000000"/>
              <w:end w:val="single" w:sz="2" w:space="0" w:color="000000"/>
            </w:tcBorders>
          </w:tcPr>
          <w:p>
            <w:pPr>
              <w:pStyle w:val="Normal"/>
              <w:jc w:val="center"/>
              <w:rPr>
                <w:b/>
                <w:color w:val="000000"/>
                <w:sz w:val="16"/>
              </w:rPr>
            </w:pPr>
            <w:r>
              <w:rPr>
                <w:b/>
                <w:color w:val="000000"/>
                <w:sz w:val="16"/>
              </w:rPr>
              <w:t>$0.3</w:t>
            </w:r>
          </w:p>
        </w:tc>
        <w:tc>
          <w:tcPr>
            <w:tcW w:w="1440" w:type="dxa"/>
            <w:gridSpan w:val="2"/>
            <w:tcBorders>
              <w:top w:val="single" w:sz="2" w:space="0" w:color="000000"/>
              <w:start w:val="single" w:sz="2" w:space="0" w:color="000000"/>
              <w:bottom w:val="single" w:sz="2" w:space="0" w:color="000000"/>
              <w:end w:val="single" w:sz="2" w:space="0" w:color="000000"/>
            </w:tcBorders>
          </w:tcPr>
          <w:p>
            <w:pPr>
              <w:pStyle w:val="Normal"/>
              <w:jc w:val="center"/>
              <w:rPr>
                <w:b/>
                <w:color w:val="000000"/>
                <w:sz w:val="16"/>
              </w:rPr>
            </w:pPr>
            <w:r>
              <w:rPr>
                <w:b/>
                <w:color w:val="000000"/>
                <w:sz w:val="16"/>
              </w:rPr>
              <w:t>$2.9</w:t>
            </w:r>
          </w:p>
        </w:tc>
        <w:tc>
          <w:tcPr>
            <w:tcW w:w="1361" w:type="dxa"/>
            <w:gridSpan w:val="2"/>
            <w:tcBorders>
              <w:top w:val="single" w:sz="2" w:space="0" w:color="000000"/>
              <w:start w:val="single" w:sz="2" w:space="0" w:color="000000"/>
              <w:bottom w:val="single" w:sz="2" w:space="0" w:color="000000"/>
              <w:end w:val="single" w:sz="2" w:space="0" w:color="000000"/>
            </w:tcBorders>
          </w:tcPr>
          <w:p>
            <w:pPr>
              <w:pStyle w:val="Normal"/>
              <w:jc w:val="center"/>
              <w:rPr>
                <w:b/>
                <w:color w:val="000000"/>
                <w:sz w:val="16"/>
              </w:rPr>
            </w:pPr>
            <w:r>
              <w:rPr>
                <w:b/>
                <w:color w:val="000000"/>
                <w:sz w:val="16"/>
              </w:rPr>
              <w:t>12.16%</w:t>
            </w:r>
          </w:p>
        </w:tc>
      </w:tr>
      <w:tr>
        <w:trPr>
          <w:trHeight w:val="247" w:hRule="atLeast"/>
        </w:trPr>
        <w:tc>
          <w:tcPr>
            <w:tcW w:w="1754" w:type="dxa"/>
            <w:tcBorders>
              <w:top w:val="single" w:sz="2" w:space="0" w:color="000000"/>
              <w:start w:val="single" w:sz="2" w:space="0" w:color="000000"/>
              <w:bottom w:val="single" w:sz="2" w:space="0" w:color="000000"/>
              <w:end w:val="single" w:sz="2" w:space="0" w:color="000000"/>
            </w:tcBorders>
          </w:tcPr>
          <w:p>
            <w:pPr>
              <w:pStyle w:val="Normal"/>
              <w:rPr>
                <w:b/>
                <w:color w:val="000000"/>
                <w:sz w:val="16"/>
              </w:rPr>
            </w:pPr>
            <w:r>
              <w:rPr>
                <w:b/>
                <w:color w:val="000000"/>
                <w:sz w:val="16"/>
              </w:rPr>
              <w:t>AG-4A</w:t>
            </w:r>
          </w:p>
        </w:tc>
        <w:tc>
          <w:tcPr>
            <w:tcW w:w="1440" w:type="dxa"/>
            <w:gridSpan w:val="2"/>
            <w:tcBorders>
              <w:top w:val="single" w:sz="2" w:space="0" w:color="000000"/>
              <w:start w:val="single" w:sz="2" w:space="0" w:color="000000"/>
              <w:bottom w:val="single" w:sz="2" w:space="0" w:color="000000"/>
              <w:end w:val="single" w:sz="2" w:space="0" w:color="000000"/>
            </w:tcBorders>
          </w:tcPr>
          <w:p>
            <w:pPr>
              <w:pStyle w:val="Normal"/>
              <w:jc w:val="center"/>
              <w:rPr>
                <w:b/>
                <w:color w:val="000000"/>
                <w:sz w:val="16"/>
              </w:rPr>
            </w:pPr>
            <w:r>
              <w:rPr>
                <w:b/>
                <w:color w:val="000000"/>
                <w:sz w:val="16"/>
              </w:rPr>
              <w:t>136</w:t>
            </w:r>
          </w:p>
        </w:tc>
        <w:tc>
          <w:tcPr>
            <w:tcW w:w="1440" w:type="dxa"/>
            <w:gridSpan w:val="2"/>
            <w:tcBorders>
              <w:top w:val="single" w:sz="2" w:space="0" w:color="000000"/>
              <w:start w:val="single" w:sz="2" w:space="0" w:color="000000"/>
              <w:bottom w:val="single" w:sz="2" w:space="0" w:color="000000"/>
              <w:end w:val="single" w:sz="2" w:space="0" w:color="000000"/>
            </w:tcBorders>
          </w:tcPr>
          <w:p>
            <w:pPr>
              <w:pStyle w:val="Normal"/>
              <w:jc w:val="center"/>
              <w:rPr>
                <w:b/>
                <w:color w:val="000000"/>
                <w:sz w:val="16"/>
              </w:rPr>
            </w:pPr>
            <w:r>
              <w:rPr>
                <w:b/>
                <w:color w:val="000000"/>
                <w:sz w:val="16"/>
              </w:rPr>
              <w:t>$20.8</w:t>
            </w:r>
          </w:p>
        </w:tc>
        <w:tc>
          <w:tcPr>
            <w:tcW w:w="1399" w:type="dxa"/>
            <w:tcBorders>
              <w:top w:val="single" w:sz="2" w:space="0" w:color="000000"/>
              <w:start w:val="single" w:sz="2" w:space="0" w:color="000000"/>
              <w:bottom w:val="single" w:sz="2" w:space="0" w:color="000000"/>
              <w:end w:val="single" w:sz="2" w:space="0" w:color="000000"/>
            </w:tcBorders>
          </w:tcPr>
          <w:p>
            <w:pPr>
              <w:pStyle w:val="Normal"/>
              <w:jc w:val="center"/>
              <w:rPr>
                <w:b/>
                <w:color w:val="000000"/>
                <w:sz w:val="16"/>
              </w:rPr>
            </w:pPr>
            <w:r>
              <w:rPr>
                <w:b/>
                <w:color w:val="000000"/>
                <w:sz w:val="16"/>
              </w:rPr>
              <w:t>$3.6,</w:t>
            </w:r>
          </w:p>
        </w:tc>
        <w:tc>
          <w:tcPr>
            <w:tcW w:w="1440" w:type="dxa"/>
            <w:gridSpan w:val="2"/>
            <w:tcBorders>
              <w:top w:val="single" w:sz="2" w:space="0" w:color="000000"/>
              <w:start w:val="single" w:sz="2" w:space="0" w:color="000000"/>
              <w:bottom w:val="single" w:sz="2" w:space="0" w:color="000000"/>
              <w:end w:val="single" w:sz="2" w:space="0" w:color="000000"/>
            </w:tcBorders>
          </w:tcPr>
          <w:p>
            <w:pPr>
              <w:pStyle w:val="Normal"/>
              <w:jc w:val="center"/>
              <w:rPr>
                <w:b/>
                <w:color w:val="000000"/>
                <w:sz w:val="16"/>
              </w:rPr>
            </w:pPr>
            <w:r>
              <w:rPr>
                <w:b/>
                <w:color w:val="000000"/>
                <w:sz w:val="16"/>
              </w:rPr>
              <w:t>$24.4</w:t>
            </w:r>
          </w:p>
        </w:tc>
        <w:tc>
          <w:tcPr>
            <w:tcW w:w="1361" w:type="dxa"/>
            <w:gridSpan w:val="2"/>
            <w:tcBorders>
              <w:top w:val="single" w:sz="2" w:space="0" w:color="000000"/>
              <w:start w:val="single" w:sz="2" w:space="0" w:color="000000"/>
              <w:bottom w:val="single" w:sz="2" w:space="0" w:color="000000"/>
              <w:end w:val="single" w:sz="2" w:space="0" w:color="000000"/>
            </w:tcBorders>
          </w:tcPr>
          <w:p>
            <w:pPr>
              <w:pStyle w:val="Normal"/>
              <w:jc w:val="center"/>
              <w:rPr>
                <w:b/>
                <w:color w:val="000000"/>
                <w:sz w:val="16"/>
              </w:rPr>
            </w:pPr>
            <w:r>
              <w:rPr>
                <w:b/>
                <w:color w:val="000000"/>
                <w:sz w:val="16"/>
              </w:rPr>
              <w:t>17.27%</w:t>
            </w:r>
          </w:p>
        </w:tc>
      </w:tr>
      <w:tr>
        <w:trPr>
          <w:trHeight w:val="247" w:hRule="atLeast"/>
        </w:trPr>
        <w:tc>
          <w:tcPr>
            <w:tcW w:w="1754" w:type="dxa"/>
            <w:tcBorders>
              <w:top w:val="single" w:sz="2" w:space="0" w:color="000000"/>
              <w:start w:val="single" w:sz="2" w:space="0" w:color="000000"/>
              <w:bottom w:val="single" w:sz="2" w:space="0" w:color="000000"/>
              <w:end w:val="single" w:sz="2" w:space="0" w:color="000000"/>
            </w:tcBorders>
          </w:tcPr>
          <w:p>
            <w:pPr>
              <w:pStyle w:val="Normal"/>
              <w:rPr>
                <w:b/>
                <w:color w:val="000000"/>
                <w:sz w:val="16"/>
              </w:rPr>
            </w:pPr>
            <w:r>
              <w:rPr>
                <w:b/>
                <w:color w:val="000000"/>
                <w:sz w:val="16"/>
              </w:rPr>
              <w:t>AG-4B</w:t>
            </w:r>
          </w:p>
        </w:tc>
        <w:tc>
          <w:tcPr>
            <w:tcW w:w="1440" w:type="dxa"/>
            <w:gridSpan w:val="2"/>
            <w:tcBorders>
              <w:top w:val="single" w:sz="2" w:space="0" w:color="000000"/>
              <w:start w:val="single" w:sz="2" w:space="0" w:color="000000"/>
              <w:bottom w:val="single" w:sz="2" w:space="0" w:color="000000"/>
              <w:end w:val="single" w:sz="2" w:space="0" w:color="000000"/>
            </w:tcBorders>
          </w:tcPr>
          <w:p>
            <w:pPr>
              <w:pStyle w:val="Normal"/>
              <w:jc w:val="center"/>
              <w:rPr>
                <w:b/>
                <w:color w:val="000000"/>
                <w:sz w:val="16"/>
              </w:rPr>
            </w:pPr>
            <w:r>
              <w:rPr>
                <w:b/>
                <w:color w:val="000000"/>
                <w:sz w:val="16"/>
              </w:rPr>
              <w:t>375</w:t>
            </w:r>
          </w:p>
        </w:tc>
        <w:tc>
          <w:tcPr>
            <w:tcW w:w="1440" w:type="dxa"/>
            <w:gridSpan w:val="2"/>
            <w:tcBorders>
              <w:top w:val="single" w:sz="2" w:space="0" w:color="000000"/>
              <w:start w:val="single" w:sz="2" w:space="0" w:color="000000"/>
              <w:bottom w:val="single" w:sz="2" w:space="0" w:color="000000"/>
              <w:end w:val="single" w:sz="2" w:space="0" w:color="000000"/>
            </w:tcBorders>
          </w:tcPr>
          <w:p>
            <w:pPr>
              <w:pStyle w:val="Normal"/>
              <w:jc w:val="center"/>
              <w:rPr>
                <w:b/>
                <w:color w:val="000000"/>
                <w:sz w:val="16"/>
              </w:rPr>
            </w:pPr>
            <w:r>
              <w:rPr>
                <w:b/>
                <w:color w:val="000000"/>
                <w:sz w:val="16"/>
              </w:rPr>
              <w:t>$52.1</w:t>
            </w:r>
          </w:p>
        </w:tc>
        <w:tc>
          <w:tcPr>
            <w:tcW w:w="1399" w:type="dxa"/>
            <w:tcBorders>
              <w:top w:val="single" w:sz="2" w:space="0" w:color="000000"/>
              <w:start w:val="single" w:sz="2" w:space="0" w:color="000000"/>
              <w:bottom w:val="single" w:sz="2" w:space="0" w:color="000000"/>
              <w:end w:val="single" w:sz="2" w:space="0" w:color="000000"/>
            </w:tcBorders>
          </w:tcPr>
          <w:p>
            <w:pPr>
              <w:pStyle w:val="Normal"/>
              <w:jc w:val="center"/>
              <w:rPr>
                <w:b/>
                <w:color w:val="000000"/>
                <w:sz w:val="16"/>
              </w:rPr>
            </w:pPr>
            <w:r>
              <w:rPr>
                <w:b/>
                <w:color w:val="000000"/>
                <w:sz w:val="16"/>
              </w:rPr>
              <w:t>$12.4</w:t>
            </w:r>
          </w:p>
        </w:tc>
        <w:tc>
          <w:tcPr>
            <w:tcW w:w="1440" w:type="dxa"/>
            <w:gridSpan w:val="2"/>
            <w:tcBorders>
              <w:top w:val="single" w:sz="2" w:space="0" w:color="000000"/>
              <w:start w:val="single" w:sz="2" w:space="0" w:color="000000"/>
              <w:bottom w:val="single" w:sz="2" w:space="0" w:color="000000"/>
              <w:end w:val="single" w:sz="2" w:space="0" w:color="000000"/>
            </w:tcBorders>
          </w:tcPr>
          <w:p>
            <w:pPr>
              <w:pStyle w:val="Normal"/>
              <w:jc w:val="center"/>
              <w:rPr>
                <w:b/>
                <w:color w:val="000000"/>
                <w:sz w:val="16"/>
              </w:rPr>
            </w:pPr>
            <w:r>
              <w:rPr>
                <w:b/>
                <w:color w:val="000000"/>
                <w:sz w:val="16"/>
              </w:rPr>
              <w:t>$64.5</w:t>
            </w:r>
          </w:p>
        </w:tc>
        <w:tc>
          <w:tcPr>
            <w:tcW w:w="1361" w:type="dxa"/>
            <w:gridSpan w:val="2"/>
            <w:tcBorders>
              <w:top w:val="single" w:sz="2" w:space="0" w:color="000000"/>
              <w:start w:val="single" w:sz="2" w:space="0" w:color="000000"/>
              <w:bottom w:val="single" w:sz="2" w:space="0" w:color="000000"/>
              <w:end w:val="single" w:sz="2" w:space="0" w:color="000000"/>
            </w:tcBorders>
          </w:tcPr>
          <w:p>
            <w:pPr>
              <w:pStyle w:val="Normal"/>
              <w:jc w:val="center"/>
              <w:rPr>
                <w:b/>
                <w:color w:val="000000"/>
                <w:sz w:val="16"/>
              </w:rPr>
            </w:pPr>
            <w:r>
              <w:rPr>
                <w:b/>
                <w:color w:val="000000"/>
                <w:sz w:val="16"/>
              </w:rPr>
              <w:t>23.82%</w:t>
            </w:r>
          </w:p>
        </w:tc>
      </w:tr>
      <w:tr>
        <w:trPr>
          <w:trHeight w:val="247" w:hRule="atLeast"/>
        </w:trPr>
        <w:tc>
          <w:tcPr>
            <w:tcW w:w="1754" w:type="dxa"/>
            <w:tcBorders>
              <w:top w:val="single" w:sz="2" w:space="0" w:color="000000"/>
              <w:start w:val="single" w:sz="2" w:space="0" w:color="000000"/>
              <w:bottom w:val="single" w:sz="2" w:space="0" w:color="000000"/>
              <w:end w:val="single" w:sz="2" w:space="0" w:color="000000"/>
            </w:tcBorders>
          </w:tcPr>
          <w:p>
            <w:pPr>
              <w:pStyle w:val="Normal"/>
              <w:rPr>
                <w:b/>
                <w:color w:val="000000"/>
                <w:sz w:val="16"/>
              </w:rPr>
            </w:pPr>
            <w:r>
              <w:rPr>
                <w:b/>
                <w:color w:val="000000"/>
                <w:sz w:val="16"/>
              </w:rPr>
              <w:t>AG-4C</w:t>
            </w:r>
          </w:p>
        </w:tc>
        <w:tc>
          <w:tcPr>
            <w:tcW w:w="1440" w:type="dxa"/>
            <w:gridSpan w:val="2"/>
            <w:tcBorders>
              <w:top w:val="single" w:sz="2" w:space="0" w:color="000000"/>
              <w:start w:val="single" w:sz="2" w:space="0" w:color="000000"/>
              <w:bottom w:val="single" w:sz="2" w:space="0" w:color="000000"/>
              <w:end w:val="single" w:sz="2" w:space="0" w:color="000000"/>
            </w:tcBorders>
          </w:tcPr>
          <w:p>
            <w:pPr>
              <w:pStyle w:val="Normal"/>
              <w:jc w:val="center"/>
              <w:rPr>
                <w:b/>
                <w:color w:val="000000"/>
                <w:sz w:val="16"/>
              </w:rPr>
            </w:pPr>
            <w:r>
              <w:rPr>
                <w:b/>
                <w:color w:val="000000"/>
                <w:sz w:val="16"/>
              </w:rPr>
              <w:t>37</w:t>
            </w:r>
          </w:p>
        </w:tc>
        <w:tc>
          <w:tcPr>
            <w:tcW w:w="1440" w:type="dxa"/>
            <w:gridSpan w:val="2"/>
            <w:tcBorders>
              <w:top w:val="single" w:sz="2" w:space="0" w:color="000000"/>
              <w:start w:val="single" w:sz="2" w:space="0" w:color="000000"/>
              <w:bottom w:val="single" w:sz="2" w:space="0" w:color="000000"/>
              <w:end w:val="single" w:sz="2" w:space="0" w:color="000000"/>
            </w:tcBorders>
          </w:tcPr>
          <w:p>
            <w:pPr>
              <w:pStyle w:val="Normal"/>
              <w:jc w:val="center"/>
              <w:rPr>
                <w:b/>
                <w:color w:val="000000"/>
                <w:sz w:val="16"/>
              </w:rPr>
            </w:pPr>
            <w:r>
              <w:rPr>
                <w:b/>
                <w:color w:val="000000"/>
                <w:sz w:val="16"/>
              </w:rPr>
              <w:t>$5.5</w:t>
            </w:r>
          </w:p>
        </w:tc>
        <w:tc>
          <w:tcPr>
            <w:tcW w:w="1399" w:type="dxa"/>
            <w:tcBorders>
              <w:top w:val="single" w:sz="2" w:space="0" w:color="000000"/>
              <w:start w:val="single" w:sz="2" w:space="0" w:color="000000"/>
              <w:bottom w:val="single" w:sz="2" w:space="0" w:color="000000"/>
              <w:end w:val="single" w:sz="2" w:space="0" w:color="000000"/>
            </w:tcBorders>
          </w:tcPr>
          <w:p>
            <w:pPr>
              <w:pStyle w:val="Normal"/>
              <w:jc w:val="center"/>
              <w:rPr>
                <w:b/>
                <w:color w:val="000000"/>
                <w:sz w:val="16"/>
              </w:rPr>
            </w:pPr>
            <w:r>
              <w:rPr>
                <w:b/>
                <w:color w:val="000000"/>
                <w:sz w:val="16"/>
              </w:rPr>
              <w:t>$0.9</w:t>
            </w:r>
          </w:p>
        </w:tc>
        <w:tc>
          <w:tcPr>
            <w:tcW w:w="1440" w:type="dxa"/>
            <w:gridSpan w:val="2"/>
            <w:tcBorders>
              <w:top w:val="single" w:sz="2" w:space="0" w:color="000000"/>
              <w:start w:val="single" w:sz="2" w:space="0" w:color="000000"/>
              <w:bottom w:val="single" w:sz="2" w:space="0" w:color="000000"/>
              <w:end w:val="single" w:sz="2" w:space="0" w:color="000000"/>
            </w:tcBorders>
          </w:tcPr>
          <w:p>
            <w:pPr>
              <w:pStyle w:val="Normal"/>
              <w:jc w:val="center"/>
              <w:rPr>
                <w:b/>
                <w:color w:val="000000"/>
                <w:sz w:val="16"/>
              </w:rPr>
            </w:pPr>
            <w:r>
              <w:rPr>
                <w:b/>
                <w:color w:val="000000"/>
                <w:sz w:val="16"/>
              </w:rPr>
              <w:t>$6.3</w:t>
            </w:r>
          </w:p>
        </w:tc>
        <w:tc>
          <w:tcPr>
            <w:tcW w:w="1361" w:type="dxa"/>
            <w:gridSpan w:val="2"/>
            <w:tcBorders>
              <w:top w:val="single" w:sz="2" w:space="0" w:color="000000"/>
              <w:start w:val="single" w:sz="2" w:space="0" w:color="000000"/>
              <w:bottom w:val="single" w:sz="2" w:space="0" w:color="000000"/>
              <w:end w:val="single" w:sz="2" w:space="0" w:color="000000"/>
            </w:tcBorders>
          </w:tcPr>
          <w:p>
            <w:pPr>
              <w:pStyle w:val="Normal"/>
              <w:jc w:val="center"/>
              <w:rPr>
                <w:b/>
                <w:color w:val="000000"/>
                <w:sz w:val="16"/>
              </w:rPr>
            </w:pPr>
            <w:r>
              <w:rPr>
                <w:b/>
                <w:color w:val="000000"/>
                <w:sz w:val="16"/>
              </w:rPr>
              <w:t>16.17%</w:t>
            </w:r>
          </w:p>
        </w:tc>
      </w:tr>
      <w:tr>
        <w:trPr>
          <w:trHeight w:val="247" w:hRule="atLeast"/>
        </w:trPr>
        <w:tc>
          <w:tcPr>
            <w:tcW w:w="1754" w:type="dxa"/>
            <w:tcBorders>
              <w:top w:val="single" w:sz="2" w:space="0" w:color="000000"/>
              <w:start w:val="single" w:sz="2" w:space="0" w:color="000000"/>
              <w:bottom w:val="single" w:sz="2" w:space="0" w:color="000000"/>
              <w:end w:val="single" w:sz="2" w:space="0" w:color="000000"/>
            </w:tcBorders>
          </w:tcPr>
          <w:p>
            <w:pPr>
              <w:pStyle w:val="Normal"/>
              <w:rPr>
                <w:b/>
                <w:color w:val="000000"/>
                <w:sz w:val="16"/>
              </w:rPr>
            </w:pPr>
            <w:r>
              <w:rPr>
                <w:b/>
                <w:color w:val="000000"/>
                <w:sz w:val="16"/>
              </w:rPr>
              <w:t>AG-5A</w:t>
            </w:r>
          </w:p>
        </w:tc>
        <w:tc>
          <w:tcPr>
            <w:tcW w:w="1440" w:type="dxa"/>
            <w:gridSpan w:val="2"/>
            <w:tcBorders>
              <w:top w:val="single" w:sz="2" w:space="0" w:color="000000"/>
              <w:start w:val="single" w:sz="2" w:space="0" w:color="000000"/>
              <w:bottom w:val="single" w:sz="2" w:space="0" w:color="000000"/>
              <w:end w:val="single" w:sz="2" w:space="0" w:color="000000"/>
            </w:tcBorders>
          </w:tcPr>
          <w:p>
            <w:pPr>
              <w:pStyle w:val="Normal"/>
              <w:jc w:val="center"/>
              <w:rPr>
                <w:b/>
                <w:color w:val="000000"/>
                <w:sz w:val="16"/>
              </w:rPr>
            </w:pPr>
            <w:r>
              <w:rPr>
                <w:b/>
                <w:color w:val="000000"/>
                <w:sz w:val="16"/>
              </w:rPr>
              <w:t>83</w:t>
            </w:r>
          </w:p>
        </w:tc>
        <w:tc>
          <w:tcPr>
            <w:tcW w:w="1440" w:type="dxa"/>
            <w:gridSpan w:val="2"/>
            <w:tcBorders>
              <w:top w:val="single" w:sz="2" w:space="0" w:color="000000"/>
              <w:start w:val="single" w:sz="2" w:space="0" w:color="000000"/>
              <w:bottom w:val="single" w:sz="2" w:space="0" w:color="000000"/>
              <w:end w:val="single" w:sz="2" w:space="0" w:color="000000"/>
            </w:tcBorders>
          </w:tcPr>
          <w:p>
            <w:pPr>
              <w:pStyle w:val="Normal"/>
              <w:jc w:val="center"/>
              <w:rPr>
                <w:b/>
                <w:color w:val="000000"/>
                <w:sz w:val="16"/>
              </w:rPr>
            </w:pPr>
            <w:r>
              <w:rPr>
                <w:b/>
                <w:color w:val="000000"/>
                <w:sz w:val="16"/>
              </w:rPr>
              <w:t>$10.3</w:t>
            </w:r>
          </w:p>
        </w:tc>
        <w:tc>
          <w:tcPr>
            <w:tcW w:w="1399" w:type="dxa"/>
            <w:tcBorders>
              <w:top w:val="single" w:sz="2" w:space="0" w:color="000000"/>
              <w:start w:val="single" w:sz="2" w:space="0" w:color="000000"/>
              <w:bottom w:val="single" w:sz="2" w:space="0" w:color="000000"/>
              <w:end w:val="single" w:sz="2" w:space="0" w:color="000000"/>
            </w:tcBorders>
          </w:tcPr>
          <w:p>
            <w:pPr>
              <w:pStyle w:val="Normal"/>
              <w:jc w:val="center"/>
              <w:rPr>
                <w:b/>
                <w:color w:val="000000"/>
                <w:sz w:val="16"/>
              </w:rPr>
            </w:pPr>
            <w:r>
              <w:rPr>
                <w:b/>
                <w:color w:val="000000"/>
                <w:sz w:val="16"/>
              </w:rPr>
              <w:t>$2.9</w:t>
            </w:r>
          </w:p>
        </w:tc>
        <w:tc>
          <w:tcPr>
            <w:tcW w:w="1440" w:type="dxa"/>
            <w:gridSpan w:val="2"/>
            <w:tcBorders>
              <w:top w:val="single" w:sz="2" w:space="0" w:color="000000"/>
              <w:start w:val="single" w:sz="2" w:space="0" w:color="000000"/>
              <w:bottom w:val="single" w:sz="2" w:space="0" w:color="000000"/>
              <w:end w:val="single" w:sz="2" w:space="0" w:color="000000"/>
            </w:tcBorders>
          </w:tcPr>
          <w:p>
            <w:pPr>
              <w:pStyle w:val="Normal"/>
              <w:jc w:val="center"/>
              <w:rPr>
                <w:b/>
                <w:color w:val="000000"/>
                <w:sz w:val="16"/>
              </w:rPr>
            </w:pPr>
            <w:r>
              <w:rPr>
                <w:b/>
                <w:color w:val="000000"/>
                <w:sz w:val="16"/>
              </w:rPr>
              <w:t>$13.3</w:t>
            </w:r>
          </w:p>
        </w:tc>
        <w:tc>
          <w:tcPr>
            <w:tcW w:w="1361" w:type="dxa"/>
            <w:gridSpan w:val="2"/>
            <w:tcBorders>
              <w:top w:val="single" w:sz="2" w:space="0" w:color="000000"/>
              <w:start w:val="single" w:sz="2" w:space="0" w:color="000000"/>
              <w:bottom w:val="single" w:sz="2" w:space="0" w:color="000000"/>
              <w:end w:val="single" w:sz="2" w:space="0" w:color="000000"/>
            </w:tcBorders>
          </w:tcPr>
          <w:p>
            <w:pPr>
              <w:pStyle w:val="Normal"/>
              <w:jc w:val="center"/>
              <w:rPr>
                <w:b/>
                <w:color w:val="000000"/>
                <w:sz w:val="16"/>
              </w:rPr>
            </w:pPr>
            <w:r>
              <w:rPr>
                <w:b/>
                <w:color w:val="000000"/>
                <w:sz w:val="16"/>
              </w:rPr>
              <w:t>28.47%</w:t>
            </w:r>
          </w:p>
        </w:tc>
      </w:tr>
      <w:tr>
        <w:trPr>
          <w:trHeight w:val="247" w:hRule="atLeast"/>
        </w:trPr>
        <w:tc>
          <w:tcPr>
            <w:tcW w:w="1754" w:type="dxa"/>
            <w:tcBorders>
              <w:top w:val="single" w:sz="2" w:space="0" w:color="000000"/>
              <w:start w:val="single" w:sz="2" w:space="0" w:color="000000"/>
              <w:bottom w:val="single" w:sz="2" w:space="0" w:color="000000"/>
              <w:end w:val="single" w:sz="2" w:space="0" w:color="000000"/>
            </w:tcBorders>
          </w:tcPr>
          <w:p>
            <w:pPr>
              <w:pStyle w:val="Normal"/>
              <w:rPr>
                <w:b/>
                <w:color w:val="000000"/>
                <w:sz w:val="16"/>
              </w:rPr>
            </w:pPr>
            <w:r>
              <w:rPr>
                <w:b/>
                <w:color w:val="000000"/>
                <w:sz w:val="16"/>
              </w:rPr>
              <w:t>AG-5B</w:t>
            </w:r>
          </w:p>
        </w:tc>
        <w:tc>
          <w:tcPr>
            <w:tcW w:w="1440" w:type="dxa"/>
            <w:gridSpan w:val="2"/>
            <w:tcBorders>
              <w:top w:val="single" w:sz="2" w:space="0" w:color="000000"/>
              <w:start w:val="single" w:sz="2" w:space="0" w:color="000000"/>
              <w:bottom w:val="single" w:sz="2" w:space="0" w:color="000000"/>
              <w:end w:val="single" w:sz="2" w:space="0" w:color="000000"/>
            </w:tcBorders>
          </w:tcPr>
          <w:p>
            <w:pPr>
              <w:pStyle w:val="Normal"/>
              <w:jc w:val="center"/>
              <w:rPr>
                <w:b/>
                <w:color w:val="000000"/>
                <w:sz w:val="16"/>
              </w:rPr>
            </w:pPr>
            <w:r>
              <w:rPr>
                <w:b/>
                <w:color w:val="000000"/>
                <w:sz w:val="16"/>
              </w:rPr>
              <w:t>2,102</w:t>
            </w:r>
          </w:p>
        </w:tc>
        <w:tc>
          <w:tcPr>
            <w:tcW w:w="1440" w:type="dxa"/>
            <w:gridSpan w:val="2"/>
            <w:tcBorders>
              <w:top w:val="single" w:sz="2" w:space="0" w:color="000000"/>
              <w:start w:val="single" w:sz="2" w:space="0" w:color="000000"/>
              <w:bottom w:val="single" w:sz="2" w:space="0" w:color="000000"/>
              <w:end w:val="single" w:sz="2" w:space="0" w:color="000000"/>
            </w:tcBorders>
          </w:tcPr>
          <w:p>
            <w:pPr>
              <w:pStyle w:val="Normal"/>
              <w:jc w:val="center"/>
              <w:rPr>
                <w:b/>
                <w:color w:val="000000"/>
                <w:sz w:val="16"/>
              </w:rPr>
            </w:pPr>
            <w:r>
              <w:rPr>
                <w:b/>
                <w:color w:val="000000"/>
                <w:sz w:val="16"/>
              </w:rPr>
              <w:t>$205.2</w:t>
            </w:r>
          </w:p>
        </w:tc>
        <w:tc>
          <w:tcPr>
            <w:tcW w:w="1399" w:type="dxa"/>
            <w:tcBorders>
              <w:top w:val="single" w:sz="2" w:space="0" w:color="000000"/>
              <w:start w:val="single" w:sz="2" w:space="0" w:color="000000"/>
              <w:bottom w:val="single" w:sz="2" w:space="0" w:color="000000"/>
              <w:end w:val="single" w:sz="2" w:space="0" w:color="000000"/>
            </w:tcBorders>
          </w:tcPr>
          <w:p>
            <w:pPr>
              <w:pStyle w:val="Normal"/>
              <w:jc w:val="center"/>
              <w:rPr>
                <w:b/>
                <w:color w:val="000000"/>
                <w:sz w:val="16"/>
              </w:rPr>
            </w:pPr>
            <w:r>
              <w:rPr>
                <w:b/>
                <w:color w:val="000000"/>
                <w:sz w:val="16"/>
              </w:rPr>
              <w:t>$76.4</w:t>
            </w:r>
          </w:p>
        </w:tc>
        <w:tc>
          <w:tcPr>
            <w:tcW w:w="1440" w:type="dxa"/>
            <w:gridSpan w:val="2"/>
            <w:tcBorders>
              <w:top w:val="single" w:sz="2" w:space="0" w:color="000000"/>
              <w:start w:val="single" w:sz="2" w:space="0" w:color="000000"/>
              <w:bottom w:val="single" w:sz="2" w:space="0" w:color="000000"/>
              <w:end w:val="single" w:sz="2" w:space="0" w:color="000000"/>
            </w:tcBorders>
          </w:tcPr>
          <w:p>
            <w:pPr>
              <w:pStyle w:val="Normal"/>
              <w:jc w:val="center"/>
              <w:rPr>
                <w:b/>
                <w:color w:val="000000"/>
                <w:sz w:val="16"/>
              </w:rPr>
            </w:pPr>
            <w:r>
              <w:rPr>
                <w:b/>
                <w:color w:val="000000"/>
                <w:sz w:val="16"/>
              </w:rPr>
              <w:t>$282</w:t>
            </w:r>
          </w:p>
        </w:tc>
        <w:tc>
          <w:tcPr>
            <w:tcW w:w="1361" w:type="dxa"/>
            <w:gridSpan w:val="2"/>
            <w:tcBorders>
              <w:top w:val="single" w:sz="2" w:space="0" w:color="000000"/>
              <w:start w:val="single" w:sz="2" w:space="0" w:color="000000"/>
              <w:bottom w:val="single" w:sz="2" w:space="0" w:color="000000"/>
              <w:end w:val="single" w:sz="2" w:space="0" w:color="000000"/>
            </w:tcBorders>
          </w:tcPr>
          <w:p>
            <w:pPr>
              <w:pStyle w:val="Normal"/>
              <w:jc w:val="center"/>
              <w:rPr>
                <w:b/>
                <w:color w:val="000000"/>
                <w:sz w:val="16"/>
              </w:rPr>
            </w:pPr>
            <w:r>
              <w:rPr>
                <w:b/>
                <w:color w:val="000000"/>
                <w:sz w:val="16"/>
              </w:rPr>
              <w:t>37.25%</w:t>
            </w:r>
          </w:p>
        </w:tc>
      </w:tr>
      <w:tr>
        <w:trPr>
          <w:trHeight w:val="247" w:hRule="atLeast"/>
        </w:trPr>
        <w:tc>
          <w:tcPr>
            <w:tcW w:w="1754" w:type="dxa"/>
            <w:tcBorders>
              <w:top w:val="single" w:sz="2" w:space="0" w:color="000000"/>
              <w:start w:val="single" w:sz="2" w:space="0" w:color="000000"/>
              <w:bottom w:val="single" w:sz="2" w:space="0" w:color="000000"/>
              <w:end w:val="single" w:sz="2" w:space="0" w:color="000000"/>
            </w:tcBorders>
          </w:tcPr>
          <w:p>
            <w:pPr>
              <w:pStyle w:val="Normal"/>
              <w:rPr>
                <w:b/>
                <w:color w:val="000000"/>
                <w:sz w:val="16"/>
              </w:rPr>
            </w:pPr>
            <w:r>
              <w:rPr>
                <w:b/>
                <w:color w:val="000000"/>
                <w:sz w:val="16"/>
              </w:rPr>
              <w:t>AG-5C</w:t>
            </w:r>
          </w:p>
        </w:tc>
        <w:tc>
          <w:tcPr>
            <w:tcW w:w="1440" w:type="dxa"/>
            <w:gridSpan w:val="2"/>
            <w:tcBorders>
              <w:top w:val="single" w:sz="2" w:space="0" w:color="000000"/>
              <w:start w:val="single" w:sz="2" w:space="0" w:color="000000"/>
              <w:bottom w:val="single" w:sz="2" w:space="0" w:color="000000"/>
              <w:end w:val="single" w:sz="2" w:space="0" w:color="000000"/>
            </w:tcBorders>
          </w:tcPr>
          <w:p>
            <w:pPr>
              <w:pStyle w:val="Normal"/>
              <w:jc w:val="center"/>
              <w:rPr>
                <w:b/>
                <w:color w:val="000000"/>
                <w:sz w:val="16"/>
              </w:rPr>
            </w:pPr>
            <w:r>
              <w:rPr>
                <w:b/>
                <w:color w:val="000000"/>
                <w:sz w:val="16"/>
              </w:rPr>
              <w:t>156</w:t>
            </w:r>
          </w:p>
        </w:tc>
        <w:tc>
          <w:tcPr>
            <w:tcW w:w="1440" w:type="dxa"/>
            <w:gridSpan w:val="2"/>
            <w:tcBorders>
              <w:top w:val="single" w:sz="2" w:space="0" w:color="000000"/>
              <w:start w:val="single" w:sz="2" w:space="0" w:color="000000"/>
              <w:bottom w:val="single" w:sz="2" w:space="0" w:color="000000"/>
              <w:end w:val="single" w:sz="2" w:space="0" w:color="000000"/>
            </w:tcBorders>
          </w:tcPr>
          <w:p>
            <w:pPr>
              <w:pStyle w:val="Normal"/>
              <w:jc w:val="center"/>
              <w:rPr>
                <w:b/>
                <w:color w:val="000000"/>
                <w:sz w:val="16"/>
              </w:rPr>
            </w:pPr>
            <w:r>
              <w:rPr>
                <w:b/>
                <w:color w:val="000000"/>
                <w:sz w:val="16"/>
              </w:rPr>
              <w:t>$15.0</w:t>
            </w:r>
          </w:p>
        </w:tc>
        <w:tc>
          <w:tcPr>
            <w:tcW w:w="1399" w:type="dxa"/>
            <w:tcBorders>
              <w:top w:val="single" w:sz="2" w:space="0" w:color="000000"/>
              <w:start w:val="single" w:sz="2" w:space="0" w:color="000000"/>
              <w:bottom w:val="single" w:sz="2" w:space="0" w:color="000000"/>
              <w:end w:val="single" w:sz="2" w:space="0" w:color="000000"/>
            </w:tcBorders>
          </w:tcPr>
          <w:p>
            <w:pPr>
              <w:pStyle w:val="Normal"/>
              <w:jc w:val="center"/>
              <w:rPr>
                <w:b/>
                <w:color w:val="000000"/>
                <w:sz w:val="16"/>
              </w:rPr>
            </w:pPr>
            <w:r>
              <w:rPr>
                <w:b/>
                <w:color w:val="000000"/>
                <w:sz w:val="16"/>
              </w:rPr>
              <w:t>$5.6</w:t>
            </w:r>
          </w:p>
        </w:tc>
        <w:tc>
          <w:tcPr>
            <w:tcW w:w="1440" w:type="dxa"/>
            <w:gridSpan w:val="2"/>
            <w:tcBorders>
              <w:top w:val="single" w:sz="2" w:space="0" w:color="000000"/>
              <w:start w:val="single" w:sz="2" w:space="0" w:color="000000"/>
              <w:bottom w:val="single" w:sz="2" w:space="0" w:color="000000"/>
              <w:end w:val="single" w:sz="2" w:space="0" w:color="000000"/>
            </w:tcBorders>
          </w:tcPr>
          <w:p>
            <w:pPr>
              <w:pStyle w:val="Normal"/>
              <w:jc w:val="center"/>
              <w:rPr>
                <w:b/>
                <w:color w:val="000000"/>
                <w:sz w:val="16"/>
              </w:rPr>
            </w:pPr>
            <w:r>
              <w:rPr>
                <w:b/>
                <w:color w:val="000000"/>
                <w:sz w:val="16"/>
              </w:rPr>
              <w:t>$20.6</w:t>
            </w:r>
          </w:p>
        </w:tc>
        <w:tc>
          <w:tcPr>
            <w:tcW w:w="1361" w:type="dxa"/>
            <w:gridSpan w:val="2"/>
            <w:tcBorders>
              <w:top w:val="single" w:sz="2" w:space="0" w:color="000000"/>
              <w:start w:val="single" w:sz="2" w:space="0" w:color="000000"/>
              <w:bottom w:val="single" w:sz="2" w:space="0" w:color="000000"/>
              <w:end w:val="single" w:sz="2" w:space="0" w:color="000000"/>
            </w:tcBorders>
          </w:tcPr>
          <w:p>
            <w:pPr>
              <w:pStyle w:val="Normal"/>
              <w:jc w:val="center"/>
              <w:rPr>
                <w:b/>
                <w:color w:val="000000"/>
                <w:sz w:val="16"/>
              </w:rPr>
            </w:pPr>
            <w:r>
              <w:rPr>
                <w:b/>
                <w:color w:val="000000"/>
                <w:sz w:val="16"/>
              </w:rPr>
              <w:t>37.33%</w:t>
            </w:r>
          </w:p>
        </w:tc>
      </w:tr>
      <w:tr>
        <w:trPr>
          <w:trHeight w:val="247" w:hRule="atLeast"/>
        </w:trPr>
        <w:tc>
          <w:tcPr>
            <w:tcW w:w="1754" w:type="dxa"/>
            <w:tcBorders>
              <w:top w:val="single" w:sz="2" w:space="0" w:color="000000"/>
              <w:start w:val="single" w:sz="2" w:space="0" w:color="000000"/>
              <w:bottom w:val="single" w:sz="2" w:space="0" w:color="000000"/>
              <w:end w:val="single" w:sz="2" w:space="0" w:color="000000"/>
            </w:tcBorders>
          </w:tcPr>
          <w:p>
            <w:pPr>
              <w:pStyle w:val="Normal"/>
              <w:snapToGrid w:val="false"/>
              <w:jc w:val="end"/>
              <w:rPr>
                <w:b/>
                <w:color w:val="000000"/>
                <w:sz w:val="16"/>
              </w:rPr>
            </w:pPr>
            <w:r>
              <w:rPr>
                <w:b/>
                <w:color w:val="000000"/>
                <w:sz w:val="16"/>
              </w:rPr>
            </w:r>
          </w:p>
        </w:tc>
        <w:tc>
          <w:tcPr>
            <w:tcW w:w="1440" w:type="dxa"/>
            <w:gridSpan w:val="2"/>
            <w:tcBorders>
              <w:top w:val="single" w:sz="2" w:space="0" w:color="000000"/>
              <w:start w:val="single" w:sz="2" w:space="0" w:color="000000"/>
              <w:bottom w:val="single" w:sz="2" w:space="0" w:color="000000"/>
              <w:end w:val="single" w:sz="2" w:space="0" w:color="000000"/>
            </w:tcBorders>
          </w:tcPr>
          <w:p>
            <w:pPr>
              <w:pStyle w:val="Normal"/>
              <w:snapToGrid w:val="false"/>
              <w:jc w:val="center"/>
              <w:rPr>
                <w:b/>
                <w:color w:val="000000"/>
                <w:sz w:val="16"/>
              </w:rPr>
            </w:pPr>
            <w:r>
              <w:rPr>
                <w:b/>
                <w:color w:val="000000"/>
                <w:sz w:val="16"/>
              </w:rPr>
            </w:r>
          </w:p>
        </w:tc>
        <w:tc>
          <w:tcPr>
            <w:tcW w:w="1440" w:type="dxa"/>
            <w:gridSpan w:val="2"/>
            <w:tcBorders>
              <w:top w:val="single" w:sz="2" w:space="0" w:color="000000"/>
              <w:start w:val="single" w:sz="2" w:space="0" w:color="000000"/>
              <w:bottom w:val="single" w:sz="2" w:space="0" w:color="000000"/>
              <w:end w:val="single" w:sz="2" w:space="0" w:color="000000"/>
            </w:tcBorders>
          </w:tcPr>
          <w:p>
            <w:pPr>
              <w:pStyle w:val="Normal"/>
              <w:snapToGrid w:val="false"/>
              <w:jc w:val="center"/>
              <w:rPr>
                <w:b/>
                <w:color w:val="000000"/>
                <w:sz w:val="16"/>
              </w:rPr>
            </w:pPr>
            <w:r>
              <w:rPr>
                <w:b/>
                <w:color w:val="000000"/>
                <w:sz w:val="16"/>
              </w:rPr>
            </w:r>
          </w:p>
        </w:tc>
        <w:tc>
          <w:tcPr>
            <w:tcW w:w="1399"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b/>
                <w:color w:val="000000"/>
                <w:sz w:val="16"/>
              </w:rPr>
            </w:pPr>
            <w:r>
              <w:rPr>
                <w:b/>
                <w:color w:val="000000"/>
                <w:sz w:val="16"/>
              </w:rPr>
            </w:r>
          </w:p>
        </w:tc>
        <w:tc>
          <w:tcPr>
            <w:tcW w:w="1440" w:type="dxa"/>
            <w:gridSpan w:val="2"/>
            <w:tcBorders>
              <w:top w:val="single" w:sz="2" w:space="0" w:color="000000"/>
              <w:start w:val="single" w:sz="2" w:space="0" w:color="000000"/>
              <w:bottom w:val="single" w:sz="2" w:space="0" w:color="000000"/>
              <w:end w:val="single" w:sz="2" w:space="0" w:color="000000"/>
            </w:tcBorders>
          </w:tcPr>
          <w:p>
            <w:pPr>
              <w:pStyle w:val="Normal"/>
              <w:snapToGrid w:val="false"/>
              <w:jc w:val="center"/>
              <w:rPr>
                <w:b/>
                <w:color w:val="000000"/>
                <w:sz w:val="16"/>
              </w:rPr>
            </w:pPr>
            <w:r>
              <w:rPr>
                <w:b/>
                <w:color w:val="000000"/>
                <w:sz w:val="16"/>
              </w:rPr>
            </w:r>
          </w:p>
        </w:tc>
        <w:tc>
          <w:tcPr>
            <w:tcW w:w="1361" w:type="dxa"/>
            <w:gridSpan w:val="2"/>
            <w:tcBorders>
              <w:top w:val="single" w:sz="2" w:space="0" w:color="000000"/>
              <w:start w:val="single" w:sz="2" w:space="0" w:color="000000"/>
              <w:bottom w:val="single" w:sz="2" w:space="0" w:color="000000"/>
              <w:end w:val="single" w:sz="2" w:space="0" w:color="000000"/>
            </w:tcBorders>
          </w:tcPr>
          <w:p>
            <w:pPr>
              <w:pStyle w:val="Normal"/>
              <w:snapToGrid w:val="false"/>
              <w:jc w:val="center"/>
              <w:rPr>
                <w:b/>
                <w:color w:val="000000"/>
                <w:sz w:val="16"/>
              </w:rPr>
            </w:pPr>
            <w:r>
              <w:rPr>
                <w:b/>
                <w:color w:val="000000"/>
                <w:sz w:val="16"/>
              </w:rPr>
            </w:r>
          </w:p>
        </w:tc>
      </w:tr>
      <w:tr>
        <w:trPr>
          <w:trHeight w:val="247" w:hRule="atLeast"/>
        </w:trPr>
        <w:tc>
          <w:tcPr>
            <w:tcW w:w="1754" w:type="dxa"/>
            <w:tcBorders>
              <w:top w:val="single" w:sz="2" w:space="0" w:color="000000"/>
              <w:start w:val="single" w:sz="2" w:space="0" w:color="000000"/>
              <w:bottom w:val="single" w:sz="2" w:space="0" w:color="000000"/>
              <w:end w:val="single" w:sz="2" w:space="0" w:color="000000"/>
            </w:tcBorders>
          </w:tcPr>
          <w:p>
            <w:pPr>
              <w:pStyle w:val="Normal"/>
              <w:rPr>
                <w:b/>
                <w:color w:val="000000"/>
                <w:sz w:val="16"/>
              </w:rPr>
            </w:pPr>
            <w:r>
              <w:rPr>
                <w:b/>
                <w:color w:val="000000"/>
                <w:sz w:val="16"/>
              </w:rPr>
              <w:t>System Total</w:t>
            </w:r>
          </w:p>
        </w:tc>
        <w:tc>
          <w:tcPr>
            <w:tcW w:w="1426" w:type="dxa"/>
            <w:tcBorders>
              <w:top w:val="single" w:sz="2" w:space="0" w:color="000000"/>
              <w:start w:val="single" w:sz="2" w:space="0" w:color="000000"/>
              <w:bottom w:val="single" w:sz="2" w:space="0" w:color="000000"/>
              <w:end w:val="single" w:sz="2" w:space="0" w:color="000000"/>
            </w:tcBorders>
          </w:tcPr>
          <w:p>
            <w:pPr>
              <w:pStyle w:val="Normal"/>
              <w:jc w:val="center"/>
              <w:rPr>
                <w:b/>
                <w:color w:val="000000"/>
                <w:sz w:val="16"/>
              </w:rPr>
            </w:pPr>
            <w:r>
              <w:rPr>
                <w:b/>
                <w:color w:val="000000"/>
                <w:sz w:val="16"/>
              </w:rPr>
              <w:t>81,201</w:t>
            </w:r>
          </w:p>
        </w:tc>
        <w:tc>
          <w:tcPr>
            <w:tcW w:w="1440" w:type="dxa"/>
            <w:gridSpan w:val="2"/>
            <w:tcBorders>
              <w:top w:val="single" w:sz="2" w:space="0" w:color="000000"/>
              <w:start w:val="single" w:sz="2" w:space="0" w:color="000000"/>
              <w:bottom w:val="single" w:sz="2" w:space="0" w:color="000000"/>
              <w:end w:val="single" w:sz="2" w:space="0" w:color="000000"/>
            </w:tcBorders>
          </w:tcPr>
          <w:p>
            <w:pPr>
              <w:pStyle w:val="Normal"/>
              <w:jc w:val="center"/>
              <w:rPr>
                <w:b/>
                <w:color w:val="000000"/>
                <w:sz w:val="16"/>
              </w:rPr>
            </w:pPr>
            <w:r>
              <w:rPr>
                <w:b/>
                <w:color w:val="000000"/>
                <w:sz w:val="16"/>
              </w:rPr>
              <w:t>$8,461</w:t>
            </w:r>
          </w:p>
        </w:tc>
        <w:tc>
          <w:tcPr>
            <w:tcW w:w="1440" w:type="dxa"/>
            <w:gridSpan w:val="3"/>
            <w:tcBorders>
              <w:top w:val="single" w:sz="2" w:space="0" w:color="000000"/>
              <w:start w:val="single" w:sz="2" w:space="0" w:color="000000"/>
              <w:bottom w:val="single" w:sz="2" w:space="0" w:color="000000"/>
              <w:end w:val="single" w:sz="2" w:space="0" w:color="000000"/>
            </w:tcBorders>
          </w:tcPr>
          <w:p>
            <w:pPr>
              <w:pStyle w:val="Normal"/>
              <w:jc w:val="center"/>
              <w:rPr>
                <w:b/>
                <w:color w:val="000000"/>
                <w:sz w:val="16"/>
              </w:rPr>
            </w:pPr>
            <w:r>
              <w:rPr>
                <w:b/>
                <w:color w:val="000000"/>
                <w:sz w:val="16"/>
              </w:rPr>
              <w:t>2,460</w:t>
            </w:r>
          </w:p>
        </w:tc>
        <w:tc>
          <w:tcPr>
            <w:tcW w:w="1440" w:type="dxa"/>
            <w:gridSpan w:val="2"/>
            <w:tcBorders>
              <w:top w:val="single" w:sz="2" w:space="0" w:color="000000"/>
              <w:start w:val="single" w:sz="2" w:space="0" w:color="000000"/>
              <w:bottom w:val="single" w:sz="2" w:space="0" w:color="000000"/>
              <w:end w:val="single" w:sz="2" w:space="0" w:color="000000"/>
            </w:tcBorders>
          </w:tcPr>
          <w:p>
            <w:pPr>
              <w:pStyle w:val="Normal"/>
              <w:jc w:val="center"/>
              <w:rPr>
                <w:b/>
                <w:color w:val="000000"/>
                <w:sz w:val="16"/>
              </w:rPr>
            </w:pPr>
            <w:r>
              <w:rPr>
                <w:b/>
                <w:color w:val="000000"/>
                <w:sz w:val="16"/>
              </w:rPr>
              <w:t>$10,921</w:t>
            </w:r>
          </w:p>
        </w:tc>
        <w:tc>
          <w:tcPr>
            <w:tcW w:w="1350" w:type="dxa"/>
            <w:tcBorders>
              <w:top w:val="single" w:sz="2" w:space="0" w:color="000000"/>
              <w:start w:val="single" w:sz="2" w:space="0" w:color="000000"/>
              <w:bottom w:val="single" w:sz="2" w:space="0" w:color="000000"/>
              <w:end w:val="single" w:sz="2" w:space="0" w:color="000000"/>
            </w:tcBorders>
          </w:tcPr>
          <w:p>
            <w:pPr>
              <w:pStyle w:val="Normal"/>
              <w:jc w:val="center"/>
              <w:rPr>
                <w:b/>
                <w:color w:val="000000"/>
                <w:sz w:val="16"/>
              </w:rPr>
            </w:pPr>
            <w:r>
              <w:rPr>
                <w:b/>
                <w:color w:val="000000"/>
                <w:sz w:val="16"/>
              </w:rPr>
              <w:t>29.07%</w:t>
            </w:r>
          </w:p>
        </w:tc>
      </w:tr>
    </w:tbl>
    <w:p>
      <w:pPr>
        <w:pStyle w:val="Pleading"/>
        <w:numPr>
          <w:ilvl w:val="0"/>
          <w:numId w:val="0"/>
        </w:numPr>
        <w:spacing w:lineRule="auto" w:line="480"/>
        <w:ind w:hanging="0" w:start="0"/>
        <w:rPr/>
      </w:pPr>
      <w:r>
        <w:rPr/>
      </w:r>
    </w:p>
    <w:p>
      <w:pPr>
        <w:pStyle w:val="Pleading"/>
        <w:numPr>
          <w:ilvl w:val="0"/>
          <w:numId w:val="0"/>
        </w:numPr>
        <w:spacing w:lineRule="auto" w:line="480"/>
        <w:ind w:hanging="0" w:start="0"/>
        <w:rPr/>
      </w:pPr>
      <w:r>
        <w:rPr/>
      </w:r>
    </w:p>
    <w:p>
      <w:pPr>
        <w:pStyle w:val="Pleading"/>
        <w:numPr>
          <w:ilvl w:val="0"/>
          <w:numId w:val="0"/>
        </w:numPr>
        <w:spacing w:lineRule="auto" w:line="480"/>
        <w:ind w:hanging="0" w:start="0"/>
        <w:rPr/>
      </w:pPr>
      <w:r>
        <w:rPr/>
      </w:r>
    </w:p>
    <w:p>
      <w:pPr>
        <w:pStyle w:val="Pleading"/>
        <w:numPr>
          <w:ilvl w:val="0"/>
          <w:numId w:val="0"/>
        </w:numPr>
        <w:ind w:hanging="720" w:start="720" w:end="0"/>
        <w:rPr>
          <w:b/>
        </w:rPr>
      </w:pPr>
      <w:r>
        <w:rPr>
          <w:b/>
        </w:rPr>
        <w:t>II.</w:t>
        <w:tab/>
        <w:t>PROPOSED REVENUE ALLOCATION AND RATE DESIGN FOR THE ADOPTED PROCUREMENT INCREASE</w:t>
        <w:tab/>
      </w:r>
    </w:p>
    <w:p>
      <w:pPr>
        <w:pStyle w:val="Pleading"/>
        <w:numPr>
          <w:ilvl w:val="0"/>
          <w:numId w:val="0"/>
        </w:numPr>
        <w:ind w:hanging="0" w:start="0"/>
        <w:rPr>
          <w:b/>
        </w:rPr>
      </w:pPr>
      <w:r>
        <w:rPr>
          <w:b/>
        </w:rPr>
      </w:r>
    </w:p>
    <w:p>
      <w:pPr>
        <w:pStyle w:val="Pleading"/>
        <w:numPr>
          <w:ilvl w:val="0"/>
          <w:numId w:val="0"/>
        </w:numPr>
        <w:spacing w:lineRule="auto" w:line="480"/>
        <w:ind w:firstLine="720" w:start="0" w:end="0"/>
        <w:rPr/>
      </w:pPr>
      <w:r>
        <w:rPr/>
        <w:t xml:space="preserve">The Proposal advanced by EPUC assigns the adopted rate increase revenues based upon the summer on-peak energy usage of each customer class, applying the same approach to rate design.  The results of the proposed allocation and rate design are provided in the spreadsheets attached as Exhibit DWS-1, Schedule 2, for Southern California Edison Company (SCE) and Exhibit DWS-1, Schedule 3, for Pacific Gas and Electric Company (PG&amp;E).  </w:t>
      </w:r>
    </w:p>
    <w:p>
      <w:pPr>
        <w:pStyle w:val="Pleading"/>
        <w:numPr>
          <w:ilvl w:val="0"/>
          <w:numId w:val="0"/>
        </w:numPr>
        <w:spacing w:lineRule="auto" w:line="480"/>
        <w:ind w:firstLine="720" w:start="0" w:end="0"/>
        <w:rPr/>
      </w:pPr>
      <w:r>
        <w:rPr/>
      </w:r>
    </w:p>
    <w:p>
      <w:pPr>
        <w:pStyle w:val="Pleading"/>
        <w:numPr>
          <w:ilvl w:val="0"/>
          <w:numId w:val="0"/>
        </w:numPr>
        <w:spacing w:lineRule="auto" w:line="480"/>
        <w:ind w:hanging="0" w:start="0"/>
        <w:rPr>
          <w:b/>
          <w:u w:val="single"/>
        </w:rPr>
      </w:pPr>
      <w:r>
        <w:rPr>
          <w:b/>
          <w:u w:val="single"/>
        </w:rPr>
        <w:t>Revenue Increase Determination</w:t>
      </w:r>
    </w:p>
    <w:p>
      <w:pPr>
        <w:pStyle w:val="Pleading"/>
        <w:numPr>
          <w:ilvl w:val="0"/>
          <w:numId w:val="0"/>
        </w:numPr>
        <w:spacing w:lineRule="auto" w:line="480"/>
        <w:ind w:firstLine="720" w:start="0" w:end="0"/>
        <w:rPr/>
      </w:pPr>
      <w:r>
        <w:rPr/>
        <w:t>The calculation begins with the total revenue increase for each utility.  This amount -- $2.51 billion for SCE and $2.46 billion for PG&amp;E  -- was derived by</w:t>
      </w:r>
      <w:r>
        <w:rPr>
          <w:b/>
        </w:rPr>
        <w:t xml:space="preserve"> </w:t>
      </w:r>
      <w:r>
        <w:rPr/>
        <w:t>applying three cents per kilowatthour to the total projected retail sales for 2001.  These values can be found at the bottom of Schedule 2 (SCE) and Schedule 3 (PG&amp;E) identified in the “Total System” or “System Total” Lines of the spreadsheets.</w:t>
      </w:r>
    </w:p>
    <w:p>
      <w:pPr>
        <w:pStyle w:val="Pleading"/>
        <w:numPr>
          <w:ilvl w:val="0"/>
          <w:numId w:val="0"/>
        </w:numPr>
        <w:spacing w:lineRule="auto" w:line="480"/>
        <w:ind w:firstLine="720" w:start="0" w:end="0"/>
        <w:rPr/>
      </w:pPr>
      <w:r>
        <w:rPr/>
      </w:r>
    </w:p>
    <w:p>
      <w:pPr>
        <w:pStyle w:val="Pleading"/>
        <w:numPr>
          <w:ilvl w:val="0"/>
          <w:numId w:val="0"/>
        </w:numPr>
        <w:spacing w:lineRule="auto" w:line="480"/>
        <w:ind w:hanging="0" w:start="0"/>
        <w:rPr>
          <w:b/>
          <w:u w:val="single"/>
        </w:rPr>
      </w:pPr>
      <w:r>
        <w:rPr>
          <w:b/>
          <w:u w:val="single"/>
        </w:rPr>
        <w:t>Revenue Allocation</w:t>
      </w:r>
    </w:p>
    <w:p>
      <w:pPr>
        <w:pStyle w:val="Pleading"/>
        <w:numPr>
          <w:ilvl w:val="0"/>
          <w:numId w:val="0"/>
        </w:numPr>
        <w:spacing w:lineRule="auto" w:line="480"/>
        <w:ind w:firstLine="720" w:start="0" w:end="0"/>
        <w:rPr/>
      </w:pPr>
      <w:r>
        <w:rPr/>
        <w:t>The revenue increase is allocated to customer classes based on on-peak energy usage.  The basis for this allocation approach is supported by the following table that summarizes the monthly weekday on and off peak ISO loads for the year 2000.  Note the significant on-peak hourly loads for the summer months as compared to the other remaining months.  In addition, the off-peak loads in the summer months are comparable to the on-peak loads in the winter months.  These data, coupled with the expected third quarter power prices, show the entire revenue increase should be assigned to these hours to maximize the potential for energy conservation and to equitably price the power consumed during this period.</w:t>
      </w:r>
    </w:p>
    <w:p>
      <w:pPr>
        <w:pStyle w:val="Pleading"/>
        <w:numPr>
          <w:ilvl w:val="0"/>
          <w:numId w:val="0"/>
        </w:numPr>
        <w:ind w:firstLine="720" w:start="0" w:end="0"/>
        <w:jc w:val="center"/>
        <w:rPr>
          <w:b/>
        </w:rPr>
      </w:pPr>
      <w:r>
        <w:rPr>
          <w:b/>
        </w:rPr>
        <w:t>ISO Load for 2000</w:t>
      </w:r>
    </w:p>
    <w:p>
      <w:pPr>
        <w:pStyle w:val="Pleading"/>
        <w:numPr>
          <w:ilvl w:val="0"/>
          <w:numId w:val="0"/>
        </w:numPr>
        <w:ind w:firstLine="720" w:start="0" w:end="0"/>
        <w:jc w:val="center"/>
        <w:rPr>
          <w:b/>
        </w:rPr>
      </w:pPr>
      <w:r>
        <w:rPr>
          <w:b/>
        </w:rPr>
        <w:t>(AMW)</w:t>
      </w:r>
    </w:p>
    <w:p>
      <w:pPr>
        <w:pStyle w:val="Pleading"/>
        <w:numPr>
          <w:ilvl w:val="0"/>
          <w:numId w:val="0"/>
        </w:numPr>
        <w:spacing w:lineRule="auto" w:line="480"/>
        <w:ind w:firstLine="720" w:start="0" w:end="0"/>
        <w:rPr>
          <w:b/>
        </w:rPr>
      </w:pPr>
      <w:r>
        <w:rPr>
          <w:b/>
        </w:rPr>
      </w:r>
    </w:p>
    <w:tbl>
      <w:tblPr>
        <w:tblW w:w="5508" w:type="dxa"/>
        <w:jc w:val="center"/>
        <w:tblInd w:w="0" w:type="dxa"/>
        <w:tblLayout w:type="fixed"/>
        <w:tblCellMar>
          <w:top w:w="0" w:type="dxa"/>
          <w:start w:w="108" w:type="dxa"/>
          <w:bottom w:w="0" w:type="dxa"/>
          <w:end w:w="108" w:type="dxa"/>
        </w:tblCellMar>
      </w:tblPr>
      <w:tblGrid>
        <w:gridCol w:w="1134"/>
        <w:gridCol w:w="1404"/>
        <w:gridCol w:w="1530"/>
        <w:gridCol w:w="1440"/>
      </w:tblGrid>
      <w:tr>
        <w:trPr/>
        <w:tc>
          <w:tcPr>
            <w:tcW w:w="1134" w:type="dxa"/>
            <w:tcBorders>
              <w:top w:val="single" w:sz="4" w:space="0" w:color="000000"/>
              <w:start w:val="single" w:sz="4" w:space="0" w:color="000000"/>
              <w:bottom w:val="single" w:sz="4" w:space="0" w:color="000000"/>
              <w:end w:val="single" w:sz="4" w:space="0" w:color="000000"/>
            </w:tcBorders>
          </w:tcPr>
          <w:p>
            <w:pPr>
              <w:pStyle w:val="Normal"/>
              <w:snapToGrid w:val="false"/>
              <w:rPr>
                <w:b/>
              </w:rPr>
            </w:pPr>
            <w:r>
              <w:rPr>
                <w:b/>
              </w:rPr>
            </w:r>
          </w:p>
          <w:p>
            <w:pPr>
              <w:pStyle w:val="Normal"/>
              <w:rPr>
                <w:b/>
              </w:rPr>
            </w:pPr>
            <w:r>
              <w:rPr>
                <w:b/>
              </w:rPr>
              <w:t>Month</w:t>
            </w:r>
          </w:p>
        </w:tc>
        <w:tc>
          <w:tcPr>
            <w:tcW w:w="1404" w:type="dxa"/>
            <w:tcBorders>
              <w:top w:val="single" w:sz="4" w:space="0" w:color="000000"/>
              <w:start w:val="single" w:sz="4" w:space="0" w:color="000000"/>
              <w:bottom w:val="single" w:sz="4" w:space="0" w:color="000000"/>
              <w:end w:val="single" w:sz="4" w:space="0" w:color="000000"/>
            </w:tcBorders>
          </w:tcPr>
          <w:p>
            <w:pPr>
              <w:pStyle w:val="Normal"/>
              <w:jc w:val="center"/>
              <w:rPr>
                <w:b/>
              </w:rPr>
            </w:pPr>
            <w:r>
              <w:rPr>
                <w:b/>
              </w:rPr>
              <w:t>On-Peak Load</w:t>
            </w:r>
          </w:p>
        </w:tc>
        <w:tc>
          <w:tcPr>
            <w:tcW w:w="1530" w:type="dxa"/>
            <w:tcBorders>
              <w:top w:val="single" w:sz="4" w:space="0" w:color="000000"/>
              <w:start w:val="single" w:sz="4" w:space="0" w:color="000000"/>
              <w:bottom w:val="single" w:sz="4" w:space="0" w:color="000000"/>
              <w:end w:val="single" w:sz="4" w:space="0" w:color="000000"/>
            </w:tcBorders>
          </w:tcPr>
          <w:p>
            <w:pPr>
              <w:pStyle w:val="Normal"/>
              <w:jc w:val="center"/>
              <w:rPr>
                <w:b/>
              </w:rPr>
            </w:pPr>
            <w:r>
              <w:rPr>
                <w:b/>
              </w:rPr>
              <w:t>Off-Peak Load</w:t>
            </w:r>
          </w:p>
        </w:tc>
        <w:tc>
          <w:tcPr>
            <w:tcW w:w="144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b/>
              </w:rPr>
            </w:pPr>
            <w:r>
              <w:rPr>
                <w:b/>
              </w:rPr>
            </w:r>
          </w:p>
          <w:p>
            <w:pPr>
              <w:pStyle w:val="Normal"/>
              <w:jc w:val="center"/>
              <w:rPr>
                <w:b/>
              </w:rPr>
            </w:pPr>
            <w:r>
              <w:rPr>
                <w:b/>
              </w:rPr>
              <w:t>Difference</w:t>
            </w:r>
          </w:p>
        </w:tc>
      </w:tr>
      <w:tr>
        <w:trPr/>
        <w:tc>
          <w:tcPr>
            <w:tcW w:w="1134" w:type="dxa"/>
            <w:tcBorders>
              <w:top w:val="single" w:sz="4" w:space="0" w:color="000000"/>
              <w:start w:val="single" w:sz="4" w:space="0" w:color="000000"/>
              <w:bottom w:val="single" w:sz="4" w:space="0" w:color="000000"/>
              <w:end w:val="single" w:sz="4" w:space="0" w:color="000000"/>
            </w:tcBorders>
          </w:tcPr>
          <w:p>
            <w:pPr>
              <w:pStyle w:val="Normal"/>
              <w:rPr/>
            </w:pPr>
            <w:r>
              <w:rPr/>
              <w:t>Jan</w:t>
            </w:r>
          </w:p>
        </w:tc>
        <w:tc>
          <w:tcPr>
            <w:tcW w:w="1404" w:type="dxa"/>
            <w:tcBorders>
              <w:top w:val="single" w:sz="4" w:space="0" w:color="000000"/>
              <w:start w:val="single" w:sz="4" w:space="0" w:color="000000"/>
              <w:bottom w:val="single" w:sz="4" w:space="0" w:color="000000"/>
              <w:end w:val="single" w:sz="4" w:space="0" w:color="000000"/>
            </w:tcBorders>
          </w:tcPr>
          <w:p>
            <w:pPr>
              <w:pStyle w:val="Normal"/>
              <w:jc w:val="center"/>
              <w:rPr/>
            </w:pPr>
            <w:r>
              <w:rPr/>
              <w:t>29,289</w:t>
            </w:r>
          </w:p>
        </w:tc>
        <w:tc>
          <w:tcPr>
            <w:tcW w:w="1530" w:type="dxa"/>
            <w:tcBorders>
              <w:top w:val="single" w:sz="4" w:space="0" w:color="000000"/>
              <w:start w:val="single" w:sz="4" w:space="0" w:color="000000"/>
              <w:bottom w:val="single" w:sz="4" w:space="0" w:color="000000"/>
              <w:end w:val="single" w:sz="4" w:space="0" w:color="000000"/>
            </w:tcBorders>
          </w:tcPr>
          <w:p>
            <w:pPr>
              <w:pStyle w:val="Normal"/>
              <w:jc w:val="center"/>
              <w:rPr/>
            </w:pPr>
            <w:r>
              <w:rPr/>
              <w:t>25,691</w:t>
            </w:r>
          </w:p>
        </w:tc>
        <w:tc>
          <w:tcPr>
            <w:tcW w:w="1440" w:type="dxa"/>
            <w:tcBorders>
              <w:top w:val="single" w:sz="4" w:space="0" w:color="000000"/>
              <w:start w:val="single" w:sz="4" w:space="0" w:color="000000"/>
              <w:bottom w:val="single" w:sz="4" w:space="0" w:color="000000"/>
              <w:end w:val="single" w:sz="4" w:space="0" w:color="000000"/>
            </w:tcBorders>
          </w:tcPr>
          <w:p>
            <w:pPr>
              <w:pStyle w:val="Normal"/>
              <w:jc w:val="center"/>
              <w:rPr/>
            </w:pPr>
            <w:r>
              <w:rPr/>
              <w:t>3,598</w:t>
            </w:r>
          </w:p>
        </w:tc>
      </w:tr>
      <w:tr>
        <w:trPr/>
        <w:tc>
          <w:tcPr>
            <w:tcW w:w="1134"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pPr>
            <w:r>
              <w:rPr/>
              <w:t>Feb</w:t>
            </w:r>
          </w:p>
        </w:tc>
        <w:tc>
          <w:tcPr>
            <w:tcW w:w="1404" w:type="dxa"/>
            <w:tcBorders>
              <w:top w:val="single" w:sz="4" w:space="0" w:color="000000"/>
              <w:start w:val="single" w:sz="4" w:space="0" w:color="000000"/>
              <w:bottom w:val="single" w:sz="4" w:space="0" w:color="000000"/>
              <w:end w:val="single" w:sz="4" w:space="0" w:color="000000"/>
            </w:tcBorders>
          </w:tcPr>
          <w:p>
            <w:pPr>
              <w:pStyle w:val="Normal"/>
              <w:jc w:val="center"/>
              <w:rPr/>
            </w:pPr>
            <w:r>
              <w:rPr/>
              <w:t>27,151</w:t>
            </w:r>
          </w:p>
        </w:tc>
        <w:tc>
          <w:tcPr>
            <w:tcW w:w="1530" w:type="dxa"/>
            <w:tcBorders>
              <w:top w:val="single" w:sz="4" w:space="0" w:color="000000"/>
              <w:start w:val="single" w:sz="4" w:space="0" w:color="000000"/>
              <w:bottom w:val="single" w:sz="4" w:space="0" w:color="000000"/>
              <w:end w:val="single" w:sz="4" w:space="0" w:color="000000"/>
            </w:tcBorders>
          </w:tcPr>
          <w:p>
            <w:pPr>
              <w:pStyle w:val="Normal"/>
              <w:jc w:val="center"/>
              <w:rPr/>
            </w:pPr>
            <w:r>
              <w:rPr/>
              <w:t>24,490</w:t>
            </w:r>
          </w:p>
        </w:tc>
        <w:tc>
          <w:tcPr>
            <w:tcW w:w="1440" w:type="dxa"/>
            <w:tcBorders>
              <w:top w:val="single" w:sz="4" w:space="0" w:color="000000"/>
              <w:start w:val="single" w:sz="4" w:space="0" w:color="000000"/>
              <w:bottom w:val="single" w:sz="4" w:space="0" w:color="000000"/>
              <w:end w:val="single" w:sz="4" w:space="0" w:color="000000"/>
            </w:tcBorders>
          </w:tcPr>
          <w:p>
            <w:pPr>
              <w:pStyle w:val="Normal"/>
              <w:jc w:val="center"/>
              <w:rPr/>
            </w:pPr>
            <w:r>
              <w:rPr/>
              <w:t>2,661</w:t>
            </w:r>
          </w:p>
        </w:tc>
      </w:tr>
      <w:tr>
        <w:trPr/>
        <w:tc>
          <w:tcPr>
            <w:tcW w:w="1134" w:type="dxa"/>
            <w:tcBorders>
              <w:top w:val="single" w:sz="4" w:space="0" w:color="000000"/>
              <w:start w:val="single" w:sz="4" w:space="0" w:color="000000"/>
              <w:bottom w:val="single" w:sz="4" w:space="0" w:color="000000"/>
              <w:end w:val="single" w:sz="4" w:space="0" w:color="000000"/>
            </w:tcBorders>
          </w:tcPr>
          <w:p>
            <w:pPr>
              <w:pStyle w:val="Normal"/>
              <w:rPr/>
            </w:pPr>
            <w:r>
              <w:rPr/>
              <w:t>Mar</w:t>
            </w:r>
          </w:p>
        </w:tc>
        <w:tc>
          <w:tcPr>
            <w:tcW w:w="1404" w:type="dxa"/>
            <w:tcBorders>
              <w:top w:val="single" w:sz="4" w:space="0" w:color="000000"/>
              <w:start w:val="single" w:sz="4" w:space="0" w:color="000000"/>
              <w:bottom w:val="single" w:sz="4" w:space="0" w:color="000000"/>
              <w:end w:val="single" w:sz="4" w:space="0" w:color="000000"/>
            </w:tcBorders>
          </w:tcPr>
          <w:p>
            <w:pPr>
              <w:pStyle w:val="Normal"/>
              <w:jc w:val="center"/>
              <w:rPr/>
            </w:pPr>
            <w:r>
              <w:rPr/>
              <w:t>28,798</w:t>
            </w:r>
          </w:p>
        </w:tc>
        <w:tc>
          <w:tcPr>
            <w:tcW w:w="1530" w:type="dxa"/>
            <w:tcBorders>
              <w:top w:val="single" w:sz="4" w:space="0" w:color="000000"/>
              <w:start w:val="single" w:sz="4" w:space="0" w:color="000000"/>
              <w:bottom w:val="single" w:sz="4" w:space="0" w:color="000000"/>
              <w:end w:val="single" w:sz="4" w:space="0" w:color="000000"/>
            </w:tcBorders>
          </w:tcPr>
          <w:p>
            <w:pPr>
              <w:pStyle w:val="Normal"/>
              <w:jc w:val="center"/>
              <w:rPr/>
            </w:pPr>
            <w:r>
              <w:rPr/>
              <w:t>25,488</w:t>
            </w:r>
          </w:p>
        </w:tc>
        <w:tc>
          <w:tcPr>
            <w:tcW w:w="1440" w:type="dxa"/>
            <w:tcBorders>
              <w:top w:val="single" w:sz="4" w:space="0" w:color="000000"/>
              <w:start w:val="single" w:sz="4" w:space="0" w:color="000000"/>
              <w:bottom w:val="single" w:sz="4" w:space="0" w:color="000000"/>
              <w:end w:val="single" w:sz="4" w:space="0" w:color="000000"/>
            </w:tcBorders>
          </w:tcPr>
          <w:p>
            <w:pPr>
              <w:pStyle w:val="Normal"/>
              <w:jc w:val="center"/>
              <w:rPr/>
            </w:pPr>
            <w:r>
              <w:rPr/>
              <w:t>3,310</w:t>
            </w:r>
          </w:p>
        </w:tc>
      </w:tr>
      <w:tr>
        <w:trPr/>
        <w:tc>
          <w:tcPr>
            <w:tcW w:w="1134" w:type="dxa"/>
            <w:tcBorders>
              <w:top w:val="single" w:sz="4" w:space="0" w:color="000000"/>
              <w:start w:val="single" w:sz="4" w:space="0" w:color="000000"/>
              <w:bottom w:val="single" w:sz="4" w:space="0" w:color="000000"/>
              <w:end w:val="single" w:sz="4" w:space="0" w:color="000000"/>
            </w:tcBorders>
          </w:tcPr>
          <w:p>
            <w:pPr>
              <w:pStyle w:val="Normal"/>
              <w:rPr/>
            </w:pPr>
            <w:r>
              <w:rPr/>
              <w:t>Apr</w:t>
            </w:r>
          </w:p>
        </w:tc>
        <w:tc>
          <w:tcPr>
            <w:tcW w:w="1404" w:type="dxa"/>
            <w:tcBorders>
              <w:top w:val="single" w:sz="4" w:space="0" w:color="000000"/>
              <w:start w:val="single" w:sz="4" w:space="0" w:color="000000"/>
              <w:bottom w:val="single" w:sz="4" w:space="0" w:color="000000"/>
              <w:end w:val="single" w:sz="4" w:space="0" w:color="000000"/>
            </w:tcBorders>
          </w:tcPr>
          <w:p>
            <w:pPr>
              <w:pStyle w:val="Normal"/>
              <w:jc w:val="center"/>
              <w:rPr/>
            </w:pPr>
            <w:r>
              <w:rPr/>
              <w:t>29,599</w:t>
            </w:r>
          </w:p>
        </w:tc>
        <w:tc>
          <w:tcPr>
            <w:tcW w:w="1530" w:type="dxa"/>
            <w:tcBorders>
              <w:top w:val="single" w:sz="4" w:space="0" w:color="000000"/>
              <w:start w:val="single" w:sz="4" w:space="0" w:color="000000"/>
              <w:bottom w:val="single" w:sz="4" w:space="0" w:color="000000"/>
              <w:end w:val="single" w:sz="4" w:space="0" w:color="000000"/>
            </w:tcBorders>
          </w:tcPr>
          <w:p>
            <w:pPr>
              <w:pStyle w:val="Normal"/>
              <w:jc w:val="center"/>
              <w:rPr/>
            </w:pPr>
            <w:r>
              <w:rPr/>
              <w:t>25,165</w:t>
            </w:r>
          </w:p>
        </w:tc>
        <w:tc>
          <w:tcPr>
            <w:tcW w:w="1440" w:type="dxa"/>
            <w:tcBorders>
              <w:top w:val="single" w:sz="4" w:space="0" w:color="000000"/>
              <w:start w:val="single" w:sz="4" w:space="0" w:color="000000"/>
              <w:bottom w:val="single" w:sz="4" w:space="0" w:color="000000"/>
              <w:end w:val="single" w:sz="4" w:space="0" w:color="000000"/>
            </w:tcBorders>
          </w:tcPr>
          <w:p>
            <w:pPr>
              <w:pStyle w:val="Normal"/>
              <w:jc w:val="center"/>
              <w:rPr/>
            </w:pPr>
            <w:r>
              <w:rPr/>
              <w:t>4,434</w:t>
            </w:r>
          </w:p>
        </w:tc>
      </w:tr>
      <w:tr>
        <w:trPr/>
        <w:tc>
          <w:tcPr>
            <w:tcW w:w="1134" w:type="dxa"/>
            <w:tcBorders>
              <w:top w:val="single" w:sz="4" w:space="0" w:color="000000"/>
              <w:start w:val="single" w:sz="4" w:space="0" w:color="000000"/>
              <w:bottom w:val="single" w:sz="4" w:space="0" w:color="000000"/>
              <w:end w:val="single" w:sz="4" w:space="0" w:color="000000"/>
            </w:tcBorders>
          </w:tcPr>
          <w:p>
            <w:pPr>
              <w:pStyle w:val="Normal"/>
              <w:rPr/>
            </w:pPr>
            <w:r>
              <w:rPr/>
              <w:t>May</w:t>
            </w:r>
          </w:p>
        </w:tc>
        <w:tc>
          <w:tcPr>
            <w:tcW w:w="1404" w:type="dxa"/>
            <w:tcBorders>
              <w:top w:val="single" w:sz="4" w:space="0" w:color="000000"/>
              <w:start w:val="single" w:sz="4" w:space="0" w:color="000000"/>
              <w:bottom w:val="single" w:sz="4" w:space="0" w:color="000000"/>
              <w:end w:val="single" w:sz="4" w:space="0" w:color="000000"/>
            </w:tcBorders>
          </w:tcPr>
          <w:p>
            <w:pPr>
              <w:pStyle w:val="Normal"/>
              <w:jc w:val="center"/>
              <w:rPr/>
            </w:pPr>
            <w:r>
              <w:rPr/>
              <w:t>31,886</w:t>
            </w:r>
          </w:p>
        </w:tc>
        <w:tc>
          <w:tcPr>
            <w:tcW w:w="1530" w:type="dxa"/>
            <w:tcBorders>
              <w:top w:val="single" w:sz="4" w:space="0" w:color="000000"/>
              <w:start w:val="single" w:sz="4" w:space="0" w:color="000000"/>
              <w:bottom w:val="single" w:sz="4" w:space="0" w:color="000000"/>
              <w:end w:val="single" w:sz="4" w:space="0" w:color="000000"/>
            </w:tcBorders>
          </w:tcPr>
          <w:p>
            <w:pPr>
              <w:pStyle w:val="Normal"/>
              <w:jc w:val="center"/>
              <w:rPr/>
            </w:pPr>
            <w:r>
              <w:rPr/>
              <w:t>26,082</w:t>
            </w:r>
          </w:p>
        </w:tc>
        <w:tc>
          <w:tcPr>
            <w:tcW w:w="1440" w:type="dxa"/>
            <w:tcBorders>
              <w:top w:val="single" w:sz="4" w:space="0" w:color="000000"/>
              <w:start w:val="single" w:sz="4" w:space="0" w:color="000000"/>
              <w:bottom w:val="single" w:sz="4" w:space="0" w:color="000000"/>
              <w:end w:val="single" w:sz="4" w:space="0" w:color="000000"/>
            </w:tcBorders>
          </w:tcPr>
          <w:p>
            <w:pPr>
              <w:pStyle w:val="Normal"/>
              <w:jc w:val="center"/>
              <w:rPr/>
            </w:pPr>
            <w:r>
              <w:rPr/>
              <w:t>5,803</w:t>
            </w:r>
          </w:p>
        </w:tc>
      </w:tr>
      <w:tr>
        <w:trPr/>
        <w:tc>
          <w:tcPr>
            <w:tcW w:w="1134" w:type="dxa"/>
            <w:tcBorders>
              <w:top w:val="single" w:sz="4" w:space="0" w:color="000000"/>
              <w:start w:val="single" w:sz="4" w:space="0" w:color="000000"/>
              <w:bottom w:val="single" w:sz="4" w:space="0" w:color="000000"/>
              <w:end w:val="single" w:sz="4" w:space="0" w:color="000000"/>
            </w:tcBorders>
          </w:tcPr>
          <w:p>
            <w:pPr>
              <w:pStyle w:val="Normal"/>
              <w:rPr/>
            </w:pPr>
            <w:r>
              <w:rPr/>
              <w:t>June</w:t>
            </w:r>
          </w:p>
        </w:tc>
        <w:tc>
          <w:tcPr>
            <w:tcW w:w="1404" w:type="dxa"/>
            <w:tcBorders>
              <w:top w:val="single" w:sz="4" w:space="0" w:color="000000"/>
              <w:start w:val="single" w:sz="4" w:space="0" w:color="000000"/>
              <w:bottom w:val="single" w:sz="4" w:space="0" w:color="000000"/>
              <w:end w:val="single" w:sz="4" w:space="0" w:color="000000"/>
            </w:tcBorders>
          </w:tcPr>
          <w:p>
            <w:pPr>
              <w:pStyle w:val="Normal"/>
              <w:jc w:val="center"/>
              <w:rPr/>
            </w:pPr>
            <w:r>
              <w:rPr/>
              <w:t>37,543</w:t>
            </w:r>
          </w:p>
        </w:tc>
        <w:tc>
          <w:tcPr>
            <w:tcW w:w="1530" w:type="dxa"/>
            <w:tcBorders>
              <w:top w:val="single" w:sz="4" w:space="0" w:color="000000"/>
              <w:start w:val="single" w:sz="4" w:space="0" w:color="000000"/>
              <w:bottom w:val="single" w:sz="4" w:space="0" w:color="000000"/>
              <w:end w:val="single" w:sz="4" w:space="0" w:color="000000"/>
            </w:tcBorders>
          </w:tcPr>
          <w:p>
            <w:pPr>
              <w:pStyle w:val="Normal"/>
              <w:jc w:val="center"/>
              <w:rPr/>
            </w:pPr>
            <w:r>
              <w:rPr/>
              <w:t>28,798</w:t>
            </w:r>
          </w:p>
        </w:tc>
        <w:tc>
          <w:tcPr>
            <w:tcW w:w="1440" w:type="dxa"/>
            <w:tcBorders>
              <w:top w:val="single" w:sz="4" w:space="0" w:color="000000"/>
              <w:start w:val="single" w:sz="4" w:space="0" w:color="000000"/>
              <w:bottom w:val="single" w:sz="4" w:space="0" w:color="000000"/>
              <w:end w:val="single" w:sz="4" w:space="0" w:color="000000"/>
            </w:tcBorders>
          </w:tcPr>
          <w:p>
            <w:pPr>
              <w:pStyle w:val="Normal"/>
              <w:jc w:val="center"/>
              <w:rPr/>
            </w:pPr>
            <w:r>
              <w:rPr/>
              <w:t>8,745</w:t>
            </w:r>
          </w:p>
        </w:tc>
      </w:tr>
      <w:tr>
        <w:trPr/>
        <w:tc>
          <w:tcPr>
            <w:tcW w:w="1134" w:type="dxa"/>
            <w:tcBorders>
              <w:top w:val="single" w:sz="4" w:space="0" w:color="000000"/>
              <w:start w:val="single" w:sz="4" w:space="0" w:color="000000"/>
              <w:bottom w:val="single" w:sz="4" w:space="0" w:color="000000"/>
              <w:end w:val="single" w:sz="4" w:space="0" w:color="000000"/>
            </w:tcBorders>
          </w:tcPr>
          <w:p>
            <w:pPr>
              <w:pStyle w:val="Normal"/>
              <w:rPr/>
            </w:pPr>
            <w:r>
              <w:rPr/>
              <w:t>July</w:t>
            </w:r>
          </w:p>
        </w:tc>
        <w:tc>
          <w:tcPr>
            <w:tcW w:w="1404" w:type="dxa"/>
            <w:tcBorders>
              <w:top w:val="single" w:sz="4" w:space="0" w:color="000000"/>
              <w:start w:val="single" w:sz="4" w:space="0" w:color="000000"/>
              <w:bottom w:val="single" w:sz="4" w:space="0" w:color="000000"/>
              <w:end w:val="single" w:sz="4" w:space="0" w:color="000000"/>
            </w:tcBorders>
          </w:tcPr>
          <w:p>
            <w:pPr>
              <w:pStyle w:val="Normal"/>
              <w:jc w:val="center"/>
              <w:rPr/>
            </w:pPr>
            <w:r>
              <w:rPr/>
              <w:t>36,893</w:t>
            </w:r>
          </w:p>
        </w:tc>
        <w:tc>
          <w:tcPr>
            <w:tcW w:w="1530" w:type="dxa"/>
            <w:tcBorders>
              <w:top w:val="single" w:sz="4" w:space="0" w:color="000000"/>
              <w:start w:val="single" w:sz="4" w:space="0" w:color="000000"/>
              <w:bottom w:val="single" w:sz="4" w:space="0" w:color="000000"/>
              <w:end w:val="single" w:sz="4" w:space="0" w:color="000000"/>
            </w:tcBorders>
          </w:tcPr>
          <w:p>
            <w:pPr>
              <w:pStyle w:val="Normal"/>
              <w:jc w:val="center"/>
              <w:rPr/>
            </w:pPr>
            <w:r>
              <w:rPr/>
              <w:t>28,468</w:t>
            </w:r>
          </w:p>
        </w:tc>
        <w:tc>
          <w:tcPr>
            <w:tcW w:w="1440" w:type="dxa"/>
            <w:tcBorders>
              <w:top w:val="single" w:sz="4" w:space="0" w:color="000000"/>
              <w:start w:val="single" w:sz="4" w:space="0" w:color="000000"/>
              <w:bottom w:val="single" w:sz="4" w:space="0" w:color="000000"/>
              <w:end w:val="single" w:sz="4" w:space="0" w:color="000000"/>
            </w:tcBorders>
          </w:tcPr>
          <w:p>
            <w:pPr>
              <w:pStyle w:val="Normal"/>
              <w:jc w:val="center"/>
              <w:rPr/>
            </w:pPr>
            <w:r>
              <w:rPr/>
              <w:t>8,425</w:t>
            </w:r>
          </w:p>
        </w:tc>
      </w:tr>
      <w:tr>
        <w:trPr/>
        <w:tc>
          <w:tcPr>
            <w:tcW w:w="1134" w:type="dxa"/>
            <w:tcBorders>
              <w:top w:val="single" w:sz="4" w:space="0" w:color="000000"/>
              <w:start w:val="single" w:sz="4" w:space="0" w:color="000000"/>
              <w:bottom w:val="single" w:sz="4" w:space="0" w:color="000000"/>
              <w:end w:val="single" w:sz="4" w:space="0" w:color="000000"/>
            </w:tcBorders>
          </w:tcPr>
          <w:p>
            <w:pPr>
              <w:pStyle w:val="Normal"/>
              <w:rPr/>
            </w:pPr>
            <w:r>
              <w:rPr/>
              <w:t>Aug</w:t>
            </w:r>
          </w:p>
        </w:tc>
        <w:tc>
          <w:tcPr>
            <w:tcW w:w="1404" w:type="dxa"/>
            <w:tcBorders>
              <w:top w:val="single" w:sz="4" w:space="0" w:color="000000"/>
              <w:start w:val="single" w:sz="4" w:space="0" w:color="000000"/>
              <w:bottom w:val="single" w:sz="4" w:space="0" w:color="000000"/>
              <w:end w:val="single" w:sz="4" w:space="0" w:color="000000"/>
            </w:tcBorders>
          </w:tcPr>
          <w:p>
            <w:pPr>
              <w:pStyle w:val="Normal"/>
              <w:jc w:val="center"/>
              <w:rPr/>
            </w:pPr>
            <w:r>
              <w:rPr/>
              <w:t>38,728</w:t>
            </w:r>
          </w:p>
        </w:tc>
        <w:tc>
          <w:tcPr>
            <w:tcW w:w="1530" w:type="dxa"/>
            <w:tcBorders>
              <w:top w:val="single" w:sz="4" w:space="0" w:color="000000"/>
              <w:start w:val="single" w:sz="4" w:space="0" w:color="000000"/>
              <w:bottom w:val="single" w:sz="4" w:space="0" w:color="000000"/>
              <w:end w:val="single" w:sz="4" w:space="0" w:color="000000"/>
            </w:tcBorders>
          </w:tcPr>
          <w:p>
            <w:pPr>
              <w:pStyle w:val="Normal"/>
              <w:jc w:val="center"/>
              <w:rPr/>
            </w:pPr>
            <w:r>
              <w:rPr/>
              <w:t>29,626</w:t>
            </w:r>
          </w:p>
        </w:tc>
        <w:tc>
          <w:tcPr>
            <w:tcW w:w="1440" w:type="dxa"/>
            <w:tcBorders>
              <w:top w:val="single" w:sz="4" w:space="0" w:color="000000"/>
              <w:start w:val="single" w:sz="4" w:space="0" w:color="000000"/>
              <w:bottom w:val="single" w:sz="4" w:space="0" w:color="000000"/>
              <w:end w:val="single" w:sz="4" w:space="0" w:color="000000"/>
            </w:tcBorders>
          </w:tcPr>
          <w:p>
            <w:pPr>
              <w:pStyle w:val="Normal"/>
              <w:jc w:val="center"/>
              <w:rPr/>
            </w:pPr>
            <w:r>
              <w:rPr/>
              <w:t>9,102</w:t>
            </w:r>
          </w:p>
        </w:tc>
      </w:tr>
      <w:tr>
        <w:trPr/>
        <w:tc>
          <w:tcPr>
            <w:tcW w:w="1134" w:type="dxa"/>
            <w:tcBorders>
              <w:top w:val="single" w:sz="4" w:space="0" w:color="000000"/>
              <w:start w:val="single" w:sz="4" w:space="0" w:color="000000"/>
              <w:bottom w:val="single" w:sz="4" w:space="0" w:color="000000"/>
              <w:end w:val="single" w:sz="4" w:space="0" w:color="000000"/>
            </w:tcBorders>
          </w:tcPr>
          <w:p>
            <w:pPr>
              <w:pStyle w:val="Normal"/>
              <w:rPr/>
            </w:pPr>
            <w:r>
              <w:rPr/>
              <w:t>Sept</w:t>
            </w:r>
          </w:p>
        </w:tc>
        <w:tc>
          <w:tcPr>
            <w:tcW w:w="1404" w:type="dxa"/>
            <w:tcBorders>
              <w:top w:val="single" w:sz="4" w:space="0" w:color="000000"/>
              <w:start w:val="single" w:sz="4" w:space="0" w:color="000000"/>
              <w:bottom w:val="single" w:sz="4" w:space="0" w:color="000000"/>
              <w:end w:val="single" w:sz="4" w:space="0" w:color="000000"/>
            </w:tcBorders>
          </w:tcPr>
          <w:p>
            <w:pPr>
              <w:pStyle w:val="Normal"/>
              <w:jc w:val="center"/>
              <w:rPr/>
            </w:pPr>
            <w:r>
              <w:rPr/>
              <w:t>35,810</w:t>
            </w:r>
          </w:p>
        </w:tc>
        <w:tc>
          <w:tcPr>
            <w:tcW w:w="1530" w:type="dxa"/>
            <w:tcBorders>
              <w:top w:val="single" w:sz="4" w:space="0" w:color="000000"/>
              <w:start w:val="single" w:sz="4" w:space="0" w:color="000000"/>
              <w:bottom w:val="single" w:sz="4" w:space="0" w:color="000000"/>
              <w:end w:val="single" w:sz="4" w:space="0" w:color="000000"/>
            </w:tcBorders>
          </w:tcPr>
          <w:p>
            <w:pPr>
              <w:pStyle w:val="Normal"/>
              <w:jc w:val="center"/>
              <w:rPr/>
            </w:pPr>
            <w:r>
              <w:rPr/>
              <w:t>28,111</w:t>
            </w:r>
          </w:p>
        </w:tc>
        <w:tc>
          <w:tcPr>
            <w:tcW w:w="1440" w:type="dxa"/>
            <w:tcBorders>
              <w:top w:val="single" w:sz="4" w:space="0" w:color="000000"/>
              <w:start w:val="single" w:sz="4" w:space="0" w:color="000000"/>
              <w:bottom w:val="single" w:sz="4" w:space="0" w:color="000000"/>
              <w:end w:val="single" w:sz="4" w:space="0" w:color="000000"/>
            </w:tcBorders>
          </w:tcPr>
          <w:p>
            <w:pPr>
              <w:pStyle w:val="Normal"/>
              <w:jc w:val="center"/>
              <w:rPr/>
            </w:pPr>
            <w:r>
              <w:rPr/>
              <w:t>7,699</w:t>
            </w:r>
          </w:p>
        </w:tc>
      </w:tr>
      <w:tr>
        <w:trPr/>
        <w:tc>
          <w:tcPr>
            <w:tcW w:w="1134" w:type="dxa"/>
            <w:tcBorders>
              <w:top w:val="single" w:sz="4" w:space="0" w:color="000000"/>
              <w:start w:val="single" w:sz="4" w:space="0" w:color="000000"/>
              <w:bottom w:val="single" w:sz="4" w:space="0" w:color="000000"/>
              <w:end w:val="single" w:sz="4" w:space="0" w:color="000000"/>
            </w:tcBorders>
          </w:tcPr>
          <w:p>
            <w:pPr>
              <w:pStyle w:val="Normal"/>
              <w:rPr/>
            </w:pPr>
            <w:r>
              <w:rPr/>
              <w:t>Oct</w:t>
            </w:r>
          </w:p>
        </w:tc>
        <w:tc>
          <w:tcPr>
            <w:tcW w:w="1404" w:type="dxa"/>
            <w:tcBorders>
              <w:top w:val="single" w:sz="4" w:space="0" w:color="000000"/>
              <w:start w:val="single" w:sz="4" w:space="0" w:color="000000"/>
              <w:bottom w:val="single" w:sz="4" w:space="0" w:color="000000"/>
              <w:end w:val="single" w:sz="4" w:space="0" w:color="000000"/>
            </w:tcBorders>
          </w:tcPr>
          <w:p>
            <w:pPr>
              <w:pStyle w:val="Normal"/>
              <w:jc w:val="center"/>
              <w:rPr/>
            </w:pPr>
            <w:r>
              <w:rPr/>
              <w:t>29,898</w:t>
            </w:r>
          </w:p>
        </w:tc>
        <w:tc>
          <w:tcPr>
            <w:tcW w:w="1530" w:type="dxa"/>
            <w:tcBorders>
              <w:top w:val="single" w:sz="4" w:space="0" w:color="000000"/>
              <w:start w:val="single" w:sz="4" w:space="0" w:color="000000"/>
              <w:bottom w:val="single" w:sz="4" w:space="0" w:color="000000"/>
              <w:end w:val="single" w:sz="4" w:space="0" w:color="000000"/>
            </w:tcBorders>
          </w:tcPr>
          <w:p>
            <w:pPr>
              <w:pStyle w:val="Normal"/>
              <w:jc w:val="center"/>
              <w:rPr/>
            </w:pPr>
            <w:r>
              <w:rPr/>
              <w:t>26,022</w:t>
            </w:r>
          </w:p>
        </w:tc>
        <w:tc>
          <w:tcPr>
            <w:tcW w:w="1440" w:type="dxa"/>
            <w:tcBorders>
              <w:top w:val="single" w:sz="4" w:space="0" w:color="000000"/>
              <w:start w:val="single" w:sz="4" w:space="0" w:color="000000"/>
              <w:bottom w:val="single" w:sz="4" w:space="0" w:color="000000"/>
              <w:end w:val="single" w:sz="4" w:space="0" w:color="000000"/>
            </w:tcBorders>
          </w:tcPr>
          <w:p>
            <w:pPr>
              <w:pStyle w:val="Normal"/>
              <w:jc w:val="center"/>
              <w:rPr/>
            </w:pPr>
            <w:r>
              <w:rPr/>
              <w:t>3,876</w:t>
            </w:r>
          </w:p>
        </w:tc>
      </w:tr>
      <w:tr>
        <w:trPr/>
        <w:tc>
          <w:tcPr>
            <w:tcW w:w="1134" w:type="dxa"/>
            <w:tcBorders>
              <w:top w:val="single" w:sz="4" w:space="0" w:color="000000"/>
              <w:start w:val="single" w:sz="4" w:space="0" w:color="000000"/>
              <w:bottom w:val="single" w:sz="4" w:space="0" w:color="000000"/>
              <w:end w:val="single" w:sz="4" w:space="0" w:color="000000"/>
            </w:tcBorders>
          </w:tcPr>
          <w:p>
            <w:pPr>
              <w:pStyle w:val="Normal"/>
              <w:rPr/>
            </w:pPr>
            <w:r>
              <w:rPr/>
              <w:t>Nov</w:t>
            </w:r>
          </w:p>
        </w:tc>
        <w:tc>
          <w:tcPr>
            <w:tcW w:w="1404" w:type="dxa"/>
            <w:tcBorders>
              <w:top w:val="single" w:sz="4" w:space="0" w:color="000000"/>
              <w:start w:val="single" w:sz="4" w:space="0" w:color="000000"/>
              <w:bottom w:val="single" w:sz="4" w:space="0" w:color="000000"/>
              <w:end w:val="single" w:sz="4" w:space="0" w:color="000000"/>
            </w:tcBorders>
          </w:tcPr>
          <w:p>
            <w:pPr>
              <w:pStyle w:val="Normal"/>
              <w:jc w:val="center"/>
              <w:rPr/>
            </w:pPr>
            <w:r>
              <w:rPr/>
              <w:t>29,521</w:t>
            </w:r>
          </w:p>
        </w:tc>
        <w:tc>
          <w:tcPr>
            <w:tcW w:w="1530" w:type="dxa"/>
            <w:tcBorders>
              <w:top w:val="single" w:sz="4" w:space="0" w:color="000000"/>
              <w:start w:val="single" w:sz="4" w:space="0" w:color="000000"/>
              <w:bottom w:val="single" w:sz="4" w:space="0" w:color="000000"/>
              <w:end w:val="single" w:sz="4" w:space="0" w:color="000000"/>
            </w:tcBorders>
          </w:tcPr>
          <w:p>
            <w:pPr>
              <w:pStyle w:val="Normal"/>
              <w:jc w:val="center"/>
              <w:rPr/>
            </w:pPr>
            <w:r>
              <w:rPr/>
              <w:t>25,963</w:t>
            </w:r>
          </w:p>
        </w:tc>
        <w:tc>
          <w:tcPr>
            <w:tcW w:w="1440" w:type="dxa"/>
            <w:tcBorders>
              <w:top w:val="single" w:sz="4" w:space="0" w:color="000000"/>
              <w:start w:val="single" w:sz="4" w:space="0" w:color="000000"/>
              <w:bottom w:val="single" w:sz="4" w:space="0" w:color="000000"/>
              <w:end w:val="single" w:sz="4" w:space="0" w:color="000000"/>
            </w:tcBorders>
          </w:tcPr>
          <w:p>
            <w:pPr>
              <w:pStyle w:val="Normal"/>
              <w:jc w:val="center"/>
              <w:rPr/>
            </w:pPr>
            <w:r>
              <w:rPr/>
              <w:t>3,558</w:t>
            </w:r>
          </w:p>
        </w:tc>
      </w:tr>
      <w:tr>
        <w:trPr/>
        <w:tc>
          <w:tcPr>
            <w:tcW w:w="1134" w:type="dxa"/>
            <w:tcBorders>
              <w:top w:val="single" w:sz="4" w:space="0" w:color="000000"/>
              <w:start w:val="single" w:sz="4" w:space="0" w:color="000000"/>
              <w:bottom w:val="single" w:sz="4" w:space="0" w:color="000000"/>
              <w:end w:val="single" w:sz="4" w:space="0" w:color="000000"/>
            </w:tcBorders>
          </w:tcPr>
          <w:p>
            <w:pPr>
              <w:pStyle w:val="Normal"/>
              <w:rPr/>
            </w:pPr>
            <w:r>
              <w:rPr/>
              <w:t>Dec</w:t>
            </w:r>
          </w:p>
        </w:tc>
        <w:tc>
          <w:tcPr>
            <w:tcW w:w="1404" w:type="dxa"/>
            <w:tcBorders>
              <w:top w:val="single" w:sz="4" w:space="0" w:color="000000"/>
              <w:start w:val="single" w:sz="4" w:space="0" w:color="000000"/>
              <w:bottom w:val="single" w:sz="4" w:space="0" w:color="000000"/>
              <w:end w:val="single" w:sz="4" w:space="0" w:color="000000"/>
            </w:tcBorders>
          </w:tcPr>
          <w:p>
            <w:pPr>
              <w:pStyle w:val="Normal"/>
              <w:jc w:val="center"/>
              <w:rPr/>
            </w:pPr>
            <w:r>
              <w:rPr/>
              <w:t>29,618</w:t>
            </w:r>
          </w:p>
        </w:tc>
        <w:tc>
          <w:tcPr>
            <w:tcW w:w="1530" w:type="dxa"/>
            <w:tcBorders>
              <w:top w:val="single" w:sz="4" w:space="0" w:color="000000"/>
              <w:start w:val="single" w:sz="4" w:space="0" w:color="000000"/>
              <w:bottom w:val="single" w:sz="4" w:space="0" w:color="000000"/>
              <w:end w:val="single" w:sz="4" w:space="0" w:color="000000"/>
            </w:tcBorders>
          </w:tcPr>
          <w:p>
            <w:pPr>
              <w:pStyle w:val="Normal"/>
              <w:jc w:val="center"/>
              <w:rPr/>
            </w:pPr>
            <w:r>
              <w:rPr/>
              <w:t>26,364</w:t>
            </w:r>
          </w:p>
        </w:tc>
        <w:tc>
          <w:tcPr>
            <w:tcW w:w="1440" w:type="dxa"/>
            <w:tcBorders>
              <w:top w:val="single" w:sz="4" w:space="0" w:color="000000"/>
              <w:start w:val="single" w:sz="4" w:space="0" w:color="000000"/>
              <w:bottom w:val="single" w:sz="4" w:space="0" w:color="000000"/>
              <w:end w:val="single" w:sz="4" w:space="0" w:color="000000"/>
            </w:tcBorders>
          </w:tcPr>
          <w:p>
            <w:pPr>
              <w:pStyle w:val="Normal"/>
              <w:jc w:val="center"/>
              <w:rPr/>
            </w:pPr>
            <w:r>
              <w:rPr/>
              <w:t>3,253</w:t>
            </w:r>
          </w:p>
        </w:tc>
      </w:tr>
    </w:tbl>
    <w:p>
      <w:pPr>
        <w:pStyle w:val="Pleading"/>
        <w:numPr>
          <w:ilvl w:val="0"/>
          <w:numId w:val="0"/>
        </w:numPr>
        <w:spacing w:lineRule="auto" w:line="480"/>
        <w:ind w:firstLine="720" w:start="0" w:end="0"/>
        <w:rPr/>
      </w:pPr>
      <w:r>
        <w:rPr/>
      </w:r>
    </w:p>
    <w:p>
      <w:pPr>
        <w:pStyle w:val="Pleading"/>
        <w:numPr>
          <w:ilvl w:val="0"/>
          <w:numId w:val="0"/>
        </w:numPr>
        <w:spacing w:lineRule="auto" w:line="480"/>
        <w:ind w:firstLine="720" w:start="0" w:end="0"/>
        <w:rPr/>
      </w:pPr>
      <w:r>
        <w:rPr/>
      </w:r>
    </w:p>
    <w:p>
      <w:pPr>
        <w:pStyle w:val="Pleading"/>
        <w:numPr>
          <w:ilvl w:val="0"/>
          <w:numId w:val="0"/>
        </w:numPr>
        <w:spacing w:lineRule="auto" w:line="480"/>
        <w:ind w:firstLine="720" w:start="0" w:end="0"/>
        <w:rPr/>
      </w:pPr>
      <w:r>
        <w:rPr/>
        <w:t xml:space="preserve">On-peak hours for SCE are roughly 528 hours of energy use (4 summer months times 22 on-peak days times 6 on-peak hours per day).  On-peak hours for PG&amp;E are roughly 792 hours (6 summer months times 22 on-peak days times 6 on-peak hours per day).  On-peak usage was derived for non-TOU classes from the load profiles of these classes for the year 2000.  The on-peak energy usage for the TOU classes was taken directly from the projected 2001 billing determinants.  The revenue increase is allocated to each customer class in a share proportionate to its share of overall on-peak summer usage.  The proportionate share of the revenue increase is shown in the attached schedules along with the percentage increase using January rates. </w:t>
      </w:r>
      <w:r>
        <w:rPr>
          <w:b/>
        </w:rPr>
        <w:t xml:space="preserve"> </w:t>
      </w:r>
      <w:r>
        <w:rPr/>
        <w:t>In short, the increase revenue is spread to all classes on an equal cents/kWh basis for all summer on-peak usage.</w:t>
      </w:r>
    </w:p>
    <w:p>
      <w:pPr>
        <w:pStyle w:val="Pleading"/>
        <w:numPr>
          <w:ilvl w:val="0"/>
          <w:numId w:val="0"/>
        </w:numPr>
        <w:spacing w:lineRule="auto" w:line="480"/>
        <w:ind w:firstLine="720" w:start="0" w:end="0"/>
        <w:rPr/>
      </w:pPr>
      <w:r>
        <w:rPr/>
      </w:r>
    </w:p>
    <w:p>
      <w:pPr>
        <w:pStyle w:val="Pleading"/>
        <w:numPr>
          <w:ilvl w:val="0"/>
          <w:numId w:val="0"/>
        </w:numPr>
        <w:spacing w:lineRule="auto" w:line="480"/>
        <w:ind w:hanging="0" w:start="0"/>
        <w:rPr>
          <w:b/>
          <w:u w:val="single"/>
        </w:rPr>
      </w:pPr>
      <w:r>
        <w:rPr>
          <w:b/>
          <w:u w:val="single"/>
        </w:rPr>
        <w:t>CARE Treatment</w:t>
      </w:r>
    </w:p>
    <w:p>
      <w:pPr>
        <w:pStyle w:val="Pleading"/>
        <w:numPr>
          <w:ilvl w:val="0"/>
          <w:numId w:val="0"/>
        </w:numPr>
        <w:spacing w:lineRule="auto" w:line="480"/>
        <w:ind w:firstLine="720" w:start="0" w:end="0"/>
        <w:rPr/>
      </w:pPr>
      <w:r>
        <w:rPr/>
        <w:t>A couple of points should be observed in reviewing the allocation.  First, the Proposal first allocates the increase revenues to all customer classes – including CARE – and then re-allocates the CARE assignment to all other customers (except streetlighting) using an equal cents/kWh surcharge to all energy use.  This maintains the current Commission practice for allocation of the CARE rate subsidy.  Second, unlike the Tiered Rate Design “straw” proposal, which applies an increase to CARE customers above 200% of the baseline quantity, the Proposal provides a complete exemption for CARE.  Finally, the Proposal exempts all residential customers from the increase up to 130% of the baseline quantity, consistent with Water Code section 80110.</w:t>
      </w:r>
      <w:r>
        <w:rPr>
          <w:rStyle w:val="FootnoteCharacters"/>
        </w:rPr>
        <w:t xml:space="preserve"> </w:t>
      </w:r>
      <w:r>
        <w:rPr>
          <w:rStyle w:val="FootnoteCharacters"/>
          <w:rStyle w:val="FootnoteReference"/>
          <w:vertAlign w:val="superscript"/>
        </w:rPr>
        <w:footnoteReference w:id="3"/>
      </w:r>
      <w:r>
        <w:rPr>
          <w:vertAlign w:val="superscript"/>
        </w:rPr>
        <w:t xml:space="preserve"> </w:t>
      </w:r>
      <w:r>
        <w:rPr/>
        <w:t xml:space="preserve"> However, the revenue that is not recovered as a result of the exemption is retained within the residential class.</w:t>
      </w:r>
    </w:p>
    <w:p>
      <w:pPr>
        <w:pStyle w:val="Pleading"/>
        <w:numPr>
          <w:ilvl w:val="0"/>
          <w:numId w:val="0"/>
        </w:numPr>
        <w:spacing w:lineRule="auto" w:line="480"/>
        <w:ind w:firstLine="720" w:start="0" w:end="0"/>
        <w:rPr/>
      </w:pPr>
      <w:r>
        <w:rPr/>
      </w:r>
    </w:p>
    <w:p>
      <w:pPr>
        <w:pStyle w:val="Pleading"/>
        <w:numPr>
          <w:ilvl w:val="0"/>
          <w:numId w:val="0"/>
        </w:numPr>
        <w:spacing w:lineRule="auto" w:line="480"/>
        <w:ind w:hanging="0" w:start="0"/>
        <w:rPr>
          <w:b/>
          <w:u w:val="single"/>
        </w:rPr>
      </w:pPr>
      <w:r>
        <w:rPr>
          <w:b/>
          <w:u w:val="single"/>
        </w:rPr>
        <w:t>Large Power Rate Design</w:t>
      </w:r>
    </w:p>
    <w:p>
      <w:pPr>
        <w:pStyle w:val="Pleading"/>
        <w:numPr>
          <w:ilvl w:val="0"/>
          <w:numId w:val="0"/>
        </w:numPr>
        <w:spacing w:lineRule="auto" w:line="480"/>
        <w:ind w:firstLine="720" w:start="0" w:end="0"/>
        <w:rPr/>
      </w:pPr>
      <w:r>
        <w:rPr/>
        <w:t>EPUC has, consistent with the directives during the April 3, 2001 workshop, designed rates solely for the large power class.  Again, the allocated increase revenue for the large power class is spread only to summer on-peak rates.  The class revenue allocation is thus divided by the total class on-peak usage and then allocated to each rate schedule based on the schedule’s proportionate share of on-peak usage.  The attached exhibits show the proportionate share of increase to each large power schedule.</w:t>
      </w:r>
    </w:p>
    <w:p>
      <w:pPr>
        <w:pStyle w:val="Pleading"/>
        <w:numPr>
          <w:ilvl w:val="0"/>
          <w:numId w:val="0"/>
        </w:numPr>
        <w:spacing w:lineRule="auto" w:line="480"/>
        <w:ind w:firstLine="720" w:start="0" w:end="0"/>
        <w:rPr/>
      </w:pPr>
      <w:r>
        <w:rPr/>
        <w:t>The rates for time-of-use schedules – particularly, SCE Schedule TOU-8 and PG&amp;E Schedules E-19 and E-20 – should be subject to a market-based energy cap.  The Proposal uses a 50 cents/kWh rate cap for these schedules based on an estimated summer on-peak market price of roughly $500 MWh (See, for example, Platts Energy Trader for Wednesday, April 11, 2001 which indicates a Palo Verde on-peak price of $575/MWh for the third quarter of 2001).  In the event that the calculated rates exceed a 50-cent/kWh cap, any remaining revenue allocated to the schedule but not recovered in summer on-peak hours would be recovered by increasing the summer mid-peak energy charge for that schedule.</w:t>
      </w:r>
    </w:p>
    <w:p>
      <w:pPr>
        <w:pStyle w:val="Pleading"/>
        <w:keepNext w:val="true"/>
        <w:keepLines/>
        <w:numPr>
          <w:ilvl w:val="0"/>
          <w:numId w:val="8"/>
        </w:numPr>
        <w:rPr>
          <w:b/>
        </w:rPr>
      </w:pPr>
      <w:r>
        <w:rPr>
          <w:b/>
        </w:rPr>
        <w:t>CONCLUSION</w:t>
      </w:r>
    </w:p>
    <w:p>
      <w:pPr>
        <w:pStyle w:val="Pleading"/>
        <w:keepNext w:val="true"/>
        <w:keepLines/>
        <w:numPr>
          <w:ilvl w:val="0"/>
          <w:numId w:val="0"/>
        </w:numPr>
        <w:ind w:hanging="0" w:start="0"/>
        <w:rPr>
          <w:b/>
        </w:rPr>
      </w:pPr>
      <w:r>
        <w:rPr>
          <w:b/>
        </w:rPr>
      </w:r>
    </w:p>
    <w:p>
      <w:pPr>
        <w:pStyle w:val="Pleading"/>
        <w:keepNext w:val="true"/>
        <w:keepLines/>
        <w:numPr>
          <w:ilvl w:val="0"/>
          <w:numId w:val="0"/>
        </w:numPr>
        <w:spacing w:lineRule="auto" w:line="480"/>
        <w:ind w:firstLine="720" w:start="0" w:end="0"/>
        <w:rPr/>
      </w:pPr>
      <w:r>
        <w:rPr/>
        <w:t>For all of the foregoing reasons, EPUC urges the Commission to adopt the revenue allocation methodology and large power rate design as proposed herein and calculated in Exhibit DWS-1, Schedules 2 and 3.</w:t>
      </w:r>
    </w:p>
    <w:sectPr>
      <w:headerReference w:type="default" r:id="rId5"/>
      <w:footerReference w:type="default" r:id="rId6"/>
      <w:footerReference w:type="first" r:id="rId7"/>
      <w:footnotePr>
        <w:numFmt w:val="decimal"/>
      </w:footnotePr>
      <w:type w:val="nextPage"/>
      <w:pgSz w:w="12240" w:h="15840"/>
      <w:pgMar w:left="1440" w:right="720" w:gutter="0" w:header="720" w:top="776" w:footer="1440" w:bottom="1496"/>
      <w:lnNumType w:countBy="1" w:restart="newPage" w:distance="283"/>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etter Gothic">
    <w:charset w:val="00" w:characterSet="windows-1252"/>
    <w:family w:val="modern"/>
    <w:pitch w:val="default"/>
  </w:font>
  <w:font w:name="Wingdings">
    <w:charset w:val="02"/>
    <w:family w:val="auto"/>
    <w:pitch w:val="variable"/>
  </w:font>
  <w:font w:name="Courier New">
    <w:charset w:val="00" w:characterSet="windows-1252"/>
    <w:family w:val="modern"/>
    <w:pitch w:val="default"/>
  </w:font>
  <w:font w:name="Courier New">
    <w:charset w:val="00" w:characterSet="windows-1252"/>
    <w:family w:val="modern"/>
    <w:pitch w:val="fixed"/>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Letter Gothic" w:hAnsi="Letter Gothic" w:cs="Letter Gothic"/>
      </w:rPr>
    </w:pPr>
    <w:r>
      <w:rPr>
        <w:rFonts w:cs="Letter Gothic" w:ascii="Letter Gothic" w:hAnsi="Letter Gothic"/>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Letter Gothic" w:hAnsi="Letter Gothic" w:cs="Letter Gothic"/>
      </w:rPr>
    </w:pPr>
    <w:r>
      <w:rPr>
        <w:rFonts w:cs="Letter Gothic" w:ascii="Letter Gothic" w:hAnsi="Letter Gothic"/>
      </w:rPr>
    </w:r>
  </w:p>
  <w:p>
    <w:pPr>
      <w:pStyle w:val="Normal"/>
      <w:tabs>
        <w:tab w:val="clear" w:pos="720"/>
        <w:tab w:val="right" w:pos="9360" w:leader="none"/>
      </w:tabs>
      <w:jc w:val="both"/>
      <w:rPr/>
    </w:pPr>
    <w:r>
      <w:rPr/>
      <w:t xml:space="preserve">DIRECT TESTIMONY OF DONALD W. SCHOENBECK </w:t>
      <w:tab/>
      <w:t xml:space="preserve">PAGE </w:t>
    </w:r>
    <w:r>
      <w:rPr/>
      <w:fldChar w:fldCharType="begin"/>
    </w:r>
    <w:r>
      <w:rPr/>
      <w:instrText xml:space="preserve"> PAGE </w:instrText>
    </w:r>
    <w:r>
      <w:rPr/>
      <w:fldChar w:fldCharType="separate"/>
    </w:r>
    <w:r>
      <w:rPr/>
      <w:t>8</w:t>
    </w:r>
    <w:r>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r>
      <mc:AlternateContent>
        <mc:Choice Requires="wps">
          <w:drawing>
            <wp:anchor behindDoc="0" distT="0" distB="0" distL="0" distR="0" simplePos="0" locked="0" layoutInCell="0" allowOverlap="1" relativeHeight="10">
              <wp:simplePos x="0" y="0"/>
              <wp:positionH relativeFrom="margin">
                <wp:align>center</wp:align>
              </wp:positionH>
              <wp:positionV relativeFrom="paragraph">
                <wp:posOffset>635</wp:posOffset>
              </wp:positionV>
              <wp:extent cx="85090" cy="177165"/>
              <wp:effectExtent l="0" t="0" r="0" b="0"/>
              <wp:wrapSquare wrapText="bothSides"/>
              <wp:docPr id="1" name="Frame1"/>
              <a:graphic xmlns:a="http://schemas.openxmlformats.org/drawingml/2006/main">
                <a:graphicData uri="http://schemas.microsoft.com/office/word/2010/wordprocessingShape">
                  <wps:wsp>
                    <wps:cNvSpPr txBox="1"/>
                    <wps:spPr>
                      <a:xfrm>
                        <a:off x="0" y="0"/>
                        <a:ext cx="85090" cy="17716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6.7pt;height:13.95pt;mso-wrap-distance-left:0pt;mso-wrap-distance-right:0pt;mso-wrap-distance-top:0pt;mso-wrap-distance-bottom:0pt;margin-top:0.05pt;mso-position-vertical-relative:text;margin-left:248.65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txbxContent>
              </v:textbox>
              <w10:wrap type="square"/>
            </v:rect>
          </w:pict>
        </mc:Fallback>
      </mc:AlternateContent>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rPr/>
      </w:pPr>
      <w:r>
        <w:rPr>
          <w:rStyle w:val="FootnoteCharacters"/>
        </w:rPr>
        <w:footnoteRef/>
      </w:r>
      <w:r>
        <w:rPr/>
        <w:t xml:space="preserve"> </w:t>
      </w:r>
      <w:r>
        <w:rPr/>
        <w:tab/>
      </w:r>
      <w:r>
        <w:rPr>
          <w:rFonts w:cs="Arial" w:ascii="Arial" w:hAnsi="Arial"/>
        </w:rPr>
        <w:t xml:space="preserve">EPUC is an </w:t>
      </w:r>
      <w:r>
        <w:rPr>
          <w:rFonts w:cs="Arial" w:ascii="Arial" w:hAnsi="Arial"/>
          <w:i/>
        </w:rPr>
        <w:t>ad hoc</w:t>
      </w:r>
      <w:r>
        <w:rPr>
          <w:rFonts w:cs="Arial" w:ascii="Arial" w:hAnsi="Arial"/>
        </w:rPr>
        <w:t xml:space="preserve"> coalition representing the end-use and on-site cogeneration use of Aera Energy LLC, The Atlantic Richfield Company, Chevron U.S.A. Inc., Equilon Enterprises LLC, Texaco Inc. and Tosco Corporation.</w:t>
      </w:r>
    </w:p>
  </w:footnote>
  <w:footnote w:id="3">
    <w:p>
      <w:pPr>
        <w:pStyle w:val="FootnoteText"/>
        <w:rPr/>
      </w:pPr>
      <w:r>
        <w:rPr>
          <w:rStyle w:val="FootnoteCharacters"/>
        </w:rPr>
        <w:footnoteRef/>
      </w:r>
      <w:r>
        <w:rPr>
          <w:rFonts w:cs="Arial" w:ascii="Arial" w:hAnsi="Arial"/>
        </w:rPr>
        <w:t xml:space="preserve"> </w:t>
      </w:r>
      <w:r>
        <w:rPr>
          <w:rFonts w:cs="Arial" w:ascii="Arial" w:hAnsi="Arial"/>
        </w:rPr>
        <w:tab/>
        <w:t xml:space="preserve">Section 80110 of the California Water Code Provides that </w:t>
      </w:r>
      <w:r>
        <w:rPr>
          <w:rFonts w:cs="Arial" w:ascii="Arial" w:hAnsi="Arial"/>
          <w:i/>
        </w:rPr>
        <w:t xml:space="preserve">“[I]n no case shall the commission increase the electricity charges in effect on the date that the act that adds this section becomes effective for residential customers for existing baseline quantities or usage by those customers of up to 130 percent of existing baseline quantities….”  </w:t>
      </w:r>
      <w:r>
        <w:rPr>
          <w:rFonts w:cs="Arial" w:ascii="Arial" w:hAnsi="Arial"/>
        </w:rPr>
        <w:t xml:space="preserve"> Nothing in the Proposal affects the electricity charges in effect for existing baseline usage or up to 130% of baseline usage.  The Proposal does, however, provide a material incentive to residential customers above those quantities to conserve energy.  If, as with the proposed large power design, residential customers received incentives targeted toward on-peak usage periods, the incentive would be further strengthened.</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right" w:pos="9360" w:leader="none"/>
      </w:tabs>
      <w:jc w:val="both"/>
      <w:rPr>
        <w:rFonts w:ascii="Letter Gothic" w:hAnsi="Letter Gothic" w:cs="Letter Gothic"/>
      </w:rPr>
    </w:pPr>
    <w:r>
      <w:rPr>
        <w:rFonts w:cs="Letter Gothic" w:ascii="Letter Gothic" w:hAnsi="Letter Gothic"/>
      </w:rPr>
      <w:tab/>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lowerLetter"/>
      <w:lvlText w:val="(%1)"/>
      <w:lvlJc w:val="start"/>
      <w:pPr>
        <w:tabs>
          <w:tab w:val="num" w:pos="2160"/>
        </w:tabs>
        <w:ind w:start="2160" w:hanging="72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pStyle w:val="Heading7"/>
      <w:numFmt w:val="decimal"/>
      <w:lvlText w:val="%7."/>
      <w:lvlJc w:val="start"/>
      <w:pPr>
        <w:tabs>
          <w:tab w:val="num" w:pos="2880"/>
        </w:tabs>
        <w:ind w:start="2880" w:hanging="360"/>
      </w:pPr>
    </w:lvl>
    <w:lvl w:ilvl="7">
      <w:start w:val="1"/>
      <w:pStyle w:val="Heading8"/>
      <w:numFmt w:val="decimal"/>
      <w:lvlText w:val="%8."/>
      <w:lvlJc w:val="start"/>
      <w:pPr>
        <w:tabs>
          <w:tab w:val="num" w:pos="3240"/>
        </w:tabs>
        <w:ind w:start="3240" w:hanging="360"/>
      </w:pPr>
    </w:lvl>
    <w:lvl w:ilvl="8">
      <w:start w:val="1"/>
      <w:pStyle w:val="Heading9"/>
      <w:numFmt w:val="decimal"/>
      <w:lvlText w:val="%9."/>
      <w:lvlJc w:val="start"/>
      <w:pPr>
        <w:tabs>
          <w:tab w:val="num" w:pos="3600"/>
        </w:tabs>
        <w:ind w:start="3600" w:hanging="360"/>
      </w:pPr>
    </w:lvl>
  </w:abstractNum>
  <w:abstractNum w:abstractNumId="2">
    <w:lvl w:ilvl="0">
      <w:start w:val="3"/>
      <w:numFmt w:val="upperRoman"/>
      <w:lvlText w:val="%1."/>
      <w:lvlJc w:val="start"/>
      <w:pPr>
        <w:tabs>
          <w:tab w:val="num" w:pos="720"/>
        </w:tabs>
        <w:ind w:start="720" w:hanging="720"/>
      </w:pPr>
      <w:rPr>
        <w:u w:val="none"/>
      </w:rPr>
    </w:lvl>
  </w:abstractNum>
  <w:abstractNum w:abstractNumId="3">
    <w:lvl w:ilvl="0">
      <w:start w:val="1"/>
      <w:numFmt w:val="upperRoman"/>
      <w:lvlText w:val="%1."/>
      <w:lvlJc w:val="start"/>
      <w:pPr>
        <w:tabs>
          <w:tab w:val="num" w:pos="720"/>
        </w:tabs>
        <w:ind w:start="0" w:hanging="0"/>
      </w:pPr>
      <w:rPr>
        <w:smallCaps w:val="false"/>
        <w:caps w:val="false"/>
        <w:outline w:val="false"/>
        <w:dstrike w:val="false"/>
        <w:strike w:val="false"/>
        <w:vertAlign w:val="baseline"/>
        <w:position w:val="0"/>
        <w:sz w:val="24"/>
        <w:sz w:val="24"/>
        <w:i w:val="false"/>
        <w:shadow w:val="false"/>
        <w:b/>
        <w:vanish w:val="false"/>
        <w:rFonts w:ascii="Arial" w:hAnsi="Arial" w:cs="Arial"/>
      </w:rPr>
    </w:lvl>
    <w:lvl w:ilvl="1">
      <w:start w:val="1"/>
      <w:numFmt w:val="upperLetter"/>
      <w:lvlText w:val="%2."/>
      <w:lvlJc w:val="start"/>
      <w:pPr>
        <w:tabs>
          <w:tab w:val="num" w:pos="1080"/>
        </w:tabs>
        <w:ind w:start="720" w:hanging="0"/>
      </w:pPr>
      <w:rPr/>
    </w:lvl>
    <w:lvl w:ilvl="2">
      <w:start w:val="1"/>
      <w:numFmt w:val="decimal"/>
      <w:lvlText w:val="%3."/>
      <w:lvlJc w:val="start"/>
      <w:pPr>
        <w:tabs>
          <w:tab w:val="num" w:pos="1800"/>
        </w:tabs>
        <w:ind w:start="1440" w:hanging="0"/>
      </w:pPr>
      <w:rPr/>
    </w:lvl>
    <w:lvl w:ilvl="3">
      <w:start w:val="1"/>
      <w:numFmt w:val="lowerLetter"/>
      <w:lvlText w:val="%4"/>
      <w:lvlJc w:val="start"/>
      <w:pPr>
        <w:tabs>
          <w:tab w:val="num" w:pos="2520"/>
        </w:tabs>
        <w:ind w:start="2160" w:hanging="0"/>
      </w:pPr>
      <w:rPr/>
    </w:lvl>
    <w:lvl w:ilvl="4">
      <w:start w:val="1"/>
      <w:numFmt w:val="decimal"/>
      <w:lvlText w:val="%5"/>
      <w:lvlJc w:val="start"/>
      <w:pPr>
        <w:tabs>
          <w:tab w:val="num" w:pos="3240"/>
        </w:tabs>
        <w:ind w:start="2880" w:hanging="0"/>
      </w:pPr>
      <w:rPr/>
    </w:lvl>
    <w:lvl w:ilvl="5">
      <w:start w:val="1"/>
      <w:numFmt w:val="lowerLetter"/>
      <w:lvlText w:val="%6"/>
      <w:lvlJc w:val="start"/>
      <w:pPr>
        <w:tabs>
          <w:tab w:val="num" w:pos="3960"/>
        </w:tabs>
        <w:ind w:start="3600" w:hanging="0"/>
      </w:pPr>
      <w:rPr/>
    </w:lvl>
    <w:lvl w:ilvl="6">
      <w:start w:val="1"/>
      <w:numFmt w:val="lowerRoman"/>
      <w:lvlText w:val="%7"/>
      <w:lvlJc w:val="start"/>
      <w:pPr>
        <w:tabs>
          <w:tab w:val="num" w:pos="5040"/>
        </w:tabs>
        <w:ind w:start="4320" w:hanging="0"/>
      </w:pPr>
      <w:rPr/>
    </w:lvl>
    <w:lvl w:ilvl="7">
      <w:start w:val="1"/>
      <w:numFmt w:val="lowerLetter"/>
      <w:lvlText w:val="%8"/>
      <w:lvlJc w:val="start"/>
      <w:pPr>
        <w:tabs>
          <w:tab w:val="num" w:pos="5400"/>
        </w:tabs>
        <w:ind w:start="5040" w:hanging="0"/>
      </w:pPr>
      <w:rPr/>
    </w:lvl>
    <w:lvl w:ilvl="8">
      <w:start w:val="1"/>
      <w:numFmt w:val="lowerRoman"/>
      <w:lvlText w:val="%9"/>
      <w:lvlJc w:val="start"/>
      <w:pPr>
        <w:tabs>
          <w:tab w:val="num" w:pos="6480"/>
        </w:tabs>
        <w:ind w:start="5760" w:hanging="0"/>
      </w:pPr>
      <w:rPr/>
    </w:lvl>
  </w:abstractNum>
  <w:abstractNum w:abstractNumId="4">
    <w:lvl w:ilvl="0">
      <w:start w:val="1"/>
      <w:numFmt w:val="decimal"/>
      <w:lvlText w:val="(%1)"/>
      <w:lvlJc w:val="start"/>
      <w:pPr>
        <w:tabs>
          <w:tab w:val="num" w:pos="2160"/>
        </w:tabs>
        <w:ind w:start="2160" w:hanging="720"/>
      </w:pPr>
      <w:rPr>
        <w:b/>
      </w:rPr>
    </w:lvl>
  </w:abstractNum>
  <w:abstractNum w:abstractNumId="5">
    <w:lvl w:ilvl="0">
      <w:start w:val="1"/>
      <w:numFmt w:val="bullet"/>
      <w:lvlText w:val=""/>
      <w:lvlJc w:val="start"/>
      <w:pPr>
        <w:tabs>
          <w:tab w:val="num" w:pos="1507"/>
        </w:tabs>
        <w:ind w:start="1507" w:hanging="360"/>
      </w:pPr>
      <w:rPr>
        <w:rFonts w:ascii="Wingdings" w:hAnsi="Wingdings" w:cs="Wingdings" w:hint="default"/>
      </w:rPr>
    </w:lvl>
    <w:lvl w:ilvl="1">
      <w:start w:val="1"/>
      <w:numFmt w:val="bullet"/>
      <w:lvlText w:val="o"/>
      <w:lvlJc w:val="start"/>
      <w:pPr>
        <w:tabs>
          <w:tab w:val="num" w:pos="2227"/>
        </w:tabs>
        <w:ind w:start="2227" w:hanging="360"/>
      </w:pPr>
      <w:rPr>
        <w:rFonts w:ascii="Courier New" w:hAnsi="Courier New" w:cs="Courier New" w:hint="default"/>
      </w:rPr>
    </w:lvl>
    <w:lvl w:ilvl="2">
      <w:start w:val="1"/>
      <w:numFmt w:val="bullet"/>
      <w:lvlText w:val=""/>
      <w:lvlJc w:val="start"/>
      <w:pPr>
        <w:tabs>
          <w:tab w:val="num" w:pos="2947"/>
        </w:tabs>
        <w:ind w:start="2947" w:hanging="360"/>
      </w:pPr>
      <w:rPr>
        <w:rFonts w:ascii="Wingdings" w:hAnsi="Wingdings" w:cs="Wingdings" w:hint="default"/>
      </w:rPr>
    </w:lvl>
    <w:lvl w:ilvl="3">
      <w:start w:val="1"/>
      <w:numFmt w:val="bullet"/>
      <w:lvlText w:val=""/>
      <w:lvlJc w:val="start"/>
      <w:pPr>
        <w:tabs>
          <w:tab w:val="num" w:pos="3667"/>
        </w:tabs>
        <w:ind w:start="3667" w:hanging="360"/>
      </w:pPr>
      <w:rPr>
        <w:rFonts w:ascii="Symbol" w:hAnsi="Symbol" w:cs="Symbol" w:hint="default"/>
      </w:rPr>
    </w:lvl>
    <w:lvl w:ilvl="4">
      <w:start w:val="1"/>
      <w:numFmt w:val="bullet"/>
      <w:lvlText w:val="o"/>
      <w:lvlJc w:val="start"/>
      <w:pPr>
        <w:tabs>
          <w:tab w:val="num" w:pos="4387"/>
        </w:tabs>
        <w:ind w:start="4387" w:hanging="360"/>
      </w:pPr>
      <w:rPr>
        <w:rFonts w:ascii="Courier New" w:hAnsi="Courier New" w:cs="Courier New" w:hint="default"/>
      </w:rPr>
    </w:lvl>
    <w:lvl w:ilvl="5">
      <w:start w:val="1"/>
      <w:numFmt w:val="bullet"/>
      <w:lvlText w:val=""/>
      <w:lvlJc w:val="start"/>
      <w:pPr>
        <w:tabs>
          <w:tab w:val="num" w:pos="5107"/>
        </w:tabs>
        <w:ind w:start="5107" w:hanging="360"/>
      </w:pPr>
      <w:rPr>
        <w:rFonts w:ascii="Wingdings" w:hAnsi="Wingdings" w:cs="Wingdings" w:hint="default"/>
      </w:rPr>
    </w:lvl>
    <w:lvl w:ilvl="6">
      <w:start w:val="1"/>
      <w:numFmt w:val="bullet"/>
      <w:lvlText w:val=""/>
      <w:lvlJc w:val="start"/>
      <w:pPr>
        <w:tabs>
          <w:tab w:val="num" w:pos="5827"/>
        </w:tabs>
        <w:ind w:start="5827" w:hanging="360"/>
      </w:pPr>
      <w:rPr>
        <w:rFonts w:ascii="Symbol" w:hAnsi="Symbol" w:cs="Symbol" w:hint="default"/>
      </w:rPr>
    </w:lvl>
    <w:lvl w:ilvl="7">
      <w:start w:val="1"/>
      <w:numFmt w:val="bullet"/>
      <w:lvlText w:val="o"/>
      <w:lvlJc w:val="start"/>
      <w:pPr>
        <w:tabs>
          <w:tab w:val="num" w:pos="6547"/>
        </w:tabs>
        <w:ind w:start="6547" w:hanging="360"/>
      </w:pPr>
      <w:rPr>
        <w:rFonts w:ascii="Courier New" w:hAnsi="Courier New" w:cs="Courier New" w:hint="default"/>
      </w:rPr>
    </w:lvl>
    <w:lvl w:ilvl="8">
      <w:start w:val="1"/>
      <w:numFmt w:val="bullet"/>
      <w:lvlText w:val=""/>
      <w:lvlJc w:val="start"/>
      <w:pPr>
        <w:tabs>
          <w:tab w:val="num" w:pos="7267"/>
        </w:tabs>
        <w:ind w:start="7267" w:hanging="360"/>
      </w:pPr>
      <w:rPr>
        <w:rFonts w:ascii="Wingdings" w:hAnsi="Wingdings" w:cs="Wingdings" w:hint="default"/>
      </w:rPr>
    </w:lvl>
  </w:abstractNum>
  <w:abstractNum w:abstractNumId="6">
    <w:lvl w:ilvl="0">
      <w:start w:val="1"/>
      <w:numFmt w:val="decimal"/>
      <w:lvlText w:val="(%1)"/>
      <w:lvlJc w:val="start"/>
      <w:pPr>
        <w:tabs>
          <w:tab w:val="num" w:pos="1440"/>
        </w:tabs>
        <w:ind w:start="1440" w:hanging="720"/>
      </w:pPr>
      <w:rPr/>
    </w:lvl>
    <w:lvl w:ilvl="1">
      <w:start w:val="1"/>
      <w:numFmt w:val="lowerLetter"/>
      <w:lvlText w:val="%2."/>
      <w:lvlJc w:val="start"/>
      <w:pPr>
        <w:tabs>
          <w:tab w:val="num" w:pos="1800"/>
        </w:tabs>
        <w:ind w:start="1800" w:hanging="360"/>
      </w:pPr>
    </w:lvl>
    <w:lvl w:ilvl="2">
      <w:start w:val="1"/>
      <w:numFmt w:val="lowerRoman"/>
      <w:lvlText w:val="%3."/>
      <w:lvlJc w:val="end"/>
      <w:pPr>
        <w:tabs>
          <w:tab w:val="num" w:pos="2520"/>
        </w:tabs>
        <w:ind w:start="2520" w:hanging="180"/>
      </w:pPr>
    </w:lvl>
    <w:lvl w:ilvl="3">
      <w:start w:val="1"/>
      <w:numFmt w:val="decimal"/>
      <w:lvlText w:val="%4."/>
      <w:lvlJc w:val="start"/>
      <w:pPr>
        <w:tabs>
          <w:tab w:val="num" w:pos="3240"/>
        </w:tabs>
        <w:ind w:start="3240" w:hanging="360"/>
      </w:pPr>
    </w:lvl>
    <w:lvl w:ilvl="4">
      <w:start w:val="1"/>
      <w:numFmt w:val="lowerLetter"/>
      <w:lvlText w:val="%5."/>
      <w:lvlJc w:val="start"/>
      <w:pPr>
        <w:tabs>
          <w:tab w:val="num" w:pos="3960"/>
        </w:tabs>
        <w:ind w:start="3960" w:hanging="360"/>
      </w:pPr>
    </w:lvl>
    <w:lvl w:ilvl="5">
      <w:start w:val="1"/>
      <w:numFmt w:val="lowerRoman"/>
      <w:lvlText w:val="%6."/>
      <w:lvlJc w:val="end"/>
      <w:pPr>
        <w:tabs>
          <w:tab w:val="num" w:pos="4680"/>
        </w:tabs>
        <w:ind w:start="4680" w:hanging="180"/>
      </w:pPr>
    </w:lvl>
    <w:lvl w:ilvl="6">
      <w:start w:val="1"/>
      <w:numFmt w:val="decimal"/>
      <w:lvlText w:val="%7."/>
      <w:lvlJc w:val="start"/>
      <w:pPr>
        <w:tabs>
          <w:tab w:val="num" w:pos="5400"/>
        </w:tabs>
        <w:ind w:start="5400" w:hanging="360"/>
      </w:pPr>
    </w:lvl>
    <w:lvl w:ilvl="7">
      <w:start w:val="1"/>
      <w:numFmt w:val="lowerLetter"/>
      <w:lvlText w:val="%8."/>
      <w:lvlJc w:val="start"/>
      <w:pPr>
        <w:tabs>
          <w:tab w:val="num" w:pos="6120"/>
        </w:tabs>
        <w:ind w:start="6120" w:hanging="360"/>
      </w:pPr>
    </w:lvl>
    <w:lvl w:ilvl="8">
      <w:start w:val="1"/>
      <w:numFmt w:val="lowerRoman"/>
      <w:lvlText w:val="%9."/>
      <w:lvlJc w:val="end"/>
      <w:pPr>
        <w:tabs>
          <w:tab w:val="num" w:pos="6840"/>
        </w:tabs>
        <w:ind w:start="6840" w:hanging="180"/>
      </w:pPr>
    </w:lvl>
  </w:abstractNum>
  <w:abstractNum w:abstractNumId="7">
    <w:lvl w:ilvl="0">
      <w:start w:val="1"/>
      <w:numFmt w:val="decimal"/>
      <w:lvlText w:val="%1."/>
      <w:lvlJc w:val="start"/>
      <w:pPr>
        <w:tabs>
          <w:tab w:val="num" w:pos="0"/>
        </w:tabs>
        <w:ind w:start="0" w:hanging="0"/>
      </w:pPr>
      <w:rPr>
        <w:sz w:val="25"/>
        <w:rFonts w:ascii="Letter Gothic" w:hAnsi="Letter Gothic" w:cs="Letter Gothic"/>
      </w:rPr>
    </w:lvl>
    <w:lvl w:ilvl="1">
      <w:start w:val="1"/>
      <w:numFmt w:val="decimal"/>
      <w:lvlText w:val="%2"/>
      <w:lvlJc w:val="start"/>
      <w:pPr>
        <w:tabs>
          <w:tab w:val="num" w:pos="0"/>
        </w:tabs>
        <w:ind w:start="0" w:hanging="0"/>
      </w:pPr>
    </w:lvl>
    <w:lvl w:ilvl="2">
      <w:start w:val="1"/>
      <w:numFmt w:val="decimal"/>
      <w:lvlText w:val="%3"/>
      <w:lvlJc w:val="start"/>
      <w:pPr>
        <w:tabs>
          <w:tab w:val="num" w:pos="0"/>
        </w:tabs>
        <w:ind w:start="0" w:hanging="0"/>
      </w:pPr>
    </w:lvl>
    <w:lvl w:ilvl="3">
      <w:start w:val="1"/>
      <w:numFmt w:val="decimal"/>
      <w:lvlText w:val="%4"/>
      <w:lvlJc w:val="start"/>
      <w:pPr>
        <w:tabs>
          <w:tab w:val="num" w:pos="0"/>
        </w:tabs>
        <w:ind w:start="0" w:hanging="0"/>
      </w:pPr>
    </w:lvl>
    <w:lvl w:ilvl="4">
      <w:start w:val="1"/>
      <w:numFmt w:val="decimal"/>
      <w:lvlText w:val="%5"/>
      <w:lvlJc w:val="start"/>
      <w:pPr>
        <w:tabs>
          <w:tab w:val="num" w:pos="0"/>
        </w:tabs>
        <w:ind w:start="0" w:hanging="0"/>
      </w:pPr>
    </w:lvl>
    <w:lvl w:ilvl="5">
      <w:start w:val="1"/>
      <w:numFmt w:val="decimal"/>
      <w:lvlText w:val="%6"/>
      <w:lvlJc w:val="start"/>
      <w:pPr>
        <w:tabs>
          <w:tab w:val="num" w:pos="0"/>
        </w:tabs>
        <w:ind w:start="0" w:hanging="0"/>
      </w:pPr>
    </w:lvl>
    <w:lvl w:ilvl="6">
      <w:start w:val="1"/>
      <w:numFmt w:val="decimal"/>
      <w:lvlText w:val="%7"/>
      <w:lvlJc w:val="start"/>
      <w:pPr>
        <w:tabs>
          <w:tab w:val="num" w:pos="0"/>
        </w:tabs>
        <w:ind w:start="0" w:hanging="0"/>
      </w:pPr>
    </w:lvl>
    <w:lvl w:ilvl="7">
      <w:start w:val="1"/>
      <w:numFmt w:val="decimal"/>
      <w:lvlText w:val="%8"/>
      <w:lvlJc w:val="start"/>
      <w:pPr>
        <w:tabs>
          <w:tab w:val="num" w:pos="0"/>
        </w:tabs>
        <w:ind w:start="0" w:hanging="0"/>
      </w:pPr>
    </w:lvl>
    <w:lvl w:ilvl="8">
      <w:start w:val="0"/>
      <w:numFmt w:val="decimal"/>
      <w:lvlText w:val=""/>
      <w:lvlJc w:val="start"/>
      <w:pPr>
        <w:tabs>
          <w:tab w:val="num" w:pos="0"/>
        </w:tabs>
        <w:ind w:start="0" w:hanging="0"/>
      </w:pPr>
    </w:lvl>
  </w:abstractNum>
  <w:abstractNum w:abstractNumId="8">
    <w:lvl w:ilvl="0">
      <w:start w:val="3"/>
      <w:numFmt w:val="upperRoman"/>
      <w:lvlText w:val="%1."/>
      <w:lvlJc w:val="start"/>
      <w:pPr>
        <w:tabs>
          <w:tab w:val="num" w:pos="720"/>
        </w:tabs>
        <w:ind w:start="0" w:hanging="0"/>
      </w:pPr>
      <w:rPr>
        <w:smallCaps w:val="false"/>
        <w:caps w:val="false"/>
        <w:outline w:val="false"/>
        <w:dstrike w:val="false"/>
        <w:strike w:val="false"/>
        <w:vertAlign w:val="baseline"/>
        <w:position w:val="0"/>
        <w:sz w:val="24"/>
        <w:sz w:val="24"/>
        <w:i w:val="false"/>
        <w:shadow w:val="false"/>
        <w:b/>
        <w:vanish w:val="false"/>
        <w:rFonts w:ascii="Arial" w:hAnsi="Arial" w:cs="Arial"/>
      </w:rPr>
    </w:lvl>
    <w:lvl w:ilvl="1">
      <w:start w:val="1"/>
      <w:numFmt w:val="upperLetter"/>
      <w:lvlText w:val="%2."/>
      <w:lvlJc w:val="start"/>
      <w:pPr>
        <w:tabs>
          <w:tab w:val="num" w:pos="1080"/>
        </w:tabs>
        <w:ind w:start="720" w:hanging="0"/>
      </w:pPr>
      <w:rPr/>
    </w:lvl>
    <w:lvl w:ilvl="2">
      <w:start w:val="1"/>
      <w:numFmt w:val="decimal"/>
      <w:lvlText w:val="%3."/>
      <w:lvlJc w:val="start"/>
      <w:pPr>
        <w:tabs>
          <w:tab w:val="num" w:pos="1800"/>
        </w:tabs>
        <w:ind w:start="1440" w:hanging="0"/>
      </w:pPr>
      <w:rPr/>
    </w:lvl>
    <w:lvl w:ilvl="3">
      <w:start w:val="1"/>
      <w:numFmt w:val="lowerLetter"/>
      <w:lvlText w:val="%4"/>
      <w:lvlJc w:val="start"/>
      <w:pPr>
        <w:tabs>
          <w:tab w:val="num" w:pos="2520"/>
        </w:tabs>
        <w:ind w:start="2160" w:hanging="0"/>
      </w:pPr>
      <w:rPr/>
    </w:lvl>
    <w:lvl w:ilvl="4">
      <w:start w:val="1"/>
      <w:numFmt w:val="decimal"/>
      <w:lvlText w:val="%5"/>
      <w:lvlJc w:val="start"/>
      <w:pPr>
        <w:tabs>
          <w:tab w:val="num" w:pos="3240"/>
        </w:tabs>
        <w:ind w:start="2880" w:hanging="0"/>
      </w:pPr>
      <w:rPr/>
    </w:lvl>
    <w:lvl w:ilvl="5">
      <w:start w:val="1"/>
      <w:numFmt w:val="lowerLetter"/>
      <w:lvlText w:val="%6"/>
      <w:lvlJc w:val="start"/>
      <w:pPr>
        <w:tabs>
          <w:tab w:val="num" w:pos="3960"/>
        </w:tabs>
        <w:ind w:start="3600" w:hanging="0"/>
      </w:pPr>
      <w:rPr/>
    </w:lvl>
    <w:lvl w:ilvl="6">
      <w:start w:val="1"/>
      <w:numFmt w:val="lowerRoman"/>
      <w:lvlText w:val="%7"/>
      <w:lvlJc w:val="start"/>
      <w:pPr>
        <w:tabs>
          <w:tab w:val="num" w:pos="5040"/>
        </w:tabs>
        <w:ind w:start="4320" w:hanging="0"/>
      </w:pPr>
      <w:rPr/>
    </w:lvl>
    <w:lvl w:ilvl="7">
      <w:start w:val="1"/>
      <w:numFmt w:val="lowerLetter"/>
      <w:lvlText w:val="%8"/>
      <w:lvlJc w:val="start"/>
      <w:pPr>
        <w:tabs>
          <w:tab w:val="num" w:pos="5400"/>
        </w:tabs>
        <w:ind w:start="5040" w:hanging="0"/>
      </w:pPr>
      <w:rPr/>
    </w:lvl>
    <w:lvl w:ilvl="8">
      <w:start w:val="1"/>
      <w:numFmt w:val="lowerRoman"/>
      <w:lvlText w:val="%9"/>
      <w:lvlJc w:val="start"/>
      <w:pPr>
        <w:tabs>
          <w:tab w:val="num" w:pos="6480"/>
        </w:tabs>
        <w:ind w:start="5760" w:hanging="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3"/>
    <w:lvlOverride w:ilvl="0">
      <w:startOverride w:val="1"/>
    </w:lvlOverride>
  </w:num>
</w:numbering>
</file>

<file path=word/settings.xml><?xml version="1.0" encoding="utf-8"?>
<w:settings xmlns:w="http://schemas.openxmlformats.org/wordprocessingml/2006/main">
  <w:zoom w:percent="75"/>
  <w:revisionView w:insDel="0" w:formatting="0"/>
  <w:defaultTabStop w:val="720"/>
  <w:autoHyphenation w:val="true"/>
  <w:hyphenationZone w:val="0"/>
  <w:footnotePr>
    <w:numFmt w:val="decimal"/>
    <w:footnote w:id="0"/>
    <w:footnote w:id="1"/>
  </w:footnotePr>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Arial" w:hAnsi="Arial" w:eastAsia="Times New Roman" w:cs="Arial"/>
      <w:color w:val="auto"/>
      <w:sz w:val="24"/>
      <w:szCs w:val="20"/>
      <w:lang w:val="en-US" w:bidi="ar-SA" w:eastAsia="zh-CN"/>
    </w:rPr>
  </w:style>
  <w:style w:type="paragraph" w:styleId="Heading1">
    <w:name w:val="heading 1"/>
    <w:basedOn w:val="Normal"/>
    <w:next w:val="Normal"/>
    <w:qFormat/>
    <w:pPr>
      <w:keepNext w:val="true"/>
      <w:widowControl/>
      <w:jc w:val="center"/>
      <w:outlineLvl w:val="0"/>
    </w:pPr>
    <w:rPr>
      <w:b/>
    </w:rPr>
  </w:style>
  <w:style w:type="paragraph" w:styleId="Heading2">
    <w:name w:val="heading 2"/>
    <w:basedOn w:val="Normal"/>
    <w:next w:val="Normal"/>
    <w:qFormat/>
    <w:pPr>
      <w:keepNext w:val="true"/>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480"/>
      <w:ind w:hanging="720" w:start="720" w:end="0"/>
      <w:outlineLvl w:val="1"/>
    </w:pPr>
    <w:rPr>
      <w:b/>
    </w:rPr>
  </w:style>
  <w:style w:type="paragraph" w:styleId="Heading3">
    <w:name w:val="heading 3"/>
    <w:basedOn w:val="Normal"/>
    <w:next w:val="Normal"/>
    <w:qFormat/>
    <w:pPr>
      <w:keepNext w:val="true"/>
      <w:widowControl/>
      <w:tabs>
        <w:tab w:val="clear" w:pos="720"/>
        <w:tab w:val="left" w:pos="-1440" w:leader="none"/>
        <w:tab w:val="left" w:pos="-720" w:leader="none"/>
        <w:tab w:val="left" w:pos="0" w:leader="none"/>
        <w:tab w:val="left" w:pos="1440" w:leader="none"/>
        <w:tab w:val="left" w:pos="2160" w:leader="none"/>
        <w:tab w:val="left" w:pos="2880" w:leader="none"/>
        <w:tab w:val="left" w:pos="4320" w:leader="none"/>
        <w:tab w:val="left" w:pos="5220" w:leader="none"/>
        <w:tab w:val="left" w:pos="5760" w:leader="none"/>
        <w:tab w:val="left" w:pos="7200" w:leader="none"/>
        <w:tab w:val="left" w:pos="7920" w:leader="none"/>
        <w:tab w:val="left" w:pos="8640" w:leader="none"/>
      </w:tabs>
      <w:spacing w:lineRule="auto" w:line="480"/>
      <w:outlineLvl w:val="2"/>
    </w:pPr>
    <w:rPr>
      <w:b/>
      <w:smallCaps/>
    </w:rPr>
  </w:style>
  <w:style w:type="paragraph" w:styleId="Heading4">
    <w:name w:val="heading 4"/>
    <w:basedOn w:val="Normal"/>
    <w:next w:val="Normal"/>
    <w:qFormat/>
    <w:pPr>
      <w:keepNext w:val="true"/>
      <w:jc w:val="center"/>
      <w:outlineLvl w:val="3"/>
    </w:pPr>
    <w:rPr>
      <w:b/>
      <w:u w:val="single"/>
    </w:rPr>
  </w:style>
  <w:style w:type="paragraph" w:styleId="Heading5">
    <w:name w:val="heading 5"/>
    <w:basedOn w:val="Normal"/>
    <w:next w:val="Normal"/>
    <w:qFormat/>
    <w:pPr>
      <w:keepNext w:val="true"/>
      <w:widowControl/>
      <w:outlineLvl w:val="4"/>
    </w:pPr>
    <w:rPr>
      <w:b/>
      <w:u w:val="single"/>
    </w:rPr>
  </w:style>
  <w:style w:type="paragraph" w:styleId="Heading6">
    <w:name w:val="heading 6"/>
    <w:basedOn w:val="Normal"/>
    <w:next w:val="Normal"/>
    <w:qFormat/>
    <w:pPr>
      <w:keepNext w:val="true"/>
      <w:widowControl/>
      <w:ind w:firstLine="720" w:start="0" w:end="0"/>
      <w:outlineLvl w:val="5"/>
    </w:pPr>
    <w:rPr>
      <w:b/>
      <w:u w:val="single"/>
    </w:rPr>
  </w:style>
  <w:style w:type="paragraph" w:styleId="Heading7">
    <w:name w:val="heading 7"/>
    <w:basedOn w:val="Normal"/>
    <w:next w:val="Normal"/>
    <w:qFormat/>
    <w:pPr>
      <w:widowControl/>
      <w:numPr>
        <w:ilvl w:val="6"/>
        <w:numId w:val="1"/>
      </w:numPr>
      <w:spacing w:before="240" w:after="60"/>
      <w:outlineLvl w:val="6"/>
    </w:pPr>
    <w:rPr>
      <w:rFonts w:ascii="Times New Roman" w:hAnsi="Times New Roman" w:cs="Times New Roman"/>
    </w:rPr>
  </w:style>
  <w:style w:type="paragraph" w:styleId="Heading8">
    <w:name w:val="heading 8"/>
    <w:basedOn w:val="Normal"/>
    <w:next w:val="Normal"/>
    <w:qFormat/>
    <w:pPr>
      <w:widowControl/>
      <w:numPr>
        <w:ilvl w:val="7"/>
        <w:numId w:val="1"/>
      </w:numPr>
      <w:spacing w:before="240" w:after="60"/>
      <w:outlineLvl w:val="7"/>
    </w:pPr>
    <w:rPr>
      <w:rFonts w:ascii="Times New Roman" w:hAnsi="Times New Roman" w:cs="Times New Roman"/>
      <w:i/>
    </w:rPr>
  </w:style>
  <w:style w:type="paragraph" w:styleId="Heading9">
    <w:name w:val="heading 9"/>
    <w:basedOn w:val="Normal"/>
    <w:next w:val="Normal"/>
    <w:qFormat/>
    <w:pPr>
      <w:widowControl/>
      <w:numPr>
        <w:ilvl w:val="8"/>
        <w:numId w:val="1"/>
      </w:numPr>
      <w:spacing w:before="240" w:after="60"/>
      <w:outlineLvl w:val="8"/>
    </w:pPr>
    <w:rPr>
      <w:sz w:val="22"/>
    </w:rPr>
  </w:style>
  <w:style w:type="character" w:styleId="WW8Num1z0">
    <w:name w:val="WW8Num1z0"/>
    <w:qFormat/>
    <w:rPr>
      <w:rFonts w:ascii="Letter Gothic" w:hAnsi="Letter Gothic" w:cs="Letter Gothic"/>
      <w:sz w:val="25"/>
    </w:rPr>
  </w:style>
  <w:style w:type="character" w:styleId="WW8Num3z0">
    <w:name w:val="WW8Num3z0"/>
    <w:qFormat/>
    <w:rPr/>
  </w:style>
  <w:style w:type="character" w:styleId="WW8Num4z0">
    <w:name w:val="WW8Num4z0"/>
    <w:qFormat/>
    <w:rPr/>
  </w:style>
  <w:style w:type="character" w:styleId="WW8Num5z0">
    <w:name w:val="WW8Num5z0"/>
    <w:qFormat/>
    <w:rPr/>
  </w:style>
  <w:style w:type="character" w:styleId="WW8Num6z0">
    <w:name w:val="WW8Num6z0"/>
    <w:qFormat/>
    <w:rPr>
      <w:b/>
    </w:rPr>
  </w:style>
  <w:style w:type="character" w:styleId="WW8Num7z0">
    <w:name w:val="WW8Num7z0"/>
    <w:qFormat/>
    <w:rPr>
      <w:u w:val="none"/>
    </w:rPr>
  </w:style>
  <w:style w:type="character" w:styleId="WW8Num8z0">
    <w:name w:val="WW8Num8z0"/>
    <w:qFormat/>
    <w:rPr/>
  </w:style>
  <w:style w:type="character" w:styleId="WW8Num9z0">
    <w:name w:val="WW8Num9z0"/>
    <w:qFormat/>
    <w:rPr/>
  </w:style>
  <w:style w:type="character" w:styleId="WW8Num10z0">
    <w:name w:val="WW8Num10z0"/>
    <w:qFormat/>
    <w:rPr/>
  </w:style>
  <w:style w:type="character" w:styleId="WW8Num11z0">
    <w:name w:val="WW8Num11z0"/>
    <w:qFormat/>
    <w:rPr/>
  </w:style>
  <w:style w:type="character" w:styleId="WW8Num12z0">
    <w:name w:val="WW8Num12z0"/>
    <w:qFormat/>
    <w:rPr>
      <w:u w:val="none"/>
    </w:rPr>
  </w:style>
  <w:style w:type="character" w:styleId="WW8Num13z0">
    <w:name w:val="WW8Num13z0"/>
    <w:qFormat/>
    <w:rPr>
      <w:rFonts w:ascii="Wingdings" w:hAnsi="Wingdings" w:cs="Wingdings"/>
    </w:rPr>
  </w:style>
  <w:style w:type="character" w:styleId="WW8Num13z1">
    <w:name w:val="WW8Num13z1"/>
    <w:qFormat/>
    <w:rPr>
      <w:rFonts w:ascii="Courier New" w:hAnsi="Courier New" w:cs="Courier New"/>
    </w:rPr>
  </w:style>
  <w:style w:type="character" w:styleId="WW8Num13z3">
    <w:name w:val="WW8Num13z3"/>
    <w:qFormat/>
    <w:rPr>
      <w:rFonts w:ascii="Symbol" w:hAnsi="Symbol" w:cs="Symbol"/>
    </w:rPr>
  </w:style>
  <w:style w:type="character" w:styleId="WW8Num14z0">
    <w:name w:val="WW8Num14z0"/>
    <w:qFormat/>
    <w:rPr>
      <w:rFonts w:ascii="Arial" w:hAnsi="Arial" w:cs="Arial"/>
      <w:b/>
      <w:i w:val="false"/>
      <w:caps w:val="false"/>
      <w:smallCaps w:val="false"/>
      <w:strike w:val="false"/>
      <w:dstrike w:val="false"/>
      <w:outline w:val="false"/>
      <w:shadow w:val="false"/>
      <w:vanish w:val="false"/>
      <w:position w:val="0"/>
      <w:sz w:val="24"/>
      <w:sz w:val="24"/>
      <w:vertAlign w:val="baseline"/>
    </w:rPr>
  </w:style>
  <w:style w:type="character" w:styleId="WW8Num14z1">
    <w:name w:val="WW8Num14z1"/>
    <w:qFormat/>
    <w:rPr/>
  </w:style>
  <w:style w:type="character" w:styleId="WW8Num15z0">
    <w:name w:val="WW8Num15z0"/>
    <w:qFormat/>
    <w:rPr>
      <w:b/>
    </w:rPr>
  </w:style>
  <w:style w:type="character" w:styleId="WW8Num16z0">
    <w:name w:val="WW8Num16z0"/>
    <w:qFormat/>
    <w:rPr>
      <w:rFonts w:ascii="Wingdings" w:hAnsi="Wingdings" w:cs="Wingdings"/>
    </w:rPr>
  </w:style>
  <w:style w:type="character" w:styleId="WW8Num16z1">
    <w:name w:val="WW8Num16z1"/>
    <w:qFormat/>
    <w:rPr>
      <w:rFonts w:ascii="Courier New" w:hAnsi="Courier New" w:cs="Courier New"/>
    </w:rPr>
  </w:style>
  <w:style w:type="character" w:styleId="WW8Num16z3">
    <w:name w:val="WW8Num16z3"/>
    <w:qFormat/>
    <w:rPr>
      <w:rFonts w:ascii="Symbol" w:hAnsi="Symbol" w:cs="Symbol"/>
    </w:rPr>
  </w:style>
  <w:style w:type="character" w:styleId="WW8Num17z0">
    <w:name w:val="WW8Num17z0"/>
    <w:qFormat/>
    <w:rPr>
      <w:b/>
    </w:rPr>
  </w:style>
  <w:style w:type="character" w:styleId="WW8Num18z0">
    <w:name w:val="WW8Num18z0"/>
    <w:qFormat/>
    <w:rPr/>
  </w:style>
  <w:style w:type="character" w:styleId="DefaultParagraphFont">
    <w:name w:val="Default Paragraph Font"/>
    <w:qFormat/>
    <w:rPr/>
  </w:style>
  <w:style w:type="character" w:styleId="FootnoteCharacters">
    <w:name w:val="Footnote Characters"/>
    <w:qFormat/>
    <w:rPr/>
  </w:style>
  <w:style w:type="character" w:styleId="LineNumber">
    <w:name w:val="line number"/>
    <w:basedOn w:val="DefaultParagraphFont"/>
    <w:rPr/>
  </w:style>
  <w:style w:type="character" w:styleId="PageNumber">
    <w:name w:val="page number"/>
    <w:basedOn w:val="DefaultParagraphFont"/>
    <w:rPr/>
  </w:style>
  <w:style w:type="character" w:styleId="Hyperlink">
    <w:name w:val="Hyperlink"/>
    <w:basedOn w:val="DefaultParagraphFont"/>
    <w:rPr>
      <w:color w:val="0000FF"/>
      <w:u w:val="single"/>
    </w:rPr>
  </w:style>
  <w:style w:type="character" w:styleId="EndnoteCharacters">
    <w:name w:val="Endnote Characters"/>
    <w:basedOn w:val="DefaultParagraphFont"/>
    <w:qFormat/>
    <w:rPr>
      <w:vertAlign w:val="superscript"/>
    </w:rPr>
  </w:style>
  <w:style w:type="character" w:styleId="FootnoteReference">
    <w:name w:val="footnote reference"/>
    <w:rPr>
      <w:vertAlign w:val="superscript"/>
    </w:rPr>
  </w:style>
  <w:style w:type="character" w:styleId="EndnoteReference">
    <w:name w:val="endnote reference"/>
    <w:rPr>
      <w:vertAlign w:val="superscript"/>
    </w:rPr>
  </w:style>
  <w:style w:type="paragraph" w:styleId="Heading">
    <w:name w:val="Heading"/>
    <w:basedOn w:val="Normal"/>
    <w:next w:val="BodyText"/>
    <w:qFormat/>
    <w:pPr>
      <w:widowControl/>
      <w:jc w:val="center"/>
    </w:pPr>
    <w:rPr>
      <w:b/>
    </w:rPr>
  </w:style>
  <w:style w:type="paragraph" w:styleId="BodyText">
    <w:name w:val="Body Text"/>
    <w:basedOn w:val="Normal"/>
    <w:pPr>
      <w:widowControl/>
    </w:pPr>
    <w:rPr>
      <w:b/>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Level1">
    <w:name w:val="Level 1"/>
    <w:basedOn w:val="Normal"/>
    <w:qFormat/>
    <w:pPr>
      <w:numPr>
        <w:ilvl w:val="0"/>
        <w:numId w:val="7"/>
      </w:numPr>
      <w:tabs>
        <w:tab w:val="clear" w:pos="720"/>
      </w:tabs>
      <w:ind w:hanging="720" w:start="1440" w:end="0"/>
      <w:outlineLvl w:val="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
    <w:name w:val="Body Text Indent"/>
    <w:basedOn w:val="Normal"/>
    <w:pPr>
      <w:widowControl/>
      <w:tabs>
        <w:tab w:val="clear" w:pos="720"/>
        <w:tab w:val="left" w:pos="-1440" w:leader="none"/>
        <w:tab w:val="left" w:pos="-720" w:leader="none"/>
        <w:tab w:val="left" w:pos="0" w:leader="none"/>
        <w:tab w:val="left" w:pos="1440" w:leader="none"/>
        <w:tab w:val="left" w:pos="2880" w:leader="none"/>
        <w:tab w:val="left" w:pos="4320" w:leader="none"/>
        <w:tab w:val="left" w:pos="5760" w:leader="none"/>
        <w:tab w:val="left" w:pos="7200" w:leader="none"/>
        <w:tab w:val="left" w:pos="8640" w:leader="none"/>
      </w:tabs>
      <w:spacing w:lineRule="auto" w:line="480"/>
      <w:ind w:firstLine="1440" w:start="0" w:end="0"/>
    </w:pPr>
    <w:rPr>
      <w:rFonts w:ascii="Times New Roman" w:hAnsi="Times New Roman" w:cs="Times New Roman"/>
      <w:sz w:val="25"/>
    </w:rPr>
  </w:style>
  <w:style w:type="paragraph" w:styleId="BodyTextIndent2">
    <w:name w:val="Body Text Indent 2"/>
    <w:basedOn w:val="Normal"/>
    <w:qFormat/>
    <w:pPr>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720" w:start="720" w:end="0"/>
    </w:pPr>
    <w:rPr>
      <w:b/>
    </w:rPr>
  </w:style>
  <w:style w:type="paragraph" w:styleId="BlockText">
    <w:name w:val="Block Text"/>
    <w:basedOn w:val="Normal"/>
    <w:qFormat/>
    <w:pPr>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ind w:firstLine="720" w:start="1440" w:end="1440"/>
    </w:pPr>
    <w:rPr/>
  </w:style>
  <w:style w:type="paragraph" w:styleId="BodyTextIndent3">
    <w:name w:val="Body Text Indent 3"/>
    <w:basedOn w:val="Normal"/>
    <w:qFormat/>
    <w:pPr>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480"/>
      <w:ind w:firstLine="720" w:start="720" w:end="0"/>
    </w:pPr>
    <w:rPr/>
  </w:style>
  <w:style w:type="paragraph" w:styleId="Subtitle">
    <w:name w:val="Subtitle"/>
    <w:basedOn w:val="Normal"/>
    <w:next w:val="BodyText"/>
    <w:qFormat/>
    <w:pPr>
      <w:widowControl/>
      <w:jc w:val="center"/>
    </w:pPr>
    <w:rPr>
      <w:b/>
    </w:rPr>
  </w:style>
  <w:style w:type="paragraph" w:styleId="FootnoteText">
    <w:name w:val="footnote text"/>
    <w:basedOn w:val="Normal"/>
    <w:pPr>
      <w:widowControl/>
    </w:pPr>
    <w:rPr>
      <w:rFonts w:ascii="Times New Roman" w:hAnsi="Times New Roman" w:cs="Times New Roman"/>
      <w:sz w:val="20"/>
    </w:rPr>
  </w:style>
  <w:style w:type="paragraph" w:styleId="Pleading">
    <w:name w:val="Pleading"/>
    <w:basedOn w:val="Normal"/>
    <w:qFormat/>
    <w:pPr>
      <w:widowControl/>
      <w:numPr>
        <w:ilvl w:val="0"/>
        <w:numId w:val="3"/>
      </w:numPr>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header" Target="header1.xml"/><Relationship Id="rId6" Type="http://schemas.openxmlformats.org/officeDocument/2006/relationships/footer" Target="footer4.xml"/><Relationship Id="rId7" Type="http://schemas.openxmlformats.org/officeDocument/2006/relationships/footer" Target="footer5.xml"/><Relationship Id="rId8" Type="http://schemas.openxmlformats.org/officeDocument/2006/relationships/footnotes" Target="footnotes.xml"/><Relationship Id="rId9" Type="http://schemas.openxmlformats.org/officeDocument/2006/relationships/numbering" Target="numbering.xml"/><Relationship Id="rId10" Type="http://schemas.openxmlformats.org/officeDocument/2006/relationships/fontTable" Target="fontTable.xml"/><Relationship Id="rId11" Type="http://schemas.openxmlformats.org/officeDocument/2006/relationships/settings" Target="settings.xml"/><Relationship Id="rId12"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2001-04-13T18:36:00Z</dcterms:created>
  <dc:creator>James A. Ross</dc:creator>
  <dc:description/>
  <dc:language>en-CA</dc:language>
  <cp:lastModifiedBy>PAV</cp:lastModifiedBy>
  <cp:lastPrinted>2001-04-13T13:59:00Z</cp:lastPrinted>
  <dcterms:modified xsi:type="dcterms:W3CDTF">2001-04-13T18:36:00Z</dcterms:modified>
  <cp:revision>2</cp:revision>
  <dc:subject/>
  <dc:title>Exhibit No</dc:title>
</cp:coreProperties>
</file>