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ind w:firstLine="720" w:start="5040" w:end="0"/>
        <w:rPr>
          <w:spacing w:val="-8"/>
          <w:sz w:val="24"/>
          <w:lang w:val="en-CA"/>
        </w:rPr>
      </w:pPr>
      <w:r>
        <w:rPr>
          <w:spacing w:val="-8"/>
          <w:sz w:val="24"/>
          <w:lang w:val="en-CA"/>
        </w:rPr>
        <w:drawing>
          <wp:anchor behindDoc="0" distT="0" distB="0" distL="114935" distR="114935" simplePos="0" locked="0" layoutInCell="0" allowOverlap="1" relativeHeight="13">
            <wp:simplePos x="0" y="0"/>
            <wp:positionH relativeFrom="column">
              <wp:posOffset>3337560</wp:posOffset>
            </wp:positionH>
            <wp:positionV relativeFrom="paragraph">
              <wp:posOffset>-365760</wp:posOffset>
            </wp:positionV>
            <wp:extent cx="2646680" cy="804545"/>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 t="-9" r="-3" b="-9"/>
                    <a:stretch>
                      <a:fillRect/>
                    </a:stretch>
                  </pic:blipFill>
                  <pic:spPr bwMode="auto">
                    <a:xfrm>
                      <a:off x="0" y="0"/>
                      <a:ext cx="2646680" cy="804545"/>
                    </a:xfrm>
                    <a:prstGeom prst="rect">
                      <a:avLst/>
                    </a:prstGeom>
                    <a:noFill/>
                  </pic:spPr>
                </pic:pic>
              </a:graphicData>
            </a:graphic>
          </wp:anchor>
        </w:drawing>
      </w:r>
    </w:p>
    <w:p>
      <w:pPr>
        <w:pStyle w:val="Normal"/>
        <w:spacing w:lineRule="auto" w:line="360"/>
        <w:jc w:val="center"/>
        <w:rPr>
          <w:b/>
          <w:sz w:val="32"/>
        </w:rPr>
      </w:pPr>
      <w:r>
        <w:rPr>
          <w:b/>
          <w:sz w:val="32"/>
        </w:rPr>
        <w:t>MARKET MONITORING: A WHITE PAPER</w:t>
      </w:r>
    </w:p>
    <w:p>
      <w:pPr>
        <w:pStyle w:val="Normal"/>
        <w:spacing w:lineRule="auto" w:line="360"/>
        <w:jc w:val="center"/>
        <w:rPr>
          <w:b/>
          <w:sz w:val="32"/>
        </w:rPr>
      </w:pPr>
      <w:r>
        <w:rPr>
          <w:b/>
          <w:sz w:val="32"/>
        </w:rPr>
      </w:r>
    </w:p>
    <w:p>
      <w:pPr>
        <w:pStyle w:val="Heading2"/>
        <w:numPr>
          <w:ilvl w:val="0"/>
          <w:numId w:val="5"/>
        </w:numPr>
        <w:spacing w:lineRule="auto" w:line="360"/>
        <w:rPr/>
      </w:pPr>
      <w:r>
        <w:rPr/>
        <w:t>INTRODUCTION AND SUMMARY</w:t>
      </w:r>
    </w:p>
    <w:p>
      <w:pPr>
        <w:pStyle w:val="BodyText2"/>
        <w:spacing w:lineRule="auto" w:line="360"/>
        <w:ind w:firstLine="720" w:end="0"/>
        <w:rPr/>
      </w:pPr>
      <w:r>
        <w:rPr>
          <w:color w:val="000000"/>
        </w:rPr>
        <w:t>FERC’s Final Rule on Regional Transmission Organizations (RTOs), Order No. 2000, declares that one of an RTO’s functions is to monitor markets for transmission services, ancillary services and bulk power to identify design flaws and market power.</w:t>
      </w:r>
      <w:r>
        <w:rPr>
          <w:rStyle w:val="FootnoteCharacters"/>
          <w:rStyle w:val="FootnoteReference"/>
          <w:color w:val="000000"/>
        </w:rPr>
        <w:footnoteReference w:id="2"/>
      </w:r>
      <w:r>
        <w:rPr>
          <w:color w:val="000000"/>
        </w:rPr>
        <w:t xml:space="preserve">  Today, however, the role of the market monitoring unit (MMU)</w:t>
      </w:r>
      <w:r>
        <w:rPr>
          <w:rStyle w:val="FootnoteCharacters"/>
          <w:rStyle w:val="FootnoteReference"/>
          <w:color w:val="000000"/>
        </w:rPr>
        <w:footnoteReference w:id="3"/>
      </w:r>
      <w:r>
        <w:rPr>
          <w:color w:val="000000"/>
        </w:rPr>
        <w:t xml:space="preserve"> in most ISOs is unclear and controversial, and in many cases that role extends well beyond the basic monitoring function.  While a MMU should further the Commission’s overarching goal for the formation of RTOs – the facilitation of robust, competitive wholesale electricity markets on a regional basis – some existing ISOs are choosing to define their MMU’s role as providing input and support to the ISO in the latter’s often arbitrary effort to reduce wholesale price movements.</w:t>
      </w:r>
    </w:p>
    <w:p>
      <w:pPr>
        <w:pStyle w:val="Normal"/>
        <w:spacing w:lineRule="auto" w:line="360" w:before="0" w:after="120"/>
        <w:ind w:firstLine="720" w:end="0"/>
        <w:rPr>
          <w:color w:val="000000"/>
          <w:sz w:val="24"/>
        </w:rPr>
      </w:pPr>
      <w:r>
        <w:rPr>
          <w:sz w:val="24"/>
        </w:rPr>
        <w:t>The Electric Power Supply Association (EPSA)</w:t>
      </w:r>
      <w:r>
        <w:rPr>
          <w:rStyle w:val="FootnoteCharacters"/>
          <w:rStyle w:val="FootnoteReference"/>
          <w:sz w:val="24"/>
        </w:rPr>
        <w:footnoteReference w:id="4"/>
      </w:r>
      <w:r>
        <w:rPr>
          <w:sz w:val="24"/>
        </w:rPr>
        <w:t xml:space="preserve"> provides this White Paper to assist the Commission in defining an appropriate role for MMUs.  To that end, several points are made herein concerning what the MMU’s role should and should not be:</w:t>
      </w:r>
    </w:p>
    <w:p>
      <w:pPr>
        <w:pStyle w:val="Normal"/>
        <w:numPr>
          <w:ilvl w:val="0"/>
          <w:numId w:val="4"/>
        </w:numPr>
        <w:spacing w:lineRule="auto" w:line="360" w:before="0" w:after="120"/>
        <w:rPr>
          <w:sz w:val="24"/>
        </w:rPr>
      </w:pPr>
      <w:r>
        <w:rPr>
          <w:color w:val="000000"/>
          <w:sz w:val="24"/>
        </w:rPr>
        <w:t xml:space="preserve">Market monitoring should not be used as a substitute for structuring the RTO rules properly to begin with.  Properly structured, well-functioning bulk power markets will produce consumer benefits.  </w:t>
      </w:r>
      <w:r>
        <w:rPr>
          <w:sz w:val="24"/>
        </w:rPr>
        <w:t xml:space="preserve">RTO rules must </w:t>
      </w:r>
      <w:r>
        <w:rPr>
          <w:color w:val="000000"/>
          <w:sz w:val="24"/>
        </w:rPr>
        <w:t>be structured to ensure fair</w:t>
      </w:r>
      <w:r>
        <w:rPr>
          <w:sz w:val="24"/>
        </w:rPr>
        <w:t xml:space="preserve"> and open access to transmission, reliability, and effective competition.</w:t>
      </w:r>
      <w:r>
        <w:rPr>
          <w:color w:val="000000"/>
          <w:sz w:val="24"/>
        </w:rPr>
        <w:t xml:space="preserve">  </w:t>
      </w:r>
    </w:p>
    <w:p>
      <w:pPr>
        <w:pStyle w:val="Normal"/>
        <w:numPr>
          <w:ilvl w:val="0"/>
          <w:numId w:val="4"/>
        </w:numPr>
        <w:spacing w:lineRule="auto" w:line="360" w:before="0" w:after="120"/>
        <w:rPr>
          <w:sz w:val="24"/>
        </w:rPr>
      </w:pPr>
      <w:r>
        <w:rPr>
          <w:color w:val="000000"/>
          <w:sz w:val="24"/>
        </w:rPr>
        <w:t xml:space="preserve">The primary role of the MMU should be to serve as an early warning system.  If, for example, market rules are no longer promoting competition or  supply and demand are getting out of balance, the MMU, through periodic market reviews and reports, should bring these concerns to light.  </w:t>
      </w:r>
    </w:p>
    <w:p>
      <w:pPr>
        <w:pStyle w:val="Normal"/>
        <w:numPr>
          <w:ilvl w:val="0"/>
          <w:numId w:val="4"/>
        </w:numPr>
        <w:spacing w:lineRule="auto" w:line="360" w:before="0" w:after="120"/>
        <w:rPr/>
      </w:pPr>
      <w:r>
        <w:rPr>
          <w:color w:val="000000"/>
          <w:sz w:val="24"/>
        </w:rPr>
        <w:t>The MMU should (a) detect abuse of the rules; (b) when necessary, compile evidence of those abuses for FERC or other regulatory agencies; and (c) where appropriate, work with market participants to recommend changes to market rules to allow the market to work more smoothly.</w:t>
      </w:r>
    </w:p>
    <w:p>
      <w:pPr>
        <w:pStyle w:val="Normal"/>
        <w:numPr>
          <w:ilvl w:val="0"/>
          <w:numId w:val="4"/>
        </w:numPr>
        <w:spacing w:lineRule="auto" w:line="360" w:before="0" w:after="120"/>
        <w:rPr>
          <w:sz w:val="24"/>
        </w:rPr>
      </w:pPr>
      <w:r>
        <w:rPr>
          <w:sz w:val="24"/>
        </w:rPr>
        <w:t xml:space="preserve">While there are unique features of every market, the standards for market monitoring should be fundamentally the same in every RTO market.  </w:t>
      </w:r>
    </w:p>
    <w:p>
      <w:pPr>
        <w:pStyle w:val="Normal"/>
        <w:numPr>
          <w:ilvl w:val="0"/>
          <w:numId w:val="4"/>
        </w:numPr>
        <w:spacing w:lineRule="auto" w:line="360" w:before="0" w:after="120"/>
        <w:rPr>
          <w:sz w:val="24"/>
        </w:rPr>
      </w:pPr>
      <w:r>
        <w:rPr>
          <w:sz w:val="24"/>
        </w:rPr>
        <w:t>The process of market monitoring is as important as the technical approach.  The MMU must be independent of the RTO, assure transparency and confidentiality, allow for due process, and be limited to monitoring without enforcement authority.</w:t>
      </w:r>
    </w:p>
    <w:p>
      <w:pPr>
        <w:pStyle w:val="Normal"/>
        <w:numPr>
          <w:ilvl w:val="0"/>
          <w:numId w:val="4"/>
        </w:numPr>
        <w:spacing w:lineRule="auto" w:line="360" w:before="0" w:after="120"/>
        <w:rPr>
          <w:sz w:val="24"/>
        </w:rPr>
      </w:pPr>
      <w:r>
        <w:rPr>
          <w:sz w:val="24"/>
        </w:rPr>
        <w:t xml:space="preserve">Market power assessment is only one function of the MMU.  Abnormally high prices and market fluctuations in recent months have brought allegations of anti-competitive behavior.  EPSA has consistently argued that such behavior must be identified and remedied, since anti-competitive behavior hurts competitors as well as consumers. </w:t>
      </w:r>
    </w:p>
    <w:p>
      <w:pPr>
        <w:pStyle w:val="Normal"/>
        <w:numPr>
          <w:ilvl w:val="0"/>
          <w:numId w:val="4"/>
        </w:numPr>
        <w:spacing w:lineRule="auto" w:line="360" w:before="0" w:after="120"/>
        <w:rPr>
          <w:sz w:val="24"/>
        </w:rPr>
      </w:pPr>
      <w:r>
        <w:rPr>
          <w:sz w:val="24"/>
        </w:rPr>
        <w:t xml:space="preserve">High prices, in and of themselves are not proof of anti-competitive behavior or market power abuse.  They may be due to market fundamentals such as supply scarcity, high demand growth in a short period, or rising variable costs.  </w:t>
      </w:r>
    </w:p>
    <w:p>
      <w:pPr>
        <w:pStyle w:val="Normal"/>
        <w:numPr>
          <w:ilvl w:val="0"/>
          <w:numId w:val="4"/>
        </w:numPr>
        <w:spacing w:lineRule="auto" w:line="360" w:before="0" w:after="120"/>
        <w:rPr>
          <w:sz w:val="24"/>
        </w:rPr>
      </w:pPr>
      <w:r>
        <w:rPr>
          <w:sz w:val="24"/>
        </w:rPr>
        <w:t>If the MMU has concerns about the abuse of market power, it should conduct a two level assessment.  In the first level, the MMU would identify which prices exceed a competitive screen.  In the second level, the MMU would investigate possible anti-competitive actions in only the time periods with prices which exceed the screen.</w:t>
      </w:r>
    </w:p>
    <w:p>
      <w:pPr>
        <w:pStyle w:val="Normal"/>
        <w:numPr>
          <w:ilvl w:val="0"/>
          <w:numId w:val="4"/>
        </w:numPr>
        <w:spacing w:lineRule="auto" w:line="360" w:before="0" w:after="120"/>
        <w:rPr>
          <w:sz w:val="24"/>
        </w:rPr>
      </w:pPr>
      <w:r>
        <w:rPr>
          <w:color w:val="000000"/>
          <w:sz w:val="24"/>
        </w:rPr>
        <w:t>In the first-level assessment, before concluding that a high price is due to the exercise of market power, it is imperative that factors such as capacity value, opportunity costs, scarcity value and risk be taken into consideration.</w:t>
      </w:r>
    </w:p>
    <w:p>
      <w:pPr>
        <w:pStyle w:val="Normal"/>
        <w:numPr>
          <w:ilvl w:val="0"/>
          <w:numId w:val="4"/>
        </w:numPr>
        <w:spacing w:lineRule="auto" w:line="360" w:before="0" w:after="120"/>
        <w:rPr>
          <w:sz w:val="24"/>
        </w:rPr>
      </w:pPr>
      <w:r>
        <w:rPr>
          <w:color w:val="000000"/>
          <w:sz w:val="24"/>
        </w:rPr>
        <w:t>In the second-level screen, the MMU must identify specific anti-competitive action and show that they caused higher prices.  It must also show the action was profitable.  Also in the second-level screen, the MMU must define safe harbor documentation for outages, failing to bid, and variations in bid behavior.</w:t>
      </w:r>
    </w:p>
    <w:p>
      <w:pPr>
        <w:pStyle w:val="Normal"/>
        <w:numPr>
          <w:ilvl w:val="0"/>
          <w:numId w:val="4"/>
        </w:numPr>
        <w:spacing w:lineRule="auto" w:line="360" w:before="0" w:after="120"/>
        <w:rPr/>
      </w:pPr>
      <w:r>
        <w:rPr>
          <w:color w:val="000000"/>
          <w:sz w:val="24"/>
        </w:rPr>
        <w:t>Enforcement should be left to the Commission or the Department of Justice (DOJ).</w:t>
      </w:r>
    </w:p>
    <w:p>
      <w:pPr>
        <w:pStyle w:val="BodyText2"/>
        <w:spacing w:lineRule="auto" w:line="360" w:before="0" w:after="120"/>
        <w:ind w:firstLine="720" w:end="0"/>
        <w:rPr/>
      </w:pPr>
      <w:r>
        <w:rPr/>
        <w:t xml:space="preserve">The Commission should learn from the disruptive experiences with market intervention that have occurred in some of the northeast ISO markets and use the RTO development process, as well as the pending California and New York proceedings, to clarify its policies with respect to: (a) the principal functions of and appropriate processes of the MMU; (b) the appropriate measurement of market power; (c) the effective mitigation of market power; and (d) enforcement of relevant laws.  </w:t>
      </w:r>
      <w:r>
        <w:rPr>
          <w:color w:val="000000"/>
        </w:rPr>
        <w:t xml:space="preserve">It is imperative that the MMU role be carefully prescribed and clarified so that market design corrections, in the guise of market monitoring, not do more harm than good.  </w:t>
      </w:r>
    </w:p>
    <w:p>
      <w:pPr>
        <w:pStyle w:val="Heading2"/>
        <w:numPr>
          <w:ilvl w:val="0"/>
          <w:numId w:val="5"/>
        </w:numPr>
        <w:spacing w:lineRule="auto" w:line="360" w:before="0" w:after="120"/>
        <w:rPr>
          <w:color w:val="000000"/>
        </w:rPr>
      </w:pPr>
      <w:r>
        <w:rPr>
          <w:color w:val="000000"/>
        </w:rPr>
        <w:t>MARKET MONITORING UNIT DESIGN</w:t>
      </w:r>
    </w:p>
    <w:p>
      <w:pPr>
        <w:pStyle w:val="Heading2"/>
        <w:numPr>
          <w:ilvl w:val="0"/>
          <w:numId w:val="7"/>
        </w:numPr>
        <w:spacing w:lineRule="auto" w:line="360" w:before="0" w:after="120"/>
        <w:rPr/>
      </w:pPr>
      <w:r>
        <w:rPr>
          <w:rFonts w:eastAsia="Arial"/>
        </w:rPr>
        <w:t xml:space="preserve"> </w:t>
      </w:r>
      <w:r>
        <w:rPr/>
        <w:t>PRINCIPAL FUNCTION</w:t>
      </w:r>
    </w:p>
    <w:p>
      <w:pPr>
        <w:pStyle w:val="BodyText2"/>
        <w:spacing w:lineRule="auto" w:line="360" w:before="0" w:after="120"/>
        <w:ind w:firstLine="720" w:end="0"/>
        <w:rPr>
          <w:color w:val="000000"/>
        </w:rPr>
      </w:pPr>
      <w:r>
        <w:rPr>
          <w:color w:val="000000"/>
        </w:rPr>
        <w:t xml:space="preserve">The principal function of an MMU must be to ensure that markets work efficiently, and its primary role should be to serve as an early warning system.  The MMU should (a) monitor market conditions such as supply-demand balance, (b) identify structural problems in the market, (c) assist in developing long-term solutions to those structural or design problems (on a consensual basis if possible), and (d) identify specific instances in which a market rule has been violated or undue market power has been exercised. </w:t>
      </w:r>
    </w:p>
    <w:p>
      <w:pPr>
        <w:pStyle w:val="Normal"/>
        <w:spacing w:lineRule="auto" w:line="360" w:before="0" w:after="120"/>
        <w:ind w:firstLine="720" w:end="0"/>
        <w:rPr/>
      </w:pPr>
      <w:r>
        <w:rPr>
          <w:sz w:val="24"/>
        </w:rPr>
        <w:t xml:space="preserve">An MMU assessment of market efficiency must take into account the effect of specific market rules, such as mandatory use of spot markets by regulated load-serving entities and prohibitions on use of risk management tools such as forward contracts.  The MMU should also examine the ability of end-use customers (or their agents) to respond quickly to changes in commodity prices.  </w:t>
      </w:r>
      <w:r>
        <w:rPr>
          <w:b/>
          <w:sz w:val="24"/>
        </w:rPr>
        <w:t>By identifying anomalous market rules and recommending changes early on, a market monitor may be able to prevent troublesome outcomes by making the market work more efficiently.</w:t>
      </w:r>
      <w:r>
        <w:rPr>
          <w:sz w:val="24"/>
        </w:rPr>
        <w:t xml:space="preserve">  If this can be achieved, the need for further market monitoring would be reduced significantly.</w:t>
      </w:r>
    </w:p>
    <w:p>
      <w:pPr>
        <w:pStyle w:val="BodyText2"/>
        <w:spacing w:lineRule="auto" w:line="360" w:before="0" w:after="120"/>
        <w:ind w:firstLine="720" w:end="0"/>
        <w:rPr>
          <w:color w:val="000000"/>
        </w:rPr>
      </w:pPr>
      <w:r>
        <w:rPr>
          <w:color w:val="000000"/>
        </w:rPr>
        <w:t>When focused on commodity energy markets, the MMU should not intrude into or try to “make” the market, but should:</w:t>
      </w:r>
    </w:p>
    <w:p>
      <w:pPr>
        <w:pStyle w:val="BodyTextIndent3"/>
        <w:ind w:hanging="540" w:start="900" w:end="0"/>
        <w:jc w:val="start"/>
        <w:rPr/>
      </w:pPr>
      <w:r>
        <w:rPr/>
        <w:t>1.</w:t>
        <w:tab/>
        <w:t xml:space="preserve">Evaluate the operation of the market to detect either design flaws in the operating rules, standards, procedures, or practices as set forth in the tariff, manuals and other prevailing documents or to detect structural problems in the market that may need to be addressed in future collaborative efforts; </w:t>
      </w:r>
    </w:p>
    <w:p>
      <w:pPr>
        <w:pStyle w:val="Normal"/>
        <w:tabs>
          <w:tab w:val="clear" w:pos="720"/>
          <w:tab w:val="left" w:pos="2540" w:leader="none"/>
        </w:tabs>
        <w:autoSpaceDE w:val="false"/>
        <w:ind w:hanging="540" w:start="900" w:end="0"/>
        <w:jc w:val="both"/>
        <w:rPr>
          <w:color w:val="000000"/>
          <w:sz w:val="24"/>
        </w:rPr>
      </w:pPr>
      <w:r>
        <w:rPr>
          <w:color w:val="000000"/>
          <w:sz w:val="24"/>
        </w:rPr>
      </w:r>
    </w:p>
    <w:p>
      <w:pPr>
        <w:pStyle w:val="BodyTextIndent3"/>
        <w:ind w:hanging="540" w:start="900" w:end="0"/>
        <w:jc w:val="start"/>
        <w:rPr/>
      </w:pPr>
      <w:r>
        <w:rPr/>
        <w:t>2.</w:t>
        <w:tab/>
        <w:t xml:space="preserve">Monitor and report on issues relating to the operation of the market, including the determination of transmission congestion costs or the potential of any market participant(s) to exercise market power within the specific control area; </w:t>
      </w:r>
    </w:p>
    <w:p>
      <w:pPr>
        <w:pStyle w:val="Normal"/>
        <w:tabs>
          <w:tab w:val="clear" w:pos="720"/>
          <w:tab w:val="left" w:pos="1407" w:leader="none"/>
        </w:tabs>
        <w:autoSpaceDE w:val="false"/>
        <w:ind w:hanging="540" w:start="900" w:end="0"/>
        <w:rPr>
          <w:color w:val="000000"/>
          <w:sz w:val="24"/>
        </w:rPr>
      </w:pPr>
      <w:r>
        <w:rPr>
          <w:color w:val="000000"/>
          <w:sz w:val="24"/>
        </w:rPr>
      </w:r>
    </w:p>
    <w:p>
      <w:pPr>
        <w:pStyle w:val="Normal"/>
        <w:numPr>
          <w:ilvl w:val="0"/>
          <w:numId w:val="3"/>
        </w:numPr>
        <w:tabs>
          <w:tab w:val="clear" w:pos="720"/>
        </w:tabs>
        <w:ind w:hanging="540" w:start="900" w:end="0"/>
        <w:rPr>
          <w:color w:val="000000"/>
          <w:sz w:val="24"/>
        </w:rPr>
      </w:pPr>
      <w:r>
        <w:rPr>
          <w:rFonts w:eastAsia="Arial"/>
          <w:color w:val="000000"/>
          <w:sz w:val="24"/>
        </w:rPr>
        <w:t xml:space="preserve">  </w:t>
      </w:r>
      <w:r>
        <w:rPr>
          <w:color w:val="000000"/>
          <w:sz w:val="24"/>
        </w:rPr>
        <w:t xml:space="preserve">Evaluate any proposed additional monitoring and reporting mechanisms that are necessary to assure compliance with market rules; and </w:t>
      </w:r>
    </w:p>
    <w:p>
      <w:pPr>
        <w:pStyle w:val="Normal"/>
        <w:ind w:hanging="540" w:start="900" w:end="0"/>
        <w:rPr>
          <w:color w:val="000000"/>
          <w:sz w:val="24"/>
        </w:rPr>
      </w:pPr>
      <w:r>
        <w:rPr>
          <w:color w:val="000000"/>
          <w:sz w:val="24"/>
        </w:rPr>
      </w:r>
    </w:p>
    <w:p>
      <w:pPr>
        <w:pStyle w:val="Normal"/>
        <w:numPr>
          <w:ilvl w:val="0"/>
          <w:numId w:val="3"/>
        </w:numPr>
        <w:tabs>
          <w:tab w:val="clear" w:pos="720"/>
        </w:tabs>
        <w:spacing w:before="0" w:after="120"/>
        <w:ind w:hanging="540" w:start="900" w:end="0"/>
        <w:rPr>
          <w:color w:val="000000"/>
          <w:sz w:val="24"/>
        </w:rPr>
      </w:pPr>
      <w:r>
        <w:rPr>
          <w:rFonts w:eastAsia="Arial"/>
          <w:color w:val="000000"/>
          <w:sz w:val="24"/>
        </w:rPr>
        <w:t xml:space="preserve">  </w:t>
      </w:r>
      <w:r>
        <w:rPr>
          <w:color w:val="000000"/>
          <w:sz w:val="24"/>
        </w:rPr>
        <w:t xml:space="preserve">Facilitate a monitoring program in an independent and objective manner. </w:t>
      </w:r>
    </w:p>
    <w:p>
      <w:pPr>
        <w:pStyle w:val="Normal"/>
        <w:spacing w:before="0" w:after="120"/>
        <w:rPr>
          <w:color w:val="000000"/>
          <w:sz w:val="24"/>
        </w:rPr>
      </w:pPr>
      <w:r>
        <w:rPr>
          <w:color w:val="000000"/>
          <w:sz w:val="24"/>
        </w:rPr>
      </w:r>
    </w:p>
    <w:p>
      <w:pPr>
        <w:pStyle w:val="Normal"/>
        <w:spacing w:lineRule="auto" w:line="360" w:before="0" w:after="120"/>
        <w:ind w:firstLine="720" w:end="0"/>
        <w:rPr/>
      </w:pPr>
      <w:r>
        <w:rPr>
          <w:color w:val="000000"/>
          <w:sz w:val="24"/>
        </w:rPr>
        <w:t>In a well-structured market, the scope of the MMU’s market monitoring and reporting function in commodity energy markets should diminish.  Much of the concern to date has focused on high prices in real-time markets.  Freed of regulatory and political constraints, most buying and selling is likely to occur through voluntary, negotiated bilateral contracts.  A single-price auction used to set the market-clearing price only for a small residual market sends the accurate price signals needed to encourage investment in new generation and demand-side management, as well as facilitating the use of appropriate hedging mechanisms.</w:t>
      </w:r>
      <w:r>
        <w:rPr>
          <w:sz w:val="24"/>
        </w:rPr>
        <w:t xml:space="preserve"> </w:t>
      </w:r>
    </w:p>
    <w:p>
      <w:pPr>
        <w:pStyle w:val="BodyText"/>
        <w:spacing w:lineRule="auto" w:line="360"/>
        <w:ind w:firstLine="720" w:end="0"/>
        <w:rPr>
          <w:b w:val="false"/>
          <w:color w:val="000000"/>
        </w:rPr>
      </w:pPr>
      <w:r>
        <w:rPr>
          <w:b w:val="false"/>
          <w:color w:val="000000"/>
        </w:rPr>
        <w:t>Beyond commodity markets, the MMU also should be monitoring for and reporting abuse</w:t>
      </w:r>
      <w:r>
        <w:rPr>
          <w:b w:val="false"/>
        </w:rPr>
        <w:t xml:space="preserve"> of market power in the transmission system.  The MMU should be monitoring all aspects of the market to ensure that transmission providers are not able to use their ownership to unfairly disadvantage other market participants.  The MMU should look for situations in which the transmission provider: (a) creates barriers to entry for new competitive generation through onerous and extended interconnection procedures, (b) unreasonably withholds CBM, or (c) disrupts markets with inaccurate ATC calculations.</w:t>
      </w:r>
    </w:p>
    <w:p>
      <w:pPr>
        <w:pStyle w:val="BodyText"/>
        <w:spacing w:lineRule="auto" w:line="360"/>
        <w:ind w:firstLine="720" w:end="0"/>
        <w:rPr>
          <w:b w:val="false"/>
          <w:color w:val="000000"/>
        </w:rPr>
      </w:pPr>
      <w:r>
        <w:rPr>
          <w:b w:val="false"/>
          <w:color w:val="000000"/>
        </w:rPr>
        <w:t>Market review by the MMU also should include review and assessment of the behavior of the market’s buyers.  Often easily overlooked, the load’s influence on the market is indeed significant and plays a major role in shaping the direction and progress of the markets.</w:t>
      </w:r>
    </w:p>
    <w:p>
      <w:pPr>
        <w:pStyle w:val="BodyText"/>
        <w:numPr>
          <w:ilvl w:val="0"/>
          <w:numId w:val="7"/>
        </w:numPr>
        <w:spacing w:lineRule="auto" w:line="360"/>
        <w:rPr/>
      </w:pPr>
      <w:r>
        <w:rPr>
          <w:rFonts w:eastAsia="Arial"/>
        </w:rPr>
        <w:t xml:space="preserve"> </w:t>
      </w:r>
      <w:r>
        <w:rPr/>
        <w:t>PROCESS</w:t>
      </w:r>
    </w:p>
    <w:p>
      <w:pPr>
        <w:pStyle w:val="Normal"/>
        <w:spacing w:lineRule="auto" w:line="360" w:before="0" w:after="120"/>
        <w:ind w:firstLine="720" w:end="0"/>
        <w:rPr>
          <w:color w:val="FF00FF"/>
          <w:sz w:val="24"/>
        </w:rPr>
      </w:pPr>
      <w:r>
        <w:rPr>
          <w:b/>
          <w:sz w:val="24"/>
        </w:rPr>
        <w:t xml:space="preserve">The process of market monitoring is as important as the technical </w:t>
      </w:r>
      <w:r>
        <w:rPr>
          <w:b/>
          <w:color w:val="000000"/>
          <w:sz w:val="24"/>
        </w:rPr>
        <w:t>approach of any assessment.</w:t>
      </w:r>
      <w:r>
        <w:rPr>
          <w:color w:val="000000"/>
          <w:sz w:val="24"/>
        </w:rPr>
        <w:t xml:space="preserve">  Although the market monitor must rely on RTO systems and data, the market monitor must be independent from the RTO and the transparency and confidentiality of any analysis should be assured.</w:t>
      </w:r>
      <w:r>
        <w:rPr>
          <w:sz w:val="24"/>
        </w:rPr>
        <w:t xml:space="preserve">  </w:t>
      </w:r>
    </w:p>
    <w:p>
      <w:pPr>
        <w:pStyle w:val="BodyText2"/>
        <w:spacing w:lineRule="auto" w:line="360"/>
        <w:ind w:firstLine="720" w:end="0"/>
        <w:rPr>
          <w:color w:val="000000"/>
        </w:rPr>
      </w:pPr>
      <w:r>
        <w:rPr>
          <w:color w:val="000000"/>
        </w:rPr>
        <w:t>Market monitors should not attempt (nor have the authority or capability) to artificially adjust prices (high or low), but rather should recommend to the RTO and its market participants long-term structural solutions that remedy identified problems so as to avoid after-the-fact price adjustments.</w:t>
      </w:r>
    </w:p>
    <w:p>
      <w:pPr>
        <w:pStyle w:val="BodyText2"/>
        <w:spacing w:lineRule="auto" w:line="360"/>
        <w:ind w:firstLine="720" w:end="0"/>
        <w:rPr>
          <w:color w:val="008080"/>
        </w:rPr>
      </w:pPr>
      <w:r>
        <w:rPr>
          <w:color w:val="000000"/>
        </w:rPr>
        <w:t>To date, some form of market monitoring has occurred within the existing ISO structures.  Just as the market monitor in the ISO/RTO should be independent, there is an equal need for an independent market monitor in new RTO structures, such as transcos.  So far, transco proposals have raised serious</w:t>
      </w:r>
      <w:r>
        <w:rPr>
          <w:color w:val="008080"/>
        </w:rPr>
        <w:t xml:space="preserve"> </w:t>
      </w:r>
      <w:r>
        <w:rPr>
          <w:color w:val="000000"/>
        </w:rPr>
        <w:t>concern with respect to the independence of the Board, in general, and the independence of the MMU, in particular.  This is particularly true for the initial selection and formation of transco MMUs.  If the goal of RTOs is to encourage the development of large and robust regional wholesale electricity markets, the Commission must ensure that for-profit transcos cannot become market makers, participants and monitors all within a single entity.</w:t>
      </w:r>
      <w:r>
        <mc:AlternateContent>
          <mc:Choice Requires="wps">
            <w:drawing>
              <wp:anchor behindDoc="0" distT="0" distB="0" distL="114935" distR="114935" simplePos="0" locked="0" layoutInCell="0" allowOverlap="1" relativeHeight="17">
                <wp:simplePos x="0" y="0"/>
                <wp:positionH relativeFrom="column">
                  <wp:posOffset>3150235</wp:posOffset>
                </wp:positionH>
                <wp:positionV relativeFrom="paragraph">
                  <wp:posOffset>818515</wp:posOffset>
                </wp:positionV>
                <wp:extent cx="2294890" cy="3583940"/>
                <wp:effectExtent l="0" t="0" r="0" b="0"/>
                <wp:wrapSquare wrapText="bothSides"/>
                <wp:docPr id="2" name="Frame1"/>
                <a:graphic xmlns:a="http://schemas.openxmlformats.org/drawingml/2006/main">
                  <a:graphicData uri="http://schemas.microsoft.com/office/word/2010/wordprocessingShape">
                    <wps:wsp>
                      <wps:cNvSpPr txBox="1"/>
                      <wps:spPr>
                        <a:xfrm>
                          <a:off x="0" y="0"/>
                          <a:ext cx="2294890" cy="3583940"/>
                        </a:xfrm>
                        <a:prstGeom prst="rect"/>
                        <a:solidFill>
                          <a:srgbClr val="FFFFFF"/>
                        </a:solidFill>
                        <a:ln w="9525">
                          <a:solidFill>
                            <a:srgbClr val="000000"/>
                          </a:solidFill>
                        </a:ln>
                      </wps:spPr>
                      <wps:txbx>
                        <w:txbxContent>
                          <w:p>
                            <w:pPr>
                              <w:pStyle w:val="Normal"/>
                              <w:pBdr>
                                <w:top w:val="single" w:sz="4" w:space="1" w:color="000000"/>
                                <w:bottom w:val="single" w:sz="4" w:space="1" w:color="000000"/>
                              </w:pBdr>
                              <w:jc w:val="center"/>
                              <w:rPr>
                                <w:b/>
                              </w:rPr>
                            </w:pPr>
                            <w:r>
                              <w:rPr>
                                <w:b/>
                              </w:rPr>
                              <w:t>Essential Elements of MMU Process</w:t>
                            </w:r>
                          </w:p>
                          <w:p>
                            <w:pPr>
                              <w:pStyle w:val="Normal"/>
                              <w:ind w:start="720" w:end="0"/>
                              <w:rPr>
                                <w:b/>
                              </w:rPr>
                            </w:pPr>
                            <w:r>
                              <w:rPr>
                                <w:b/>
                              </w:rPr>
                            </w:r>
                          </w:p>
                          <w:p>
                            <w:pPr>
                              <w:pStyle w:val="Normal"/>
                              <w:numPr>
                                <w:ilvl w:val="0"/>
                                <w:numId w:val="6"/>
                              </w:numPr>
                              <w:tabs>
                                <w:tab w:val="clear" w:pos="720"/>
                                <w:tab w:val="left" w:pos="180" w:leader="none"/>
                              </w:tabs>
                              <w:ind w:hanging="180" w:start="180" w:end="0"/>
                              <w:rPr/>
                            </w:pPr>
                            <w:r>
                              <w:rPr>
                                <w:color w:val="000000"/>
                              </w:rPr>
                              <w:t>Principal MMU Function:  Early warning on market rules and market conditions</w:t>
                            </w:r>
                          </w:p>
                          <w:p>
                            <w:pPr>
                              <w:pStyle w:val="Normal"/>
                              <w:rPr/>
                            </w:pPr>
                            <w:r>
                              <w:rPr/>
                            </w:r>
                          </w:p>
                          <w:p>
                            <w:pPr>
                              <w:pStyle w:val="Normal"/>
                              <w:numPr>
                                <w:ilvl w:val="0"/>
                                <w:numId w:val="6"/>
                              </w:numPr>
                              <w:tabs>
                                <w:tab w:val="clear" w:pos="720"/>
                                <w:tab w:val="left" w:pos="180" w:leader="none"/>
                              </w:tabs>
                              <w:ind w:hanging="180" w:start="180" w:end="0"/>
                              <w:rPr/>
                            </w:pPr>
                            <w:r>
                              <w:rPr/>
                              <w:t>MMU independent of RTO</w:t>
                            </w:r>
                          </w:p>
                          <w:p>
                            <w:pPr>
                              <w:pStyle w:val="FootnoteText"/>
                              <w:rPr/>
                            </w:pPr>
                            <w:r>
                              <w:rPr/>
                            </w:r>
                          </w:p>
                          <w:p>
                            <w:pPr>
                              <w:pStyle w:val="Normal"/>
                              <w:numPr>
                                <w:ilvl w:val="0"/>
                                <w:numId w:val="6"/>
                              </w:numPr>
                              <w:tabs>
                                <w:tab w:val="clear" w:pos="720"/>
                                <w:tab w:val="left" w:pos="180" w:leader="none"/>
                              </w:tabs>
                              <w:ind w:hanging="180" w:start="180" w:end="0"/>
                              <w:rPr/>
                            </w:pPr>
                            <w:r>
                              <w:rPr/>
                              <w:t>Transparency of analysis</w:t>
                            </w:r>
                          </w:p>
                          <w:p>
                            <w:pPr>
                              <w:pStyle w:val="Normal"/>
                              <w:rPr/>
                            </w:pPr>
                            <w:r>
                              <w:rPr/>
                            </w:r>
                          </w:p>
                          <w:p>
                            <w:pPr>
                              <w:pStyle w:val="Normal"/>
                              <w:numPr>
                                <w:ilvl w:val="0"/>
                                <w:numId w:val="6"/>
                              </w:numPr>
                              <w:tabs>
                                <w:tab w:val="clear" w:pos="720"/>
                                <w:tab w:val="left" w:pos="180" w:leader="none"/>
                              </w:tabs>
                              <w:ind w:hanging="180" w:start="180" w:end="0"/>
                              <w:rPr/>
                            </w:pPr>
                            <w:r>
                              <w:rPr/>
                              <w:t xml:space="preserve">Due </w:t>
                            </w:r>
                            <w:r>
                              <w:rPr>
                                <w:color w:val="000000"/>
                              </w:rPr>
                              <w:t>process and confidentiality for those charged</w:t>
                            </w:r>
                          </w:p>
                          <w:p>
                            <w:pPr>
                              <w:pStyle w:val="Normal"/>
                              <w:rPr/>
                            </w:pPr>
                            <w:r>
                              <w:rPr/>
                            </w:r>
                          </w:p>
                          <w:p>
                            <w:pPr>
                              <w:pStyle w:val="Normal"/>
                              <w:numPr>
                                <w:ilvl w:val="0"/>
                                <w:numId w:val="6"/>
                              </w:numPr>
                              <w:tabs>
                                <w:tab w:val="clear" w:pos="720"/>
                                <w:tab w:val="left" w:pos="180" w:leader="none"/>
                              </w:tabs>
                              <w:ind w:hanging="180" w:start="180" w:end="0"/>
                              <w:rPr/>
                            </w:pPr>
                            <w:r>
                              <w:rPr/>
                              <w:t>Monitor transmission as well as generation market</w:t>
                            </w:r>
                          </w:p>
                          <w:p>
                            <w:pPr>
                              <w:pStyle w:val="FootnoteText"/>
                              <w:rPr/>
                            </w:pPr>
                            <w:r>
                              <w:rPr/>
                            </w:r>
                          </w:p>
                          <w:p>
                            <w:pPr>
                              <w:pStyle w:val="Normal"/>
                              <w:numPr>
                                <w:ilvl w:val="0"/>
                                <w:numId w:val="6"/>
                              </w:numPr>
                              <w:tabs>
                                <w:tab w:val="clear" w:pos="720"/>
                                <w:tab w:val="left" w:pos="180" w:leader="none"/>
                              </w:tabs>
                              <w:ind w:hanging="180" w:start="180" w:end="0"/>
                              <w:rPr/>
                            </w:pPr>
                            <w:r>
                              <w:rPr/>
                              <w:t xml:space="preserve">Limited to recommending </w:t>
                            </w:r>
                            <w:r>
                              <w:rPr>
                                <w:color w:val="000000"/>
                              </w:rPr>
                              <w:t>mitigation measures, such</w:t>
                            </w:r>
                            <w:r>
                              <w:rPr/>
                              <w:t xml:space="preserve"> as rule changes</w:t>
                            </w:r>
                          </w:p>
                          <w:p>
                            <w:pPr>
                              <w:pStyle w:val="Normal"/>
                              <w:rPr/>
                            </w:pPr>
                            <w:r>
                              <w:rPr/>
                            </w:r>
                          </w:p>
                          <w:p>
                            <w:pPr>
                              <w:pStyle w:val="Normal"/>
                              <w:numPr>
                                <w:ilvl w:val="0"/>
                                <w:numId w:val="6"/>
                              </w:numPr>
                              <w:tabs>
                                <w:tab w:val="clear" w:pos="720"/>
                                <w:tab w:val="left" w:pos="180" w:leader="none"/>
                              </w:tabs>
                              <w:ind w:hanging="180" w:start="180" w:end="0"/>
                              <w:rPr/>
                            </w:pPr>
                            <w:r>
                              <w:rPr/>
                              <w:t>Enforcement of laws left to FERC and DOJ</w:t>
                            </w:r>
                          </w:p>
                          <w:p>
                            <w:pPr>
                              <w:pStyle w:val="Normal"/>
                              <w:rPr/>
                            </w:pPr>
                            <w:r>
                              <w:rPr/>
                            </w:r>
                          </w:p>
                          <w:p>
                            <w:pPr>
                              <w:pStyle w:val="Normal"/>
                              <w:numPr>
                                <w:ilvl w:val="0"/>
                                <w:numId w:val="6"/>
                              </w:numPr>
                              <w:tabs>
                                <w:tab w:val="clear" w:pos="720"/>
                                <w:tab w:val="left" w:pos="180" w:leader="none"/>
                              </w:tabs>
                              <w:ind w:hanging="180" w:start="180" w:end="0"/>
                              <w:rPr/>
                            </w:pPr>
                            <w:r>
                              <w:rPr>
                                <w:color w:val="FF0000"/>
                              </w:rPr>
                              <w:t>Unobtrusive to the market</w:t>
                            </w:r>
                          </w:p>
                          <w:p>
                            <w:pPr>
                              <w:pStyle w:val="Normal"/>
                              <w:rPr/>
                            </w:pPr>
                            <w:r>
                              <w:rPr/>
                            </w:r>
                          </w:p>
                          <w:p>
                            <w:pPr>
                              <w:pStyle w:val="Normal"/>
                              <w:numPr>
                                <w:ilvl w:val="0"/>
                                <w:numId w:val="6"/>
                              </w:numPr>
                              <w:tabs>
                                <w:tab w:val="clear" w:pos="720"/>
                                <w:tab w:val="left" w:pos="180" w:leader="none"/>
                              </w:tabs>
                              <w:ind w:hanging="180" w:start="180" w:end="0"/>
                              <w:rPr/>
                            </w:pPr>
                            <w:r>
                              <w:rPr/>
                              <w:t>Evolve to regional MMU</w:t>
                            </w:r>
                          </w:p>
                          <w:p>
                            <w:pPr>
                              <w:pStyle w:val="Normal"/>
                              <w:rPr/>
                            </w:pPr>
                            <w:r>
                              <w:rPr/>
                            </w:r>
                          </w:p>
                          <w:p>
                            <w:pPr>
                              <w:pStyle w:val="Normal"/>
                              <w:rPr/>
                            </w:pPr>
                            <w:r>
                              <w:rPr/>
                            </w:r>
                          </w:p>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80.7pt;height:282.2pt;mso-wrap-distance-left:9.05pt;mso-wrap-distance-right:9.05pt;mso-wrap-distance-top:0pt;mso-wrap-distance-bottom:0pt;margin-top:64.45pt;mso-position-vertical-relative:text;margin-left:248.05pt;mso-position-horizontal-relative:text">
                <v:textbox>
                  <w:txbxContent>
                    <w:p>
                      <w:pPr>
                        <w:pStyle w:val="Normal"/>
                        <w:pBdr>
                          <w:top w:val="single" w:sz="4" w:space="1" w:color="000000"/>
                          <w:bottom w:val="single" w:sz="4" w:space="1" w:color="000000"/>
                        </w:pBdr>
                        <w:jc w:val="center"/>
                        <w:rPr>
                          <w:b/>
                        </w:rPr>
                      </w:pPr>
                      <w:r>
                        <w:rPr>
                          <w:b/>
                        </w:rPr>
                        <w:t>Essential Elements of MMU Process</w:t>
                      </w:r>
                    </w:p>
                    <w:p>
                      <w:pPr>
                        <w:pStyle w:val="Normal"/>
                        <w:ind w:start="720" w:end="0"/>
                        <w:rPr>
                          <w:b/>
                        </w:rPr>
                      </w:pPr>
                      <w:r>
                        <w:rPr>
                          <w:b/>
                        </w:rPr>
                      </w:r>
                    </w:p>
                    <w:p>
                      <w:pPr>
                        <w:pStyle w:val="Normal"/>
                        <w:numPr>
                          <w:ilvl w:val="0"/>
                          <w:numId w:val="6"/>
                        </w:numPr>
                        <w:tabs>
                          <w:tab w:val="clear" w:pos="720"/>
                          <w:tab w:val="left" w:pos="180" w:leader="none"/>
                        </w:tabs>
                        <w:ind w:hanging="180" w:start="180" w:end="0"/>
                        <w:rPr/>
                      </w:pPr>
                      <w:r>
                        <w:rPr>
                          <w:color w:val="000000"/>
                        </w:rPr>
                        <w:t>Principal MMU Function:  Early warning on market rules and market conditions</w:t>
                      </w:r>
                    </w:p>
                    <w:p>
                      <w:pPr>
                        <w:pStyle w:val="Normal"/>
                        <w:rPr/>
                      </w:pPr>
                      <w:r>
                        <w:rPr/>
                      </w:r>
                    </w:p>
                    <w:p>
                      <w:pPr>
                        <w:pStyle w:val="Normal"/>
                        <w:numPr>
                          <w:ilvl w:val="0"/>
                          <w:numId w:val="6"/>
                        </w:numPr>
                        <w:tabs>
                          <w:tab w:val="clear" w:pos="720"/>
                          <w:tab w:val="left" w:pos="180" w:leader="none"/>
                        </w:tabs>
                        <w:ind w:hanging="180" w:start="180" w:end="0"/>
                        <w:rPr/>
                      </w:pPr>
                      <w:r>
                        <w:rPr/>
                        <w:t>MMU independent of RTO</w:t>
                      </w:r>
                    </w:p>
                    <w:p>
                      <w:pPr>
                        <w:pStyle w:val="FootnoteText"/>
                        <w:rPr/>
                      </w:pPr>
                      <w:r>
                        <w:rPr/>
                      </w:r>
                    </w:p>
                    <w:p>
                      <w:pPr>
                        <w:pStyle w:val="Normal"/>
                        <w:numPr>
                          <w:ilvl w:val="0"/>
                          <w:numId w:val="6"/>
                        </w:numPr>
                        <w:tabs>
                          <w:tab w:val="clear" w:pos="720"/>
                          <w:tab w:val="left" w:pos="180" w:leader="none"/>
                        </w:tabs>
                        <w:ind w:hanging="180" w:start="180" w:end="0"/>
                        <w:rPr/>
                      </w:pPr>
                      <w:r>
                        <w:rPr/>
                        <w:t>Transparency of analysis</w:t>
                      </w:r>
                    </w:p>
                    <w:p>
                      <w:pPr>
                        <w:pStyle w:val="Normal"/>
                        <w:rPr/>
                      </w:pPr>
                      <w:r>
                        <w:rPr/>
                      </w:r>
                    </w:p>
                    <w:p>
                      <w:pPr>
                        <w:pStyle w:val="Normal"/>
                        <w:numPr>
                          <w:ilvl w:val="0"/>
                          <w:numId w:val="6"/>
                        </w:numPr>
                        <w:tabs>
                          <w:tab w:val="clear" w:pos="720"/>
                          <w:tab w:val="left" w:pos="180" w:leader="none"/>
                        </w:tabs>
                        <w:ind w:hanging="180" w:start="180" w:end="0"/>
                        <w:rPr/>
                      </w:pPr>
                      <w:r>
                        <w:rPr/>
                        <w:t xml:space="preserve">Due </w:t>
                      </w:r>
                      <w:r>
                        <w:rPr>
                          <w:color w:val="000000"/>
                        </w:rPr>
                        <w:t>process and confidentiality for those charged</w:t>
                      </w:r>
                    </w:p>
                    <w:p>
                      <w:pPr>
                        <w:pStyle w:val="Normal"/>
                        <w:rPr/>
                      </w:pPr>
                      <w:r>
                        <w:rPr/>
                      </w:r>
                    </w:p>
                    <w:p>
                      <w:pPr>
                        <w:pStyle w:val="Normal"/>
                        <w:numPr>
                          <w:ilvl w:val="0"/>
                          <w:numId w:val="6"/>
                        </w:numPr>
                        <w:tabs>
                          <w:tab w:val="clear" w:pos="720"/>
                          <w:tab w:val="left" w:pos="180" w:leader="none"/>
                        </w:tabs>
                        <w:ind w:hanging="180" w:start="180" w:end="0"/>
                        <w:rPr/>
                      </w:pPr>
                      <w:r>
                        <w:rPr/>
                        <w:t>Monitor transmission as well as generation market</w:t>
                      </w:r>
                    </w:p>
                    <w:p>
                      <w:pPr>
                        <w:pStyle w:val="FootnoteText"/>
                        <w:rPr/>
                      </w:pPr>
                      <w:r>
                        <w:rPr/>
                      </w:r>
                    </w:p>
                    <w:p>
                      <w:pPr>
                        <w:pStyle w:val="Normal"/>
                        <w:numPr>
                          <w:ilvl w:val="0"/>
                          <w:numId w:val="6"/>
                        </w:numPr>
                        <w:tabs>
                          <w:tab w:val="clear" w:pos="720"/>
                          <w:tab w:val="left" w:pos="180" w:leader="none"/>
                        </w:tabs>
                        <w:ind w:hanging="180" w:start="180" w:end="0"/>
                        <w:rPr/>
                      </w:pPr>
                      <w:r>
                        <w:rPr/>
                        <w:t xml:space="preserve">Limited to recommending </w:t>
                      </w:r>
                      <w:r>
                        <w:rPr>
                          <w:color w:val="000000"/>
                        </w:rPr>
                        <w:t>mitigation measures, such</w:t>
                      </w:r>
                      <w:r>
                        <w:rPr/>
                        <w:t xml:space="preserve"> as rule changes</w:t>
                      </w:r>
                    </w:p>
                    <w:p>
                      <w:pPr>
                        <w:pStyle w:val="Normal"/>
                        <w:rPr/>
                      </w:pPr>
                      <w:r>
                        <w:rPr/>
                      </w:r>
                    </w:p>
                    <w:p>
                      <w:pPr>
                        <w:pStyle w:val="Normal"/>
                        <w:numPr>
                          <w:ilvl w:val="0"/>
                          <w:numId w:val="6"/>
                        </w:numPr>
                        <w:tabs>
                          <w:tab w:val="clear" w:pos="720"/>
                          <w:tab w:val="left" w:pos="180" w:leader="none"/>
                        </w:tabs>
                        <w:ind w:hanging="180" w:start="180" w:end="0"/>
                        <w:rPr/>
                      </w:pPr>
                      <w:r>
                        <w:rPr/>
                        <w:t>Enforcement of laws left to FERC and DOJ</w:t>
                      </w:r>
                    </w:p>
                    <w:p>
                      <w:pPr>
                        <w:pStyle w:val="Normal"/>
                        <w:rPr/>
                      </w:pPr>
                      <w:r>
                        <w:rPr/>
                      </w:r>
                    </w:p>
                    <w:p>
                      <w:pPr>
                        <w:pStyle w:val="Normal"/>
                        <w:numPr>
                          <w:ilvl w:val="0"/>
                          <w:numId w:val="6"/>
                        </w:numPr>
                        <w:tabs>
                          <w:tab w:val="clear" w:pos="720"/>
                          <w:tab w:val="left" w:pos="180" w:leader="none"/>
                        </w:tabs>
                        <w:ind w:hanging="180" w:start="180" w:end="0"/>
                        <w:rPr/>
                      </w:pPr>
                      <w:r>
                        <w:rPr>
                          <w:color w:val="FF0000"/>
                        </w:rPr>
                        <w:t>Unobtrusive to the market</w:t>
                      </w:r>
                    </w:p>
                    <w:p>
                      <w:pPr>
                        <w:pStyle w:val="Normal"/>
                        <w:rPr/>
                      </w:pPr>
                      <w:r>
                        <w:rPr/>
                      </w:r>
                    </w:p>
                    <w:p>
                      <w:pPr>
                        <w:pStyle w:val="Normal"/>
                        <w:numPr>
                          <w:ilvl w:val="0"/>
                          <w:numId w:val="6"/>
                        </w:numPr>
                        <w:tabs>
                          <w:tab w:val="clear" w:pos="720"/>
                          <w:tab w:val="left" w:pos="180" w:leader="none"/>
                        </w:tabs>
                        <w:ind w:hanging="180" w:start="180" w:end="0"/>
                        <w:rPr/>
                      </w:pPr>
                      <w:r>
                        <w:rPr/>
                        <w:t>Evolve to regional MMU</w:t>
                      </w:r>
                    </w:p>
                    <w:p>
                      <w:pPr>
                        <w:pStyle w:val="Normal"/>
                        <w:rPr/>
                      </w:pPr>
                      <w:r>
                        <w:rPr/>
                      </w:r>
                    </w:p>
                    <w:p>
                      <w:pPr>
                        <w:pStyle w:val="Normal"/>
                        <w:rPr/>
                      </w:pPr>
                      <w:r>
                        <w:rPr/>
                      </w:r>
                    </w:p>
                    <w:p>
                      <w:pPr>
                        <w:pStyle w:val="Normal"/>
                        <w:rPr/>
                      </w:pPr>
                      <w:r>
                        <w:rPr/>
                      </w:r>
                    </w:p>
                  </w:txbxContent>
                </v:textbox>
                <w10:wrap type="square"/>
              </v:rect>
            </w:pict>
          </mc:Fallback>
        </mc:AlternateContent>
      </w:r>
    </w:p>
    <w:p>
      <w:pPr>
        <w:pStyle w:val="BodyText"/>
        <w:spacing w:lineRule="auto" w:line="360"/>
        <w:ind w:firstLine="720" w:end="0"/>
        <w:rPr>
          <w:b w:val="false"/>
        </w:rPr>
      </w:pPr>
      <w:r>
        <w:rPr>
          <w:b w:val="false"/>
        </w:rPr>
        <w:t>Finally, due to the need to expand regional markets, the Commission should encourage the development of regional independent market monitors to support the development of large seamless regional trading markets.  An independent regional entity would be free from any local political or market sector interests, therefore allowing better integration among neighboring regions.  Indeed, reasoned and efficient decisions made by fully independent entities that lack bias and are not captive to one administrative structure will improve confidence in the process and in the market rules themselves.</w:t>
      </w:r>
    </w:p>
    <w:p>
      <w:pPr>
        <w:pStyle w:val="BodyText"/>
        <w:numPr>
          <w:ilvl w:val="0"/>
          <w:numId w:val="5"/>
        </w:numPr>
        <w:spacing w:lineRule="auto" w:line="360"/>
        <w:rPr/>
      </w:pPr>
      <w:r>
        <w:rPr/>
        <w:t>MARKET POWER MEASUREMENT</w:t>
      </w:r>
    </w:p>
    <w:p>
      <w:pPr>
        <w:pStyle w:val="BodyText"/>
        <w:spacing w:lineRule="auto" w:line="360"/>
        <w:ind w:firstLine="720" w:end="0"/>
        <w:rPr/>
      </w:pPr>
      <w:r>
        <w:rPr>
          <w:b w:val="false"/>
        </w:rPr>
        <w:t xml:space="preserve">The Commission must clearly state and consistently apply standards to identify and remedy anti-competitive behavior.  Although Order No. 2000 did allow market monitoring proposals to vary with RTO structure, one fundamentally important detail was left undecided in the rule – </w:t>
      </w:r>
      <w:r>
        <w:rPr/>
        <w:t>the definition of market power and abuse thereof.</w:t>
      </w:r>
      <w:r>
        <w:rPr>
          <w:b w:val="false"/>
        </w:rPr>
        <w:t xml:space="preserve">  </w:t>
      </w:r>
    </w:p>
    <w:p>
      <w:pPr>
        <w:pStyle w:val="BodyText"/>
        <w:spacing w:lineRule="auto" w:line="360"/>
        <w:ind w:firstLine="720" w:end="0"/>
        <w:rPr/>
      </w:pPr>
      <w:r>
        <w:rPr>
          <w:b w:val="false"/>
          <w:color w:val="000000"/>
        </w:rPr>
        <w:t>In an</w:t>
      </w:r>
      <w:r>
        <w:rPr>
          <w:b w:val="false"/>
        </w:rPr>
        <w:t xml:space="preserve"> October 2000 article in </w:t>
      </w:r>
      <w:r>
        <w:rPr>
          <w:b w:val="false"/>
          <w:i/>
        </w:rPr>
        <w:t>The Electricity Journal</w:t>
      </w:r>
      <w:r>
        <w:rPr>
          <w:b w:val="false"/>
        </w:rPr>
        <w:t>, Gregory Werden, Senior Economic Counsel in the Antitrust Division of DOJ, states that “any firm can affect the market price by altering its output or bid price is said to possess ‘market power,’ hence, market power is a matter of degree, and the degree of market power – rather than its existence – is what really matters.”</w:t>
      </w:r>
      <w:r>
        <w:rPr>
          <w:rStyle w:val="FootnoteCharacters"/>
          <w:rStyle w:val="FootnoteReference"/>
          <w:b/>
        </w:rPr>
        <w:footnoteReference w:id="5"/>
      </w:r>
      <w:r>
        <w:rPr>
          <w:b w:val="false"/>
        </w:rPr>
        <w:t xml:space="preserve">  This underscores the importance of accurate measurement of market power and sustainability thereof.  Dr. Werden goes on to suggest that (a) the MMU serve as an early warning system; (b) the challenge of measuring market power lies in defining the competitive price that would prevail in the absence of market power; and (c) enforcement should be left to the appropriate government agencies.</w:t>
      </w:r>
      <w:r>
        <w:rPr>
          <w:rStyle w:val="FootnoteCharacters"/>
          <w:rStyle w:val="FootnoteReference"/>
          <w:b/>
        </w:rPr>
        <w:footnoteReference w:id="6"/>
      </w:r>
      <w:r>
        <w:rPr>
          <w:b w:val="false"/>
        </w:rPr>
        <w:t xml:space="preserve">   </w:t>
      </w:r>
      <w:r>
        <mc:AlternateContent>
          <mc:Choice Requires="wps">
            <w:drawing>
              <wp:anchor behindDoc="0" distT="0" distB="0" distL="114935" distR="114935" simplePos="0" locked="0" layoutInCell="0" allowOverlap="1" relativeHeight="14">
                <wp:simplePos x="0" y="0"/>
                <wp:positionH relativeFrom="column">
                  <wp:posOffset>3424555</wp:posOffset>
                </wp:positionH>
                <wp:positionV relativeFrom="paragraph">
                  <wp:posOffset>1496695</wp:posOffset>
                </wp:positionV>
                <wp:extent cx="1951990" cy="2063750"/>
                <wp:effectExtent l="0" t="0" r="0" b="0"/>
                <wp:wrapSquare wrapText="bothSides"/>
                <wp:docPr id="3" name="Frame2"/>
                <a:graphic xmlns:a="http://schemas.openxmlformats.org/drawingml/2006/main">
                  <a:graphicData uri="http://schemas.microsoft.com/office/word/2010/wordprocessingShape">
                    <wps:wsp>
                      <wps:cNvSpPr txBox="1"/>
                      <wps:spPr>
                        <a:xfrm>
                          <a:off x="0" y="0"/>
                          <a:ext cx="1951990" cy="2063750"/>
                        </a:xfrm>
                        <a:prstGeom prst="rect"/>
                        <a:solidFill>
                          <a:srgbClr val="FFFFFF"/>
                        </a:solidFill>
                        <a:ln w="9525">
                          <a:solidFill>
                            <a:srgbClr val="000000"/>
                          </a:solidFill>
                        </a:ln>
                      </wps:spPr>
                      <wps:txbx>
                        <w:txbxContent>
                          <w:p>
                            <w:pPr>
                              <w:pStyle w:val="BodyText3"/>
                              <w:pBdr>
                                <w:top w:val="single" w:sz="4" w:space="1" w:color="000000"/>
                                <w:bottom w:val="single" w:sz="4" w:space="1" w:color="000000"/>
                              </w:pBdr>
                              <w:rPr/>
                            </w:pPr>
                            <w:r>
                              <w:rPr/>
                              <w:t>Measuring Market Power</w:t>
                            </w:r>
                          </w:p>
                          <w:p>
                            <w:pPr>
                              <w:pStyle w:val="Normal"/>
                              <w:rPr>
                                <w:b/>
                              </w:rPr>
                            </w:pPr>
                            <w:r>
                              <w:rPr>
                                <w:b/>
                              </w:rPr>
                            </w:r>
                          </w:p>
                          <w:p>
                            <w:pPr>
                              <w:pStyle w:val="Normal"/>
                              <w:numPr>
                                <w:ilvl w:val="0"/>
                                <w:numId w:val="2"/>
                              </w:numPr>
                              <w:tabs>
                                <w:tab w:val="clear" w:pos="720"/>
                                <w:tab w:val="left" w:pos="180" w:leader="none"/>
                              </w:tabs>
                              <w:ind w:hanging="180" w:start="180" w:end="0"/>
                              <w:rPr>
                                <w:b/>
                                <w:color w:val="000000"/>
                              </w:rPr>
                            </w:pPr>
                            <w:r>
                              <w:rPr>
                                <w:color w:val="000000"/>
                              </w:rPr>
                              <w:t>Progressive levels of assessment</w:t>
                            </w:r>
                          </w:p>
                          <w:p>
                            <w:pPr>
                              <w:pStyle w:val="Normal"/>
                              <w:tabs>
                                <w:tab w:val="clear" w:pos="720"/>
                                <w:tab w:val="left" w:pos="180" w:leader="none"/>
                              </w:tabs>
                              <w:rPr>
                                <w:b/>
                                <w:color w:val="000000"/>
                              </w:rPr>
                            </w:pPr>
                            <w:r>
                              <w:rPr>
                                <w:b/>
                                <w:color w:val="000000"/>
                              </w:rPr>
                            </w:r>
                          </w:p>
                          <w:p>
                            <w:pPr>
                              <w:pStyle w:val="Normal"/>
                              <w:numPr>
                                <w:ilvl w:val="0"/>
                                <w:numId w:val="2"/>
                              </w:numPr>
                              <w:tabs>
                                <w:tab w:val="clear" w:pos="720"/>
                                <w:tab w:val="left" w:pos="180" w:leader="none"/>
                              </w:tabs>
                              <w:ind w:hanging="180" w:start="180" w:end="0"/>
                              <w:rPr>
                                <w:b/>
                                <w:color w:val="000000"/>
                              </w:rPr>
                            </w:pPr>
                            <w:r>
                              <w:rPr>
                                <w:color w:val="000000"/>
                              </w:rPr>
                              <w:t>Level One:  Identify hours in which price exceeds competitive screen</w:t>
                            </w:r>
                          </w:p>
                          <w:p>
                            <w:pPr>
                              <w:pStyle w:val="Normal"/>
                              <w:tabs>
                                <w:tab w:val="clear" w:pos="720"/>
                                <w:tab w:val="left" w:pos="180" w:leader="none"/>
                              </w:tabs>
                              <w:rPr>
                                <w:b/>
                                <w:color w:val="000000"/>
                              </w:rPr>
                            </w:pPr>
                            <w:r>
                              <w:rPr>
                                <w:b/>
                                <w:color w:val="000000"/>
                              </w:rPr>
                            </w:r>
                          </w:p>
                          <w:p>
                            <w:pPr>
                              <w:pStyle w:val="Normal"/>
                              <w:numPr>
                                <w:ilvl w:val="0"/>
                                <w:numId w:val="2"/>
                              </w:numPr>
                              <w:tabs>
                                <w:tab w:val="clear" w:pos="720"/>
                                <w:tab w:val="left" w:pos="180" w:leader="none"/>
                              </w:tabs>
                              <w:ind w:hanging="180" w:start="180" w:end="0"/>
                              <w:rPr>
                                <w:b/>
                              </w:rPr>
                            </w:pPr>
                            <w:r>
                              <w:rPr>
                                <w:color w:val="000000"/>
                              </w:rPr>
                              <w:t>Level Two:  Investigate possible anti-competitive</w:t>
                            </w:r>
                            <w:r>
                              <w:rPr/>
                              <w:t xml:space="preserve"> actions in these hours</w:t>
                            </w:r>
                          </w:p>
                        </w:txbxContent>
                      </wps:txbx>
                      <wps:bodyPr anchor="t" lIns="91440" tIns="45720" rIns="91440" bIns="45720">
                        <a:noAutofit/>
                      </wps:bodyPr>
                    </wps:wsp>
                  </a:graphicData>
                </a:graphic>
              </wp:anchor>
            </w:drawing>
          </mc:Choice>
          <mc:Fallback>
            <w:pict>
              <v:rect fillcolor="#FFFFFF" strokecolor="#000000" strokeweight="0pt" style="position:absolute;rotation:-0;width:153.7pt;height:162.5pt;mso-wrap-distance-left:9.05pt;mso-wrap-distance-right:9.05pt;mso-wrap-distance-top:0pt;mso-wrap-distance-bottom:0pt;margin-top:117.85pt;mso-position-vertical-relative:text;margin-left:269.65pt;mso-position-horizontal-relative:text">
                <v:textbox>
                  <w:txbxContent>
                    <w:p>
                      <w:pPr>
                        <w:pStyle w:val="BodyText3"/>
                        <w:pBdr>
                          <w:top w:val="single" w:sz="4" w:space="1" w:color="000000"/>
                          <w:bottom w:val="single" w:sz="4" w:space="1" w:color="000000"/>
                        </w:pBdr>
                        <w:rPr/>
                      </w:pPr>
                      <w:r>
                        <w:rPr/>
                        <w:t>Measuring Market Power</w:t>
                      </w:r>
                    </w:p>
                    <w:p>
                      <w:pPr>
                        <w:pStyle w:val="Normal"/>
                        <w:rPr>
                          <w:b/>
                        </w:rPr>
                      </w:pPr>
                      <w:r>
                        <w:rPr>
                          <w:b/>
                        </w:rPr>
                      </w:r>
                    </w:p>
                    <w:p>
                      <w:pPr>
                        <w:pStyle w:val="Normal"/>
                        <w:numPr>
                          <w:ilvl w:val="0"/>
                          <w:numId w:val="2"/>
                        </w:numPr>
                        <w:tabs>
                          <w:tab w:val="clear" w:pos="720"/>
                          <w:tab w:val="left" w:pos="180" w:leader="none"/>
                        </w:tabs>
                        <w:ind w:hanging="180" w:start="180" w:end="0"/>
                        <w:rPr>
                          <w:b/>
                          <w:color w:val="000000"/>
                        </w:rPr>
                      </w:pPr>
                      <w:r>
                        <w:rPr>
                          <w:color w:val="000000"/>
                        </w:rPr>
                        <w:t>Progressive levels of assessment</w:t>
                      </w:r>
                    </w:p>
                    <w:p>
                      <w:pPr>
                        <w:pStyle w:val="Normal"/>
                        <w:tabs>
                          <w:tab w:val="clear" w:pos="720"/>
                          <w:tab w:val="left" w:pos="180" w:leader="none"/>
                        </w:tabs>
                        <w:rPr>
                          <w:b/>
                          <w:color w:val="000000"/>
                        </w:rPr>
                      </w:pPr>
                      <w:r>
                        <w:rPr>
                          <w:b/>
                          <w:color w:val="000000"/>
                        </w:rPr>
                      </w:r>
                    </w:p>
                    <w:p>
                      <w:pPr>
                        <w:pStyle w:val="Normal"/>
                        <w:numPr>
                          <w:ilvl w:val="0"/>
                          <w:numId w:val="2"/>
                        </w:numPr>
                        <w:tabs>
                          <w:tab w:val="clear" w:pos="720"/>
                          <w:tab w:val="left" w:pos="180" w:leader="none"/>
                        </w:tabs>
                        <w:ind w:hanging="180" w:start="180" w:end="0"/>
                        <w:rPr>
                          <w:b/>
                          <w:color w:val="000000"/>
                        </w:rPr>
                      </w:pPr>
                      <w:r>
                        <w:rPr>
                          <w:color w:val="000000"/>
                        </w:rPr>
                        <w:t>Level One:  Identify hours in which price exceeds competitive screen</w:t>
                      </w:r>
                    </w:p>
                    <w:p>
                      <w:pPr>
                        <w:pStyle w:val="Normal"/>
                        <w:tabs>
                          <w:tab w:val="clear" w:pos="720"/>
                          <w:tab w:val="left" w:pos="180" w:leader="none"/>
                        </w:tabs>
                        <w:rPr>
                          <w:b/>
                          <w:color w:val="000000"/>
                        </w:rPr>
                      </w:pPr>
                      <w:r>
                        <w:rPr>
                          <w:b/>
                          <w:color w:val="000000"/>
                        </w:rPr>
                      </w:r>
                    </w:p>
                    <w:p>
                      <w:pPr>
                        <w:pStyle w:val="Normal"/>
                        <w:numPr>
                          <w:ilvl w:val="0"/>
                          <w:numId w:val="2"/>
                        </w:numPr>
                        <w:tabs>
                          <w:tab w:val="clear" w:pos="720"/>
                          <w:tab w:val="left" w:pos="180" w:leader="none"/>
                        </w:tabs>
                        <w:ind w:hanging="180" w:start="180" w:end="0"/>
                        <w:rPr>
                          <w:b/>
                        </w:rPr>
                      </w:pPr>
                      <w:r>
                        <w:rPr>
                          <w:color w:val="000000"/>
                        </w:rPr>
                        <w:t>Level Two:  Investigate possible anti-competitive</w:t>
                      </w:r>
                      <w:r>
                        <w:rPr/>
                        <w:t xml:space="preserve"> actions in these hours</w:t>
                      </w:r>
                    </w:p>
                  </w:txbxContent>
                </v:textbox>
                <w10:wrap type="square"/>
              </v:rect>
            </w:pict>
          </mc:Fallback>
        </mc:AlternateContent>
      </w:r>
    </w:p>
    <w:p>
      <w:pPr>
        <w:pStyle w:val="BodyText"/>
        <w:spacing w:lineRule="auto" w:line="360"/>
        <w:ind w:firstLine="720" w:end="0"/>
        <w:rPr>
          <w:b w:val="false"/>
          <w:color w:val="FF0000"/>
        </w:rPr>
      </w:pPr>
      <w:r>
        <w:rPr>
          <w:b w:val="false"/>
        </w:rPr>
        <w:t>The Commission must provide direction to the industry by clearly defining market power, what constitutes an acceptable definition of a market in terms of geographic scope and product type, and how market power should be measured.  Within the appropriately defined markets, the Commission should then employ EPSA’s two proposed stages of market power assessment to assure accurate market power measurement.</w:t>
      </w:r>
    </w:p>
    <w:p>
      <w:pPr>
        <w:pStyle w:val="Heading2"/>
        <w:numPr>
          <w:ilvl w:val="0"/>
          <w:numId w:val="8"/>
        </w:numPr>
        <w:spacing w:lineRule="auto" w:line="360" w:before="0" w:after="120"/>
        <w:rPr/>
      </w:pPr>
      <w:r>
        <w:rPr>
          <w:rFonts w:eastAsia="Arial"/>
        </w:rPr>
        <w:t xml:space="preserve"> </w:t>
      </w:r>
      <w:r>
        <w:rPr/>
        <w:t>ASSESSMENT OF UNEXPECTED PRICES</w:t>
      </w:r>
    </w:p>
    <w:p>
      <w:pPr>
        <w:pStyle w:val="Normal"/>
        <w:spacing w:lineRule="auto" w:line="360" w:before="0" w:after="120"/>
        <w:ind w:firstLine="720" w:end="0"/>
        <w:rPr>
          <w:sz w:val="24"/>
        </w:rPr>
      </w:pPr>
      <w:r>
        <w:rPr>
          <w:sz w:val="24"/>
        </w:rPr>
        <w:t>Initially, the Commission should apply traditional antitrust standards, focusing on generation and transmission market concentration levels and barriers to entry.  These standards are the core of the Commission’s market power review with respect to mergers and market-based rate authority.  The ultimate remedy for market power is new entry by competitors that will undercut any inflated prices.  The MMU should be vigilant about barriers to entry, including regulatory barriers to entry.</w:t>
      </w:r>
    </w:p>
    <w:p>
      <w:pPr>
        <w:pStyle w:val="Normal"/>
        <w:spacing w:lineRule="auto" w:line="360" w:before="0" w:after="120"/>
        <w:ind w:firstLine="720" w:end="0"/>
        <w:rPr/>
      </w:pPr>
      <w:r>
        <w:rPr>
          <w:sz w:val="24"/>
        </w:rPr>
        <w:t xml:space="preserve">If a </w:t>
      </w:r>
      <w:r>
        <w:rPr>
          <w:color w:val="000000"/>
          <w:sz w:val="24"/>
        </w:rPr>
        <w:t>well-functioning set of market rules produces results that the MMU believes may be due to the exercise of market power, a detailed assessment involving a review of market prices may be appropriate.  However, it is essential to recognize that market prices resulting from bids above marginal energy cost are not evidence of market power.  Numerous factors can lead bidders to bid above or below their marginal energy costs in a given hour.</w:t>
      </w:r>
      <w:r>
        <w:rPr>
          <w:sz w:val="24"/>
        </w:rPr>
        <w:t xml:space="preserve">  </w:t>
      </w:r>
      <w:r>
        <mc:AlternateContent>
          <mc:Choice Requires="wps">
            <w:drawing>
              <wp:anchor behindDoc="0" distT="0" distB="0" distL="114935" distR="114935" simplePos="0" locked="0" layoutInCell="0" allowOverlap="1" relativeHeight="15">
                <wp:simplePos x="0" y="0"/>
                <wp:positionH relativeFrom="column">
                  <wp:posOffset>3881755</wp:posOffset>
                </wp:positionH>
                <wp:positionV relativeFrom="paragraph">
                  <wp:posOffset>-137795</wp:posOffset>
                </wp:positionV>
                <wp:extent cx="1837690" cy="2980690"/>
                <wp:effectExtent l="0" t="0" r="0" b="0"/>
                <wp:wrapSquare wrapText="bothSides"/>
                <wp:docPr id="4" name="Frame3"/>
                <a:graphic xmlns:a="http://schemas.openxmlformats.org/drawingml/2006/main">
                  <a:graphicData uri="http://schemas.microsoft.com/office/word/2010/wordprocessingShape">
                    <wps:wsp>
                      <wps:cNvSpPr txBox="1"/>
                      <wps:spPr>
                        <a:xfrm>
                          <a:off x="0" y="0"/>
                          <a:ext cx="1837690" cy="2980690"/>
                        </a:xfrm>
                        <a:prstGeom prst="rect"/>
                        <a:solidFill>
                          <a:srgbClr val="FFFFFF"/>
                        </a:solidFill>
                        <a:ln w="9525">
                          <a:solidFill>
                            <a:srgbClr val="000000"/>
                          </a:solidFill>
                        </a:ln>
                      </wps:spPr>
                      <wps:txbx>
                        <w:txbxContent>
                          <w:p>
                            <w:pPr>
                              <w:pStyle w:val="BodyText3"/>
                              <w:pBdr>
                                <w:top w:val="single" w:sz="4" w:space="1" w:color="000000"/>
                                <w:bottom w:val="single" w:sz="4" w:space="1" w:color="000000"/>
                              </w:pBdr>
                              <w:rPr/>
                            </w:pPr>
                            <w:r>
                              <w:rPr/>
                              <w:t>Factors Affecting Prices</w:t>
                            </w:r>
                          </w:p>
                          <w:p>
                            <w:pPr>
                              <w:pStyle w:val="Normal"/>
                              <w:rPr>
                                <w:b/>
                              </w:rPr>
                            </w:pPr>
                            <w:r>
                              <w:rPr>
                                <w:b/>
                              </w:rPr>
                            </w:r>
                          </w:p>
                          <w:p>
                            <w:pPr>
                              <w:pStyle w:val="Normal"/>
                              <w:numPr>
                                <w:ilvl w:val="0"/>
                                <w:numId w:val="10"/>
                              </w:numPr>
                              <w:tabs>
                                <w:tab w:val="clear" w:pos="720"/>
                                <w:tab w:val="left" w:pos="180" w:leader="none"/>
                              </w:tabs>
                              <w:ind w:hanging="180" w:start="180" w:end="0"/>
                              <w:rPr>
                                <w:b/>
                              </w:rPr>
                            </w:pPr>
                            <w:r>
                              <w:rPr/>
                              <w:t>Current prices for fuel and emission offsets</w:t>
                            </w:r>
                          </w:p>
                          <w:p>
                            <w:pPr>
                              <w:pStyle w:val="Normal"/>
                              <w:rPr>
                                <w:b/>
                              </w:rPr>
                            </w:pPr>
                            <w:r>
                              <w:rPr>
                                <w:b/>
                              </w:rPr>
                            </w:r>
                          </w:p>
                          <w:p>
                            <w:pPr>
                              <w:pStyle w:val="Normal"/>
                              <w:numPr>
                                <w:ilvl w:val="0"/>
                                <w:numId w:val="10"/>
                              </w:numPr>
                              <w:tabs>
                                <w:tab w:val="clear" w:pos="720"/>
                                <w:tab w:val="left" w:pos="180" w:leader="none"/>
                              </w:tabs>
                              <w:ind w:hanging="180" w:start="180" w:end="0"/>
                              <w:rPr>
                                <w:b/>
                              </w:rPr>
                            </w:pPr>
                            <w:r>
                              <w:rPr/>
                              <w:t>Transmission and other system constraints</w:t>
                            </w:r>
                          </w:p>
                          <w:p>
                            <w:pPr>
                              <w:pStyle w:val="Normal"/>
                              <w:rPr>
                                <w:b/>
                              </w:rPr>
                            </w:pPr>
                            <w:r>
                              <w:rPr>
                                <w:b/>
                              </w:rPr>
                            </w:r>
                          </w:p>
                          <w:p>
                            <w:pPr>
                              <w:pStyle w:val="Normal"/>
                              <w:numPr>
                                <w:ilvl w:val="0"/>
                                <w:numId w:val="10"/>
                              </w:numPr>
                              <w:tabs>
                                <w:tab w:val="clear" w:pos="720"/>
                                <w:tab w:val="left" w:pos="180" w:leader="none"/>
                              </w:tabs>
                              <w:ind w:hanging="180" w:start="180" w:end="0"/>
                              <w:rPr>
                                <w:b/>
                              </w:rPr>
                            </w:pPr>
                            <w:r>
                              <w:rPr>
                                <w:color w:val="000000"/>
                              </w:rPr>
                              <w:t>Environmental considerations</w:t>
                            </w:r>
                          </w:p>
                          <w:p>
                            <w:pPr>
                              <w:pStyle w:val="Normal"/>
                              <w:rPr>
                                <w:b/>
                              </w:rPr>
                            </w:pPr>
                            <w:r>
                              <w:rPr>
                                <w:b/>
                              </w:rPr>
                            </w:r>
                          </w:p>
                          <w:p>
                            <w:pPr>
                              <w:pStyle w:val="Normal"/>
                              <w:numPr>
                                <w:ilvl w:val="0"/>
                                <w:numId w:val="10"/>
                              </w:numPr>
                              <w:tabs>
                                <w:tab w:val="clear" w:pos="720"/>
                                <w:tab w:val="left" w:pos="180" w:leader="none"/>
                              </w:tabs>
                              <w:ind w:hanging="180" w:start="180" w:end="0"/>
                              <w:rPr>
                                <w:b/>
                              </w:rPr>
                            </w:pPr>
                            <w:r>
                              <w:rPr/>
                              <w:t>Capacity value</w:t>
                            </w:r>
                          </w:p>
                          <w:p>
                            <w:pPr>
                              <w:pStyle w:val="Normal"/>
                              <w:rPr>
                                <w:b/>
                              </w:rPr>
                            </w:pPr>
                            <w:r>
                              <w:rPr>
                                <w:b/>
                              </w:rPr>
                            </w:r>
                          </w:p>
                          <w:p>
                            <w:pPr>
                              <w:pStyle w:val="Normal"/>
                              <w:numPr>
                                <w:ilvl w:val="0"/>
                                <w:numId w:val="10"/>
                              </w:numPr>
                              <w:tabs>
                                <w:tab w:val="clear" w:pos="720"/>
                                <w:tab w:val="left" w:pos="180" w:leader="none"/>
                              </w:tabs>
                              <w:ind w:hanging="180" w:start="180" w:end="0"/>
                              <w:rPr>
                                <w:b/>
                              </w:rPr>
                            </w:pPr>
                            <w:r>
                              <w:rPr/>
                              <w:t>Opportunity costs</w:t>
                            </w:r>
                          </w:p>
                          <w:p>
                            <w:pPr>
                              <w:pStyle w:val="Normal"/>
                              <w:rPr>
                                <w:b/>
                              </w:rPr>
                            </w:pPr>
                            <w:r>
                              <w:rPr>
                                <w:b/>
                              </w:rPr>
                            </w:r>
                          </w:p>
                          <w:p>
                            <w:pPr>
                              <w:pStyle w:val="Normal"/>
                              <w:numPr>
                                <w:ilvl w:val="0"/>
                                <w:numId w:val="10"/>
                              </w:numPr>
                              <w:tabs>
                                <w:tab w:val="clear" w:pos="720"/>
                                <w:tab w:val="left" w:pos="180" w:leader="none"/>
                              </w:tabs>
                              <w:ind w:hanging="180" w:start="180" w:end="0"/>
                              <w:rPr>
                                <w:b/>
                              </w:rPr>
                            </w:pPr>
                            <w:r>
                              <w:rPr/>
                              <w:t>Scarcity value</w:t>
                            </w:r>
                          </w:p>
                          <w:p>
                            <w:pPr>
                              <w:pStyle w:val="Normal"/>
                              <w:rPr>
                                <w:b/>
                              </w:rPr>
                            </w:pPr>
                            <w:r>
                              <w:rPr>
                                <w:b/>
                              </w:rPr>
                            </w:r>
                          </w:p>
                          <w:p>
                            <w:pPr>
                              <w:pStyle w:val="Normal"/>
                              <w:numPr>
                                <w:ilvl w:val="0"/>
                                <w:numId w:val="10"/>
                              </w:numPr>
                              <w:tabs>
                                <w:tab w:val="clear" w:pos="720"/>
                                <w:tab w:val="left" w:pos="180" w:leader="none"/>
                              </w:tabs>
                              <w:ind w:hanging="180" w:start="180" w:end="0"/>
                              <w:rPr>
                                <w:b/>
                              </w:rPr>
                            </w:pPr>
                            <w:r>
                              <w:rPr/>
                              <w:t>Risk</w:t>
                            </w:r>
                          </w:p>
                        </w:txbxContent>
                      </wps:txbx>
                      <wps:bodyPr anchor="t" lIns="91440" tIns="45720" rIns="91440" bIns="45720">
                        <a:noAutofit/>
                      </wps:bodyPr>
                    </wps:wsp>
                  </a:graphicData>
                </a:graphic>
              </wp:anchor>
            </w:drawing>
          </mc:Choice>
          <mc:Fallback>
            <w:pict>
              <v:rect fillcolor="#FFFFFF" strokecolor="#000000" strokeweight="0pt" style="position:absolute;rotation:-0;width:144.7pt;height:234.7pt;mso-wrap-distance-left:9.05pt;mso-wrap-distance-right:9.05pt;mso-wrap-distance-top:0pt;mso-wrap-distance-bottom:0pt;margin-top:-10.85pt;mso-position-vertical-relative:text;margin-left:305.65pt;mso-position-horizontal-relative:text">
                <v:textbox>
                  <w:txbxContent>
                    <w:p>
                      <w:pPr>
                        <w:pStyle w:val="BodyText3"/>
                        <w:pBdr>
                          <w:top w:val="single" w:sz="4" w:space="1" w:color="000000"/>
                          <w:bottom w:val="single" w:sz="4" w:space="1" w:color="000000"/>
                        </w:pBdr>
                        <w:rPr/>
                      </w:pPr>
                      <w:r>
                        <w:rPr/>
                        <w:t>Factors Affecting Prices</w:t>
                      </w:r>
                    </w:p>
                    <w:p>
                      <w:pPr>
                        <w:pStyle w:val="Normal"/>
                        <w:rPr>
                          <w:b/>
                        </w:rPr>
                      </w:pPr>
                      <w:r>
                        <w:rPr>
                          <w:b/>
                        </w:rPr>
                      </w:r>
                    </w:p>
                    <w:p>
                      <w:pPr>
                        <w:pStyle w:val="Normal"/>
                        <w:numPr>
                          <w:ilvl w:val="0"/>
                          <w:numId w:val="10"/>
                        </w:numPr>
                        <w:tabs>
                          <w:tab w:val="clear" w:pos="720"/>
                          <w:tab w:val="left" w:pos="180" w:leader="none"/>
                        </w:tabs>
                        <w:ind w:hanging="180" w:start="180" w:end="0"/>
                        <w:rPr>
                          <w:b/>
                        </w:rPr>
                      </w:pPr>
                      <w:r>
                        <w:rPr/>
                        <w:t>Current prices for fuel and emission offsets</w:t>
                      </w:r>
                    </w:p>
                    <w:p>
                      <w:pPr>
                        <w:pStyle w:val="Normal"/>
                        <w:rPr>
                          <w:b/>
                        </w:rPr>
                      </w:pPr>
                      <w:r>
                        <w:rPr>
                          <w:b/>
                        </w:rPr>
                      </w:r>
                    </w:p>
                    <w:p>
                      <w:pPr>
                        <w:pStyle w:val="Normal"/>
                        <w:numPr>
                          <w:ilvl w:val="0"/>
                          <w:numId w:val="10"/>
                        </w:numPr>
                        <w:tabs>
                          <w:tab w:val="clear" w:pos="720"/>
                          <w:tab w:val="left" w:pos="180" w:leader="none"/>
                        </w:tabs>
                        <w:ind w:hanging="180" w:start="180" w:end="0"/>
                        <w:rPr>
                          <w:b/>
                        </w:rPr>
                      </w:pPr>
                      <w:r>
                        <w:rPr/>
                        <w:t>Transmission and other system constraints</w:t>
                      </w:r>
                    </w:p>
                    <w:p>
                      <w:pPr>
                        <w:pStyle w:val="Normal"/>
                        <w:rPr>
                          <w:b/>
                        </w:rPr>
                      </w:pPr>
                      <w:r>
                        <w:rPr>
                          <w:b/>
                        </w:rPr>
                      </w:r>
                    </w:p>
                    <w:p>
                      <w:pPr>
                        <w:pStyle w:val="Normal"/>
                        <w:numPr>
                          <w:ilvl w:val="0"/>
                          <w:numId w:val="10"/>
                        </w:numPr>
                        <w:tabs>
                          <w:tab w:val="clear" w:pos="720"/>
                          <w:tab w:val="left" w:pos="180" w:leader="none"/>
                        </w:tabs>
                        <w:ind w:hanging="180" w:start="180" w:end="0"/>
                        <w:rPr>
                          <w:b/>
                        </w:rPr>
                      </w:pPr>
                      <w:r>
                        <w:rPr>
                          <w:color w:val="000000"/>
                        </w:rPr>
                        <w:t>Environmental considerations</w:t>
                      </w:r>
                    </w:p>
                    <w:p>
                      <w:pPr>
                        <w:pStyle w:val="Normal"/>
                        <w:rPr>
                          <w:b/>
                        </w:rPr>
                      </w:pPr>
                      <w:r>
                        <w:rPr>
                          <w:b/>
                        </w:rPr>
                      </w:r>
                    </w:p>
                    <w:p>
                      <w:pPr>
                        <w:pStyle w:val="Normal"/>
                        <w:numPr>
                          <w:ilvl w:val="0"/>
                          <w:numId w:val="10"/>
                        </w:numPr>
                        <w:tabs>
                          <w:tab w:val="clear" w:pos="720"/>
                          <w:tab w:val="left" w:pos="180" w:leader="none"/>
                        </w:tabs>
                        <w:ind w:hanging="180" w:start="180" w:end="0"/>
                        <w:rPr>
                          <w:b/>
                        </w:rPr>
                      </w:pPr>
                      <w:r>
                        <w:rPr/>
                        <w:t>Capacity value</w:t>
                      </w:r>
                    </w:p>
                    <w:p>
                      <w:pPr>
                        <w:pStyle w:val="Normal"/>
                        <w:rPr>
                          <w:b/>
                        </w:rPr>
                      </w:pPr>
                      <w:r>
                        <w:rPr>
                          <w:b/>
                        </w:rPr>
                      </w:r>
                    </w:p>
                    <w:p>
                      <w:pPr>
                        <w:pStyle w:val="Normal"/>
                        <w:numPr>
                          <w:ilvl w:val="0"/>
                          <w:numId w:val="10"/>
                        </w:numPr>
                        <w:tabs>
                          <w:tab w:val="clear" w:pos="720"/>
                          <w:tab w:val="left" w:pos="180" w:leader="none"/>
                        </w:tabs>
                        <w:ind w:hanging="180" w:start="180" w:end="0"/>
                        <w:rPr>
                          <w:b/>
                        </w:rPr>
                      </w:pPr>
                      <w:r>
                        <w:rPr/>
                        <w:t>Opportunity costs</w:t>
                      </w:r>
                    </w:p>
                    <w:p>
                      <w:pPr>
                        <w:pStyle w:val="Normal"/>
                        <w:rPr>
                          <w:b/>
                        </w:rPr>
                      </w:pPr>
                      <w:r>
                        <w:rPr>
                          <w:b/>
                        </w:rPr>
                      </w:r>
                    </w:p>
                    <w:p>
                      <w:pPr>
                        <w:pStyle w:val="Normal"/>
                        <w:numPr>
                          <w:ilvl w:val="0"/>
                          <w:numId w:val="10"/>
                        </w:numPr>
                        <w:tabs>
                          <w:tab w:val="clear" w:pos="720"/>
                          <w:tab w:val="left" w:pos="180" w:leader="none"/>
                        </w:tabs>
                        <w:ind w:hanging="180" w:start="180" w:end="0"/>
                        <w:rPr>
                          <w:b/>
                        </w:rPr>
                      </w:pPr>
                      <w:r>
                        <w:rPr/>
                        <w:t>Scarcity value</w:t>
                      </w:r>
                    </w:p>
                    <w:p>
                      <w:pPr>
                        <w:pStyle w:val="Normal"/>
                        <w:rPr>
                          <w:b/>
                        </w:rPr>
                      </w:pPr>
                      <w:r>
                        <w:rPr>
                          <w:b/>
                        </w:rPr>
                      </w:r>
                    </w:p>
                    <w:p>
                      <w:pPr>
                        <w:pStyle w:val="Normal"/>
                        <w:numPr>
                          <w:ilvl w:val="0"/>
                          <w:numId w:val="10"/>
                        </w:numPr>
                        <w:tabs>
                          <w:tab w:val="clear" w:pos="720"/>
                          <w:tab w:val="left" w:pos="180" w:leader="none"/>
                        </w:tabs>
                        <w:ind w:hanging="180" w:start="180" w:end="0"/>
                        <w:rPr>
                          <w:b/>
                        </w:rPr>
                      </w:pPr>
                      <w:r>
                        <w:rPr/>
                        <w:t>Risk</w:t>
                      </w:r>
                    </w:p>
                  </w:txbxContent>
                </v:textbox>
                <w10:wrap type="square"/>
              </v:rect>
            </w:pict>
          </mc:Fallback>
        </mc:AlternateContent>
      </w:r>
    </w:p>
    <w:p>
      <w:pPr>
        <w:pStyle w:val="Normal"/>
        <w:spacing w:lineRule="auto" w:line="360" w:before="0" w:after="120"/>
        <w:ind w:firstLine="360" w:end="0"/>
        <w:rPr>
          <w:color w:val="000000"/>
          <w:sz w:val="24"/>
        </w:rPr>
      </w:pPr>
      <w:r>
        <w:rPr>
          <w:sz w:val="24"/>
        </w:rPr>
        <w:tab/>
      </w:r>
      <w:r>
        <w:rPr>
          <w:b/>
          <w:sz w:val="24"/>
        </w:rPr>
        <w:t>Chief among the factors omitted by a marginal energy cost analysis are capacity value, opportunity costs</w:t>
      </w:r>
      <w:r>
        <w:rPr>
          <w:b/>
          <w:color w:val="000000"/>
          <w:sz w:val="24"/>
        </w:rPr>
        <w:t>, scarcity</w:t>
      </w:r>
      <w:r>
        <w:rPr>
          <w:b/>
          <w:sz w:val="24"/>
        </w:rPr>
        <w:t xml:space="preserve"> value, and risk.</w:t>
      </w:r>
      <w:r>
        <w:rPr>
          <w:sz w:val="24"/>
        </w:rPr>
        <w:t xml:space="preserve">  Until there is a generally accepted methodology for measuring these four factors, applications of price-based tests for market power are challenging and require significant consensus among the parties on appropriate methods and data sources.  Some marginal cost analyses omit even more fundamental factors such as transmission constraints and emission offsets even in peak load conditions.  In such cases generators are not exercising market power by withholding capacity.</w:t>
      </w:r>
    </w:p>
    <w:p>
      <w:pPr>
        <w:pStyle w:val="Normal"/>
        <w:spacing w:lineRule="auto" w:line="360" w:before="0" w:after="120"/>
        <w:ind w:firstLine="720" w:end="0"/>
        <w:rPr>
          <w:sz w:val="24"/>
        </w:rPr>
      </w:pPr>
      <w:r>
        <w:rPr>
          <w:sz w:val="24"/>
        </w:rPr>
        <w:t>With respect to capacity value, it is essential that such value be reflected so that new investment (new entry) is sufficient to ensure system reliability.  Marginal capacity value, which varies as generating capacity and load get out of balance, must be included if a marginal cost analysis is used.</w:t>
      </w:r>
    </w:p>
    <w:p>
      <w:pPr>
        <w:pStyle w:val="Normal"/>
        <w:spacing w:lineRule="auto" w:line="360" w:before="0" w:after="120"/>
        <w:ind w:firstLine="720" w:end="0"/>
        <w:rPr>
          <w:sz w:val="24"/>
        </w:rPr>
      </w:pPr>
      <w:r>
        <w:rPr>
          <w:sz w:val="24"/>
        </w:rPr>
        <w:t xml:space="preserve">Opportunity cost, in its many forms, can often explain why a bidder would bid above its marginal costs.  A bid might reflect the fact that the bidder has the opportunity to sell electricity at a higher price in another geographic market (in the Desert Southwest rather than in California, or PJM rather than New York, for example) where prevailing market conditions have created higher prices in the short-term.  Similarly, a bid could reflect the opportunity to sell in another product market (ancillary services rather than energy, for example). </w:t>
      </w:r>
    </w:p>
    <w:p>
      <w:pPr>
        <w:pStyle w:val="Normal"/>
        <w:spacing w:lineRule="auto" w:line="360" w:before="0" w:after="120"/>
        <w:ind w:firstLine="720" w:end="0"/>
        <w:rPr>
          <w:sz w:val="24"/>
        </w:rPr>
      </w:pPr>
      <w:r>
        <w:rPr>
          <w:sz w:val="24"/>
        </w:rPr>
        <w:t>Other situations in which opportunity costs matter include (a) times when it would be more profitable to resell natural gas supply rather than use it to generate electricity and (b) times when it would be more profitable to resell emission credits.  In these times, any price analysis must be sure to reflect current market prices for gas and offsets.  Opportunity cost should also be taken into account when a generator facing limitations on operating hours would find it better to wait to produce at another, more critical market period.</w:t>
      </w:r>
    </w:p>
    <w:p>
      <w:pPr>
        <w:pStyle w:val="Normal"/>
        <w:spacing w:lineRule="auto" w:line="360" w:before="0" w:after="120"/>
        <w:ind w:firstLine="720" w:end="0"/>
        <w:rPr>
          <w:sz w:val="24"/>
        </w:rPr>
      </w:pPr>
      <w:r>
        <w:rPr>
          <w:sz w:val="24"/>
        </w:rPr>
        <w:t>In addition, scarcity value must be reflected when total available generating capacity approaches or falls short of customer needs.  At that point, market prices must rise to the level necessary to curtail load.  In a shortage, prices reflect customer value, not supplier cost.</w:t>
      </w:r>
    </w:p>
    <w:p>
      <w:pPr>
        <w:pStyle w:val="Normal"/>
        <w:spacing w:lineRule="auto" w:line="360" w:before="0" w:after="120"/>
        <w:ind w:firstLine="720" w:end="0"/>
        <w:rPr>
          <w:sz w:val="24"/>
        </w:rPr>
      </w:pPr>
      <w:r>
        <w:rPr>
          <w:sz w:val="24"/>
        </w:rPr>
        <w:t xml:space="preserve">Finally, risk management comes into play because physical or financial commitments have been made in the face of uncertainty.  The decision on whether to run and what price to offer could reflect, for example, a commitment to assure physical reliability. </w:t>
      </w:r>
    </w:p>
    <w:p>
      <w:pPr>
        <w:pStyle w:val="Normal"/>
        <w:spacing w:lineRule="auto" w:line="360" w:before="0" w:after="120"/>
        <w:ind w:firstLine="720" w:end="0"/>
        <w:rPr>
          <w:sz w:val="24"/>
        </w:rPr>
      </w:pPr>
      <w:r>
        <w:rPr>
          <w:sz w:val="24"/>
        </w:rPr>
        <w:t>As already noted, it is also important to identify the relevant markets under review.  Defining the appropriate product, geographic and temporal markets is a crucial first step to any market power analysis.  Definition of a “market” that is too limited (or too expansive) will produce results which add little to our understanding of the underlying problem.  California and New York, for example, are both part of larger regional bulk power markets.  Similarly, certain ancillary services may be substitutes for one another or for energy; others may not.</w:t>
      </w:r>
    </w:p>
    <w:p>
      <w:pPr>
        <w:pStyle w:val="BodyTextIndent2"/>
        <w:ind w:firstLine="720" w:end="0"/>
        <w:rPr/>
      </w:pPr>
      <w:r>
        <w:rPr/>
        <w:t xml:space="preserve">If an inquiry into prices is warranted, the MMU should provide a transparent assessment in which the due process rights of the parties involved are protected.  Timeliness is also important and any prices the MMU intends to investigate should be flagged within a two-week window after the close of the trading month.  Investigations should also proceed promptly.  Included in the analysis should be a detailed assessment of how the prices for the hours in question are troubling.  It is only after this threshold assessment that particular prices bear further review, that a more detailed assessment </w:t>
      </w:r>
      <w:r>
        <w:rPr>
          <w:color w:val="000000"/>
        </w:rPr>
        <w:t xml:space="preserve">would be initiated, with a more in-depth investigation of the particular prices. </w:t>
      </w:r>
    </w:p>
    <w:p>
      <w:pPr>
        <w:pStyle w:val="Heading2"/>
        <w:numPr>
          <w:ilvl w:val="0"/>
          <w:numId w:val="8"/>
        </w:numPr>
        <w:spacing w:lineRule="auto" w:line="360" w:before="0" w:after="120"/>
        <w:rPr>
          <w:color w:val="000000"/>
        </w:rPr>
      </w:pPr>
      <w:r>
        <w:rPr>
          <w:rFonts w:eastAsia="Arial"/>
          <w:color w:val="000000"/>
        </w:rPr>
        <w:t xml:space="preserve"> </w:t>
      </w:r>
      <w:r>
        <w:rPr>
          <w:color w:val="000000"/>
        </w:rPr>
        <w:t xml:space="preserve">FURTHER ASSESSMENT </w:t>
      </w:r>
    </w:p>
    <w:p>
      <w:pPr>
        <w:pStyle w:val="Normal"/>
        <w:spacing w:lineRule="auto" w:line="360" w:before="0" w:after="120"/>
        <w:ind w:firstLine="720" w:end="0"/>
        <w:rPr/>
      </w:pPr>
      <w:r>
        <w:rPr>
          <w:b/>
          <w:sz w:val="24"/>
        </w:rPr>
        <w:t xml:space="preserve">If a particular situation continues to raise concerns after the initial assessment, and there is evidence that it has proven profitable to have </w:t>
      </w:r>
      <w:r>
        <w:rPr>
          <w:b/>
          <w:color w:val="000000"/>
          <w:sz w:val="24"/>
        </w:rPr>
        <w:t>improperly exercised</w:t>
      </w:r>
      <w:r>
        <w:rPr>
          <w:b/>
          <w:sz w:val="24"/>
        </w:rPr>
        <w:t xml:space="preserve"> market power and that the exercise of market power is sustainable, a further assessment would be undertaken for the questionable hours identified.</w:t>
      </w:r>
      <w:r>
        <w:rPr>
          <w:sz w:val="24"/>
        </w:rPr>
        <w:t xml:space="preserve">  This investigation would delve into specific indicators of potential market power abuse such as outage rates of a seller’s resources, failure </w:t>
      </w:r>
      <w:r>
        <w:rPr>
          <w:color w:val="000000"/>
          <w:sz w:val="24"/>
        </w:rPr>
        <w:t>to bid unsold MWs in the real-time market , and</w:t>
      </w:r>
      <w:r>
        <w:rPr>
          <w:sz w:val="24"/>
        </w:rPr>
        <w:t xml:space="preserve"> variations in bidding patterns for the same or similar resources. </w:t>
      </w:r>
    </w:p>
    <w:p>
      <w:pPr>
        <w:pStyle w:val="Normal"/>
        <w:spacing w:lineRule="auto" w:line="360" w:before="0" w:after="120"/>
        <w:ind w:firstLine="360" w:end="0"/>
        <w:rPr>
          <w:sz w:val="24"/>
        </w:rPr>
      </w:pPr>
      <w:r>
        <w:rPr>
          <w:sz w:val="24"/>
        </w:rPr>
        <w:tab/>
        <w:t>It is essential that the MMU prove such actions caused the price levels in question, and, again, that the higher prices were unreasonably profitable for the party alleged to have acted in an anti-competitive manner.</w:t>
      </w:r>
      <w:r>
        <mc:AlternateContent>
          <mc:Choice Requires="wps">
            <w:drawing>
              <wp:anchor behindDoc="0" distT="0" distB="0" distL="114935" distR="114935" simplePos="0" locked="0" layoutInCell="0" allowOverlap="1" relativeHeight="16">
                <wp:simplePos x="0" y="0"/>
                <wp:positionH relativeFrom="column">
                  <wp:posOffset>2967355</wp:posOffset>
                </wp:positionH>
                <wp:positionV relativeFrom="paragraph">
                  <wp:posOffset>635635</wp:posOffset>
                </wp:positionV>
                <wp:extent cx="2409190" cy="2701290"/>
                <wp:effectExtent l="0" t="0" r="0" b="0"/>
                <wp:wrapSquare wrapText="bothSides"/>
                <wp:docPr id="5" name="Frame4"/>
                <a:graphic xmlns:a="http://schemas.openxmlformats.org/drawingml/2006/main">
                  <a:graphicData uri="http://schemas.microsoft.com/office/word/2010/wordprocessingShape">
                    <wps:wsp>
                      <wps:cNvSpPr txBox="1"/>
                      <wps:spPr>
                        <a:xfrm>
                          <a:off x="0" y="0"/>
                          <a:ext cx="2409190" cy="2701290"/>
                        </a:xfrm>
                        <a:prstGeom prst="rect"/>
                        <a:solidFill>
                          <a:srgbClr val="FFFFFF"/>
                        </a:solidFill>
                        <a:ln w="9525">
                          <a:solidFill>
                            <a:srgbClr val="000000"/>
                          </a:solidFill>
                        </a:ln>
                      </wps:spPr>
                      <wps:txbx>
                        <w:txbxContent>
                          <w:p>
                            <w:pPr>
                              <w:pStyle w:val="Heading3"/>
                              <w:pBdr>
                                <w:top w:val="single" w:sz="4" w:space="1" w:color="000000"/>
                                <w:bottom w:val="single" w:sz="4" w:space="1" w:color="000000"/>
                              </w:pBdr>
                              <w:ind w:hanging="0" w:start="0"/>
                              <w:rPr/>
                            </w:pPr>
                            <w:r>
                              <w:rPr/>
                              <w:t xml:space="preserve">Key Steps </w:t>
                            </w:r>
                            <w:r>
                              <w:rPr>
                                <w:color w:val="000000"/>
                              </w:rPr>
                              <w:t>for Further Assessment</w:t>
                            </w:r>
                          </w:p>
                          <w:p>
                            <w:pPr>
                              <w:pStyle w:val="Normal"/>
                              <w:rPr>
                                <w:b/>
                              </w:rPr>
                            </w:pPr>
                            <w:r>
                              <w:rPr>
                                <w:b/>
                              </w:rPr>
                            </w:r>
                          </w:p>
                          <w:p>
                            <w:pPr>
                              <w:pStyle w:val="Normal"/>
                              <w:numPr>
                                <w:ilvl w:val="0"/>
                                <w:numId w:val="9"/>
                              </w:numPr>
                              <w:tabs>
                                <w:tab w:val="clear" w:pos="720"/>
                                <w:tab w:val="left" w:pos="180" w:leader="none"/>
                              </w:tabs>
                              <w:ind w:hanging="180" w:start="180" w:end="0"/>
                              <w:rPr>
                                <w:b/>
                              </w:rPr>
                            </w:pPr>
                            <w:r>
                              <w:rPr/>
                              <w:t>Investigate only hours in which the Level One screen is exceeded</w:t>
                            </w:r>
                          </w:p>
                          <w:p>
                            <w:pPr>
                              <w:pStyle w:val="Normal"/>
                              <w:rPr>
                                <w:b/>
                              </w:rPr>
                            </w:pPr>
                            <w:r>
                              <w:rPr>
                                <w:b/>
                              </w:rPr>
                            </w:r>
                          </w:p>
                          <w:p>
                            <w:pPr>
                              <w:pStyle w:val="Normal"/>
                              <w:numPr>
                                <w:ilvl w:val="0"/>
                                <w:numId w:val="9"/>
                              </w:numPr>
                              <w:tabs>
                                <w:tab w:val="clear" w:pos="720"/>
                                <w:tab w:val="left" w:pos="180" w:leader="none"/>
                              </w:tabs>
                              <w:ind w:hanging="180" w:start="180" w:end="0"/>
                              <w:rPr>
                                <w:b/>
                              </w:rPr>
                            </w:pPr>
                            <w:r>
                              <w:rPr/>
                              <w:t>Identify specific anti-competitive action and show that it caused higher prices</w:t>
                            </w:r>
                          </w:p>
                          <w:p>
                            <w:pPr>
                              <w:pStyle w:val="Normal"/>
                              <w:rPr>
                                <w:b/>
                              </w:rPr>
                            </w:pPr>
                            <w:r>
                              <w:rPr>
                                <w:b/>
                              </w:rPr>
                            </w:r>
                          </w:p>
                          <w:p>
                            <w:pPr>
                              <w:pStyle w:val="Normal"/>
                              <w:numPr>
                                <w:ilvl w:val="0"/>
                                <w:numId w:val="9"/>
                              </w:numPr>
                              <w:tabs>
                                <w:tab w:val="clear" w:pos="720"/>
                                <w:tab w:val="left" w:pos="180" w:leader="none"/>
                              </w:tabs>
                              <w:ind w:hanging="180" w:start="180" w:end="0"/>
                              <w:rPr>
                                <w:b/>
                              </w:rPr>
                            </w:pPr>
                            <w:r>
                              <w:rPr/>
                              <w:t>Demonstrate action was profitable</w:t>
                            </w:r>
                          </w:p>
                          <w:p>
                            <w:pPr>
                              <w:pStyle w:val="Normal"/>
                              <w:rPr>
                                <w:b/>
                              </w:rPr>
                            </w:pPr>
                            <w:r>
                              <w:rPr>
                                <w:b/>
                              </w:rPr>
                            </w:r>
                          </w:p>
                          <w:p>
                            <w:pPr>
                              <w:pStyle w:val="Normal"/>
                              <w:numPr>
                                <w:ilvl w:val="0"/>
                                <w:numId w:val="9"/>
                              </w:numPr>
                              <w:tabs>
                                <w:tab w:val="clear" w:pos="720"/>
                                <w:tab w:val="left" w:pos="180" w:leader="none"/>
                              </w:tabs>
                              <w:ind w:hanging="180" w:start="180" w:end="0"/>
                              <w:rPr>
                                <w:b/>
                              </w:rPr>
                            </w:pPr>
                            <w:r>
                              <w:rPr/>
                              <w:t>Define safe harbor documentation for outages, failing to bid, variations in bid behavior</w:t>
                            </w:r>
                          </w:p>
                          <w:p>
                            <w:pPr>
                              <w:pStyle w:val="Normal"/>
                              <w:rPr>
                                <w:b/>
                              </w:rPr>
                            </w:pPr>
                            <w:r>
                              <w:rPr>
                                <w:b/>
                              </w:rPr>
                            </w:r>
                          </w:p>
                          <w:p>
                            <w:pPr>
                              <w:pStyle w:val="Normal"/>
                              <w:numPr>
                                <w:ilvl w:val="0"/>
                                <w:numId w:val="9"/>
                              </w:numPr>
                              <w:tabs>
                                <w:tab w:val="clear" w:pos="720"/>
                                <w:tab w:val="left" w:pos="180" w:leader="none"/>
                              </w:tabs>
                              <w:ind w:hanging="180" w:start="180" w:end="0"/>
                              <w:rPr>
                                <w:b/>
                              </w:rPr>
                            </w:pPr>
                            <w:r>
                              <w:rPr>
                                <w:color w:val="000000"/>
                              </w:rPr>
                              <w:t>Focus on reliability, not availability</w:t>
                            </w:r>
                          </w:p>
                          <w:p>
                            <w:pPr>
                              <w:pStyle w:val="Normal"/>
                              <w:rPr>
                                <w:b/>
                              </w:rPr>
                            </w:pPr>
                            <w:r>
                              <w:rPr>
                                <w:b/>
                              </w:rPr>
                            </w:r>
                          </w:p>
                          <w:p>
                            <w:pPr>
                              <w:pStyle w:val="Normal"/>
                              <w:rPr>
                                <w:b/>
                              </w:rPr>
                            </w:pPr>
                            <w:r>
                              <w:rPr>
                                <w:b/>
                              </w:rPr>
                            </w:r>
                          </w:p>
                        </w:txbxContent>
                      </wps:txbx>
                      <wps:bodyPr anchor="t" lIns="91440" tIns="45720" rIns="91440" bIns="45720">
                        <a:noAutofit/>
                      </wps:bodyPr>
                    </wps:wsp>
                  </a:graphicData>
                </a:graphic>
              </wp:anchor>
            </w:drawing>
          </mc:Choice>
          <mc:Fallback>
            <w:pict>
              <v:rect fillcolor="#FFFFFF" strokecolor="#000000" strokeweight="0pt" style="position:absolute;rotation:-0;width:189.7pt;height:212.7pt;mso-wrap-distance-left:9.05pt;mso-wrap-distance-right:9.05pt;mso-wrap-distance-top:0pt;mso-wrap-distance-bottom:0pt;margin-top:50.05pt;mso-position-vertical-relative:text;margin-left:233.65pt;mso-position-horizontal-relative:text">
                <v:textbox>
                  <w:txbxContent>
                    <w:p>
                      <w:pPr>
                        <w:pStyle w:val="Heading3"/>
                        <w:pBdr>
                          <w:top w:val="single" w:sz="4" w:space="1" w:color="000000"/>
                          <w:bottom w:val="single" w:sz="4" w:space="1" w:color="000000"/>
                        </w:pBdr>
                        <w:ind w:hanging="0" w:start="0"/>
                        <w:rPr/>
                      </w:pPr>
                      <w:r>
                        <w:rPr/>
                        <w:t xml:space="preserve">Key Steps </w:t>
                      </w:r>
                      <w:r>
                        <w:rPr>
                          <w:color w:val="000000"/>
                        </w:rPr>
                        <w:t>for Further Assessment</w:t>
                      </w:r>
                    </w:p>
                    <w:p>
                      <w:pPr>
                        <w:pStyle w:val="Normal"/>
                        <w:rPr>
                          <w:b/>
                        </w:rPr>
                      </w:pPr>
                      <w:r>
                        <w:rPr>
                          <w:b/>
                        </w:rPr>
                      </w:r>
                    </w:p>
                    <w:p>
                      <w:pPr>
                        <w:pStyle w:val="Normal"/>
                        <w:numPr>
                          <w:ilvl w:val="0"/>
                          <w:numId w:val="9"/>
                        </w:numPr>
                        <w:tabs>
                          <w:tab w:val="clear" w:pos="720"/>
                          <w:tab w:val="left" w:pos="180" w:leader="none"/>
                        </w:tabs>
                        <w:ind w:hanging="180" w:start="180" w:end="0"/>
                        <w:rPr>
                          <w:b/>
                        </w:rPr>
                      </w:pPr>
                      <w:r>
                        <w:rPr/>
                        <w:t>Investigate only hours in which the Level One screen is exceeded</w:t>
                      </w:r>
                    </w:p>
                    <w:p>
                      <w:pPr>
                        <w:pStyle w:val="Normal"/>
                        <w:rPr>
                          <w:b/>
                        </w:rPr>
                      </w:pPr>
                      <w:r>
                        <w:rPr>
                          <w:b/>
                        </w:rPr>
                      </w:r>
                    </w:p>
                    <w:p>
                      <w:pPr>
                        <w:pStyle w:val="Normal"/>
                        <w:numPr>
                          <w:ilvl w:val="0"/>
                          <w:numId w:val="9"/>
                        </w:numPr>
                        <w:tabs>
                          <w:tab w:val="clear" w:pos="720"/>
                          <w:tab w:val="left" w:pos="180" w:leader="none"/>
                        </w:tabs>
                        <w:ind w:hanging="180" w:start="180" w:end="0"/>
                        <w:rPr>
                          <w:b/>
                        </w:rPr>
                      </w:pPr>
                      <w:r>
                        <w:rPr/>
                        <w:t>Identify specific anti-competitive action and show that it caused higher prices</w:t>
                      </w:r>
                    </w:p>
                    <w:p>
                      <w:pPr>
                        <w:pStyle w:val="Normal"/>
                        <w:rPr>
                          <w:b/>
                        </w:rPr>
                      </w:pPr>
                      <w:r>
                        <w:rPr>
                          <w:b/>
                        </w:rPr>
                      </w:r>
                    </w:p>
                    <w:p>
                      <w:pPr>
                        <w:pStyle w:val="Normal"/>
                        <w:numPr>
                          <w:ilvl w:val="0"/>
                          <w:numId w:val="9"/>
                        </w:numPr>
                        <w:tabs>
                          <w:tab w:val="clear" w:pos="720"/>
                          <w:tab w:val="left" w:pos="180" w:leader="none"/>
                        </w:tabs>
                        <w:ind w:hanging="180" w:start="180" w:end="0"/>
                        <w:rPr>
                          <w:b/>
                        </w:rPr>
                      </w:pPr>
                      <w:r>
                        <w:rPr/>
                        <w:t>Demonstrate action was profitable</w:t>
                      </w:r>
                    </w:p>
                    <w:p>
                      <w:pPr>
                        <w:pStyle w:val="Normal"/>
                        <w:rPr>
                          <w:b/>
                        </w:rPr>
                      </w:pPr>
                      <w:r>
                        <w:rPr>
                          <w:b/>
                        </w:rPr>
                      </w:r>
                    </w:p>
                    <w:p>
                      <w:pPr>
                        <w:pStyle w:val="Normal"/>
                        <w:numPr>
                          <w:ilvl w:val="0"/>
                          <w:numId w:val="9"/>
                        </w:numPr>
                        <w:tabs>
                          <w:tab w:val="clear" w:pos="720"/>
                          <w:tab w:val="left" w:pos="180" w:leader="none"/>
                        </w:tabs>
                        <w:ind w:hanging="180" w:start="180" w:end="0"/>
                        <w:rPr>
                          <w:b/>
                        </w:rPr>
                      </w:pPr>
                      <w:r>
                        <w:rPr/>
                        <w:t>Define safe harbor documentation for outages, failing to bid, variations in bid behavior</w:t>
                      </w:r>
                    </w:p>
                    <w:p>
                      <w:pPr>
                        <w:pStyle w:val="Normal"/>
                        <w:rPr>
                          <w:b/>
                        </w:rPr>
                      </w:pPr>
                      <w:r>
                        <w:rPr>
                          <w:b/>
                        </w:rPr>
                      </w:r>
                    </w:p>
                    <w:p>
                      <w:pPr>
                        <w:pStyle w:val="Normal"/>
                        <w:numPr>
                          <w:ilvl w:val="0"/>
                          <w:numId w:val="9"/>
                        </w:numPr>
                        <w:tabs>
                          <w:tab w:val="clear" w:pos="720"/>
                          <w:tab w:val="left" w:pos="180" w:leader="none"/>
                        </w:tabs>
                        <w:ind w:hanging="180" w:start="180" w:end="0"/>
                        <w:rPr>
                          <w:b/>
                        </w:rPr>
                      </w:pPr>
                      <w:r>
                        <w:rPr>
                          <w:color w:val="000000"/>
                        </w:rPr>
                        <w:t>Focus on reliability, not availability</w:t>
                      </w:r>
                    </w:p>
                    <w:p>
                      <w:pPr>
                        <w:pStyle w:val="Normal"/>
                        <w:rPr>
                          <w:b/>
                        </w:rPr>
                      </w:pPr>
                      <w:r>
                        <w:rPr>
                          <w:b/>
                        </w:rPr>
                      </w:r>
                    </w:p>
                    <w:p>
                      <w:pPr>
                        <w:pStyle w:val="Normal"/>
                        <w:rPr>
                          <w:b/>
                        </w:rPr>
                      </w:pPr>
                      <w:r>
                        <w:rPr>
                          <w:b/>
                        </w:rPr>
                      </w:r>
                    </w:p>
                  </w:txbxContent>
                </v:textbox>
                <w10:wrap type="square"/>
              </v:rect>
            </w:pict>
          </mc:Fallback>
        </mc:AlternateContent>
      </w:r>
    </w:p>
    <w:p>
      <w:pPr>
        <w:pStyle w:val="Normal"/>
        <w:spacing w:lineRule="auto" w:line="360" w:before="0" w:after="120"/>
        <w:ind w:firstLine="720" w:end="0"/>
        <w:rPr/>
      </w:pPr>
      <w:r>
        <w:rPr>
          <w:sz w:val="24"/>
        </w:rPr>
        <w:t xml:space="preserve">For example, it is important to note that failure to bid all of a generating unit’s capacity into the energy market, or physical </w:t>
      </w:r>
      <w:r>
        <w:rPr>
          <w:color w:val="000000"/>
          <w:sz w:val="24"/>
        </w:rPr>
        <w:t>withholding,  is not evidence per sé</w:t>
      </w:r>
      <w:r>
        <w:rPr>
          <w:sz w:val="24"/>
        </w:rPr>
        <w:t xml:space="preserve"> of market power abuse.  Numerous factors can lead a generator to fail to bid in a particular hour, including limits on total operating hours, limits on fuel or hydroelectric </w:t>
      </w:r>
      <w:r>
        <w:rPr>
          <w:color w:val="000000"/>
          <w:sz w:val="24"/>
        </w:rPr>
        <w:t>resources, environmental constraints, a need</w:t>
      </w:r>
      <w:r>
        <w:rPr>
          <w:sz w:val="24"/>
        </w:rPr>
        <w:t xml:space="preserve"> to hedge against possible outages in real time by other units, or maintenance requirements.  </w:t>
      </w:r>
    </w:p>
    <w:p>
      <w:pPr>
        <w:pStyle w:val="Normal"/>
        <w:spacing w:lineRule="auto" w:line="360" w:before="0" w:after="120"/>
        <w:ind w:firstLine="720" w:end="0"/>
        <w:rPr/>
      </w:pPr>
      <w:r>
        <w:rPr>
          <w:sz w:val="24"/>
        </w:rPr>
        <w:t>Additionally, accurate</w:t>
      </w:r>
      <w:r>
        <w:rPr>
          <w:color w:val="FF0000"/>
          <w:sz w:val="24"/>
        </w:rPr>
        <w:t xml:space="preserve"> </w:t>
      </w:r>
      <w:r>
        <w:rPr>
          <w:color w:val="000000"/>
          <w:sz w:val="24"/>
        </w:rPr>
        <w:t>and confidential status reports on unit availability must be provided by resource schedulers, and routine testing should ensure suppliers are accurately stating unit reliability.  If</w:t>
      </w:r>
      <w:r>
        <w:rPr>
          <w:sz w:val="24"/>
        </w:rPr>
        <w:t xml:space="preserve"> and when the Commission goes beyond such audits, it is essential that some safe harbor standards be set to document “valid” reasons for outages, failing to bid, and varied bidding patterns.  Again, such an investigation should ensure both confidentiality and due process and be completed in a timely manner.</w:t>
      </w:r>
    </w:p>
    <w:p>
      <w:pPr>
        <w:pStyle w:val="BodyText"/>
        <w:numPr>
          <w:ilvl w:val="0"/>
          <w:numId w:val="5"/>
        </w:numPr>
        <w:spacing w:lineRule="auto" w:line="360" w:before="120" w:after="120"/>
        <w:rPr/>
      </w:pPr>
      <w:r>
        <w:rPr/>
        <w:t xml:space="preserve">MITIGATION </w:t>
      </w:r>
    </w:p>
    <w:p>
      <w:pPr>
        <w:pStyle w:val="BodyText"/>
        <w:spacing w:lineRule="auto" w:line="360"/>
        <w:ind w:firstLine="720" w:end="0"/>
        <w:rPr>
          <w:b w:val="false"/>
          <w:color w:val="FF00FF"/>
        </w:rPr>
      </w:pPr>
      <w:r>
        <w:rPr>
          <w:b w:val="false"/>
        </w:rPr>
        <w:t xml:space="preserve">Once again, the </w:t>
      </w:r>
      <w:r>
        <w:rPr>
          <w:b w:val="false"/>
          <w:color w:val="000000"/>
        </w:rPr>
        <w:t xml:space="preserve">primary role of the market monitor should be to provide the diagnostic analysis and, when needed, recommend rule changes to the RTO’s Board of Directors in a collaborative manner to address anti-competitive behavior.  </w:t>
      </w:r>
      <w:r>
        <w:rPr>
          <w:color w:val="000000"/>
        </w:rPr>
        <w:t xml:space="preserve">The MMU cannot unilaterally impose rule changes on the market, and the Commission cannot delegate enforcement and rate changing authority to the MMU.  </w:t>
      </w:r>
      <w:r>
        <w:rPr>
          <w:b w:val="false"/>
          <w:color w:val="000000"/>
        </w:rPr>
        <w:t xml:space="preserve">That process should be a collaboration among the RTO, stakeholder participants, administered by the Commission.  The MMU cannot have authority to change or dictate prices or to enforce sanctions on market participants.  </w:t>
      </w:r>
    </w:p>
    <w:p>
      <w:pPr>
        <w:pStyle w:val="BodyText"/>
        <w:numPr>
          <w:ilvl w:val="0"/>
          <w:numId w:val="5"/>
        </w:numPr>
        <w:spacing w:lineRule="auto" w:line="360" w:before="120" w:after="120"/>
        <w:rPr/>
      </w:pPr>
      <w:r>
        <w:rPr/>
        <w:t>ENFORCEMENT</w:t>
      </w:r>
    </w:p>
    <w:p>
      <w:pPr>
        <w:pStyle w:val="Normal"/>
        <w:spacing w:lineRule="auto" w:line="360" w:before="0" w:after="120"/>
        <w:ind w:firstLine="720" w:end="0"/>
        <w:rPr/>
      </w:pPr>
      <w:r>
        <w:rPr>
          <w:sz w:val="24"/>
        </w:rPr>
        <w:t xml:space="preserve">Enforcement of any relevant laws must be left to the Commission and the Department of Justice (DOJ), depending on the circumstances at hand and on the specifics of the case.  The MMU should not be empowered to take enforcement action and should </w:t>
      </w:r>
      <w:r>
        <w:rPr>
          <w:color w:val="000000"/>
          <w:sz w:val="24"/>
        </w:rPr>
        <w:t>only recommend that enforcement action is needed if market power abuse is demonstrated</w:t>
      </w:r>
      <w:r>
        <w:rPr>
          <w:sz w:val="24"/>
        </w:rPr>
        <w:t xml:space="preserve">.  </w:t>
      </w:r>
    </w:p>
    <w:p>
      <w:pPr>
        <w:pStyle w:val="Normal"/>
        <w:spacing w:lineRule="auto" w:line="360" w:before="0" w:after="120"/>
        <w:ind w:firstLine="720" w:end="0"/>
        <w:rPr/>
      </w:pPr>
      <w:r>
        <w:rPr>
          <w:sz w:val="24"/>
        </w:rPr>
        <w:t>Both the DOJ and the Bureau of Economics of the Federal Trade Commission (FTC) share EPSA’s concerns.  The FTC Comments on the initial RTO NOPR were blunt: “First, the market monitoring organization should not be given enforcement powers…the conflict of interest issues inherent in self-monitoring by RTOs would be aggregated further if the market monitoring office had enforced powers as well.”</w:t>
      </w:r>
      <w:r>
        <w:rPr>
          <w:rStyle w:val="FootnoteCharacters"/>
          <w:rStyle w:val="FootnoteReference"/>
          <w:sz w:val="24"/>
        </w:rPr>
        <w:footnoteReference w:id="7"/>
      </w:r>
      <w:r>
        <w:rPr>
          <w:sz w:val="24"/>
        </w:rPr>
        <w:t xml:space="preserve">  The DOJ is equally clear:</w:t>
      </w:r>
    </w:p>
    <w:p>
      <w:pPr>
        <w:pStyle w:val="BlockText"/>
        <w:rPr>
          <w:sz w:val="24"/>
        </w:rPr>
      </w:pPr>
      <w:r>
        <w:rPr>
          <w:sz w:val="24"/>
        </w:rPr>
        <w:t>…</w:t>
      </w:r>
      <w:r>
        <w:rPr>
          <w:sz w:val="24"/>
        </w:rPr>
        <w:t>RTOs, as well as separate trading institutions like California’s Power Exchange, should have carefully circumscribed market monitoring functions.  Trading institutions should ensure market integrity and efficient functioning.  …Trading institutions should determine whether established procedures are working properly, and when problems with their own procedures are identified (i.e., when opportunities to game the system are identified), trading institutions should change those procedures.  And trading institutions also should play a role in information collection and dissemination.</w:t>
      </w:r>
    </w:p>
    <w:p>
      <w:pPr>
        <w:pStyle w:val="BlockText"/>
        <w:rPr>
          <w:sz w:val="24"/>
        </w:rPr>
      </w:pPr>
      <w:r>
        <w:rPr>
          <w:sz w:val="24"/>
        </w:rPr>
      </w:r>
    </w:p>
    <w:p>
      <w:pPr>
        <w:pStyle w:val="Normal"/>
        <w:ind w:start="720" w:end="720"/>
        <w:rPr>
          <w:sz w:val="24"/>
        </w:rPr>
      </w:pPr>
      <w:r>
        <w:rPr>
          <w:sz w:val="24"/>
        </w:rPr>
        <w:tab/>
        <w:t>The Department doubts, however, that RTOs and separate trading institutions should be responsible for detecting exercises of market power and making recommendations for correcting market power problems.  …The Department opposes any form of punishment being meted out by trading institutions for exercises of market power.</w:t>
      </w:r>
      <w:r>
        <w:rPr>
          <w:rStyle w:val="FootnoteCharacters"/>
          <w:rStyle w:val="FootnoteReference"/>
          <w:sz w:val="24"/>
        </w:rPr>
        <w:footnoteReference w:id="8"/>
      </w:r>
    </w:p>
    <w:p>
      <w:pPr>
        <w:pStyle w:val="Normal"/>
        <w:spacing w:lineRule="auto" w:line="360"/>
        <w:rPr>
          <w:sz w:val="24"/>
        </w:rPr>
      </w:pPr>
      <w:r>
        <w:rPr>
          <w:sz w:val="24"/>
        </w:rPr>
      </w:r>
    </w:p>
    <w:p>
      <w:pPr>
        <w:pStyle w:val="Normal"/>
        <w:spacing w:lineRule="auto" w:line="360"/>
        <w:ind w:firstLine="720" w:end="0"/>
        <w:rPr/>
      </w:pPr>
      <w:r>
        <w:rPr>
          <w:sz w:val="24"/>
        </w:rPr>
        <w:t xml:space="preserve">EPSA concurs – the role of MMUs in market monitoring should be limited to data collection and analysis, identifying potential rule changes, and reporting to the RTO and the </w:t>
      </w:r>
      <w:r>
        <w:rPr>
          <w:color w:val="000000"/>
          <w:sz w:val="24"/>
        </w:rPr>
        <w:t>appropriate Federal regulatory</w:t>
      </w:r>
      <w:r>
        <w:rPr>
          <w:sz w:val="24"/>
        </w:rPr>
        <w:t xml:space="preserve"> agencies.</w:t>
      </w:r>
    </w:p>
    <w:p>
      <w:pPr>
        <w:pStyle w:val="Heading2"/>
        <w:numPr>
          <w:ilvl w:val="0"/>
          <w:numId w:val="5"/>
        </w:numPr>
        <w:spacing w:lineRule="auto" w:line="360" w:before="120" w:after="120"/>
        <w:rPr/>
      </w:pPr>
      <w:r>
        <w:rPr/>
        <w:t>CONCLUSION</w:t>
      </w:r>
    </w:p>
    <w:p>
      <w:pPr>
        <w:pStyle w:val="Heading6"/>
        <w:spacing w:lineRule="auto" w:line="360"/>
        <w:ind w:hanging="0" w:start="0"/>
        <w:rPr/>
      </w:pPr>
      <w:r>
        <w:rPr/>
        <w:t xml:space="preserve">Creating an independent MMU, and clearly defining its role, is a challenge facing the Commission in many forums.  It is important that efforts focus first on creating large, well-functioning markets with stable and well-articulated rules that are designed to encourage entry and foster workable competition.  MMUs should be tasked first and foremost with evaluating the workings of these markets and providing early detection of any problems.  While further guidance from the Commission on the standards for market power measurement is needed, mitigation and enforcement must remain the responsibility of federal regulatory and law enforcement agencies.   </w:t>
      </w:r>
    </w:p>
    <w:p>
      <w:pPr>
        <w:pStyle w:val="Normal"/>
        <w:rPr/>
      </w:pPr>
      <w:r>
        <w:rPr/>
      </w:r>
    </w:p>
    <w:sectPr>
      <w:footerReference w:type="default" r:id="rId3"/>
      <w:footerReference w:type="first" r:id="rId4"/>
      <w:footnotePr>
        <w:numFmt w:val="decimal"/>
      </w:footnotePr>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Galliard">
    <w:altName w:val="Times New Roma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141605" cy="146050"/>
              <wp:effectExtent l="0" t="0" r="0" b="0"/>
              <wp:wrapSquare wrapText="bothSides"/>
              <wp:docPr id="6" name="Frame5"/>
              <a:graphic xmlns:a="http://schemas.openxmlformats.org/drawingml/2006/main">
                <a:graphicData uri="http://schemas.microsoft.com/office/word/2010/wordprocessingShape">
                  <wps:wsp>
                    <wps:cNvSpPr txBox="1"/>
                    <wps:spPr>
                      <a:xfrm>
                        <a:off x="0" y="0"/>
                        <a:ext cx="141605" cy="14605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1.15pt;height:11.5pt;mso-wrap-distance-left:0pt;mso-wrap-distance-right:0pt;mso-wrap-distance-top:0pt;mso-wrap-distance-bottom:0pt;margin-top:0.05pt;mso-position-vertical-relative:text;margin-left:210.4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u w:val="single"/>
        </w:rPr>
        <w:t>Regional Transmission Organizations</w:t>
      </w:r>
      <w:r>
        <w:rPr/>
        <w:t xml:space="preserve">, III FERC Stat. &amp; Regs. </w:t>
      </w:r>
      <w:r>
        <w:rPr>
          <w:rFonts w:cs="Tahoma" w:ascii="Tahoma" w:hAnsi="Tahoma"/>
        </w:rPr>
        <w:t>¶</w:t>
      </w:r>
      <w:r>
        <w:rPr/>
        <w:t xml:space="preserve"> 31,089 (Dec. 20, 1999) (Order No. 2000), at 31,146.</w:t>
      </w:r>
    </w:p>
  </w:footnote>
  <w:footnote w:id="3">
    <w:p>
      <w:pPr>
        <w:pStyle w:val="FootnoteText"/>
        <w:rPr/>
      </w:pPr>
      <w:r>
        <w:rPr>
          <w:rStyle w:val="FootnoteCharacters"/>
        </w:rPr>
        <w:footnoteRef/>
      </w:r>
      <w:r>
        <w:rPr/>
        <w:t xml:space="preserve">  </w:t>
      </w:r>
      <w:r>
        <w:rPr/>
        <w:t>Or, as in California, the Market Surveillance Committee (MSC)</w:t>
      </w:r>
    </w:p>
  </w:footnote>
  <w:footnote w:id="4">
    <w:p>
      <w:pPr>
        <w:pStyle w:val="BodyTextStyle"/>
        <w:spacing w:lineRule="auto" w:line="240"/>
        <w:ind w:hanging="0" w:end="0"/>
        <w:rPr/>
      </w:pPr>
      <w:r>
        <w:rPr>
          <w:rStyle w:val="FootnoteCharacters"/>
        </w:rPr>
        <w:footnoteRef/>
      </w:r>
      <w:r>
        <w:rPr>
          <w:rFonts w:cs="Arial" w:ascii="Arial" w:hAnsi="Arial"/>
        </w:rPr>
        <w:t xml:space="preserve"> </w:t>
      </w:r>
      <w:r>
        <w:rPr/>
        <w:t xml:space="preserve"> </w:t>
      </w:r>
      <w:r>
        <w:rPr>
          <w:rFonts w:cs="Arial" w:ascii="Arial" w:hAnsi="Arial"/>
          <w:sz w:val="20"/>
        </w:rPr>
        <w:t xml:space="preserve">EPSA is the national trade association representing competitive power suppliers, including independent power producers, merchant generators and power marketers.  EPSA members provide reliable, competitively priced electricity from environmentally responsible facilities in U.S. and global power markets.  EPSA seeks to bring the benefits of competition to all power customers. </w:t>
      </w:r>
    </w:p>
    <w:p>
      <w:pPr>
        <w:pStyle w:val="FootnoteText"/>
        <w:rPr>
          <w:rFonts w:ascii="Arial" w:hAnsi="Arial" w:cs="Arial"/>
          <w:sz w:val="20"/>
        </w:rPr>
      </w:pPr>
      <w:r>
        <w:rPr>
          <w:rFonts w:cs="Arial"/>
          <w:sz w:val="20"/>
        </w:rPr>
      </w:r>
    </w:p>
  </w:footnote>
  <w:footnote w:id="5">
    <w:p>
      <w:pPr>
        <w:pStyle w:val="FootnoteText"/>
        <w:rPr/>
      </w:pPr>
      <w:r>
        <w:rPr>
          <w:rStyle w:val="FootnoteCharacters"/>
        </w:rPr>
        <w:footnoteRef/>
      </w:r>
      <w:r>
        <w:rPr/>
        <w:t xml:space="preserve"> </w:t>
      </w:r>
      <w:r>
        <w:rPr/>
        <w:t xml:space="preserve">Gregory J. Werden, “Market Monitoring by Regional Transmission Organizations:  What Role Should They Play in Detecting and Mitigating Market Power?”, </w:t>
      </w:r>
      <w:r>
        <w:rPr>
          <w:i/>
        </w:rPr>
        <w:t>The Electricity Journal</w:t>
      </w:r>
      <w:r>
        <w:rPr/>
        <w:t>, October 2000, at 29.</w:t>
      </w:r>
    </w:p>
  </w:footnote>
  <w:footnote w:id="6">
    <w:p>
      <w:pPr>
        <w:pStyle w:val="FootnoteText"/>
        <w:rPr/>
      </w:pPr>
      <w:r>
        <w:rPr>
          <w:rStyle w:val="FootnoteCharacters"/>
        </w:rPr>
        <w:footnoteRef/>
      </w:r>
      <w:r>
        <w:rPr/>
        <w:t xml:space="preserve"> </w:t>
      </w:r>
      <w:r>
        <w:rPr>
          <w:i/>
        </w:rPr>
        <w:t>Ibid</w:t>
      </w:r>
      <w:r>
        <w:rPr/>
        <w:t>. at 27, at 29, and at 27 and at 28.</w:t>
      </w:r>
    </w:p>
  </w:footnote>
  <w:footnote w:id="7">
    <w:p>
      <w:pPr>
        <w:pStyle w:val="FootnoteText"/>
        <w:rPr/>
      </w:pPr>
      <w:r>
        <w:rPr>
          <w:rStyle w:val="FootnoteCharacters"/>
        </w:rPr>
        <w:footnoteRef/>
      </w:r>
      <w:r>
        <w:rPr/>
        <w:t xml:space="preserve">  </w:t>
      </w:r>
      <w:r>
        <w:rPr/>
        <w:t>Initial Comments of the Bureau of Economics of the Federal Trade Commission, Regional Transmission Organizations, Docket No. RM99-2-000.  Filed August 16, 1999, at 24.</w:t>
      </w:r>
    </w:p>
  </w:footnote>
  <w:footnote w:id="8">
    <w:p>
      <w:pPr>
        <w:pStyle w:val="FootnoteText"/>
        <w:rPr/>
      </w:pPr>
      <w:r>
        <w:rPr>
          <w:rStyle w:val="FootnoteCharacters"/>
        </w:rPr>
        <w:footnoteRef/>
      </w:r>
      <w:r>
        <w:rPr/>
        <w:t xml:space="preserve">  </w:t>
      </w:r>
      <w:r>
        <w:rPr/>
        <w:t>Initial Comments of the Department of Justice, Regional Transmission Organizations, Docket No. RM99-2-000.  Filed August 17, 1999, at 5-6.</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080"/>
        </w:tabs>
        <w:ind w:start="1080" w:hanging="360"/>
      </w:pPr>
      <w:rPr>
        <w:rFonts w:ascii="Symbol" w:hAnsi="Symbol" w:cs="Symbol" w:hint="default"/>
        <w:sz w:val="16"/>
      </w:rPr>
    </w:lvl>
  </w:abstractNum>
  <w:abstractNum w:abstractNumId="3">
    <w:lvl w:ilvl="0">
      <w:start w:val="3"/>
      <w:numFmt w:val="decimal"/>
      <w:lvlText w:val="%1."/>
      <w:lvlJc w:val="start"/>
      <w:pPr>
        <w:tabs>
          <w:tab w:val="num" w:pos="720"/>
        </w:tabs>
        <w:ind w:start="720" w:hanging="720"/>
      </w:pPr>
      <w:rPr/>
    </w:lvl>
  </w:abstractNum>
  <w:abstractNum w:abstractNumId="4">
    <w:lvl w:ilvl="0">
      <w:start w:val="1"/>
      <w:numFmt w:val="bullet"/>
      <w:lvlText w:val=""/>
      <w:lvlJc w:val="start"/>
      <w:pPr>
        <w:tabs>
          <w:tab w:val="num" w:pos="1080"/>
        </w:tabs>
        <w:ind w:start="1080" w:hanging="360"/>
      </w:pPr>
      <w:rPr>
        <w:rFonts w:ascii="Wingdings" w:hAnsi="Wingdings" w:cs="Wingdings" w:hint="default"/>
        <w:sz w:val="16"/>
      </w:rPr>
    </w:lvl>
  </w:abstractNum>
  <w:abstractNum w:abstractNumId="5">
    <w:lvl w:ilvl="0">
      <w:start w:val="1"/>
      <w:numFmt w:val="upperRoman"/>
      <w:lvlText w:val="%1."/>
      <w:lvlJc w:val="start"/>
      <w:pPr>
        <w:tabs>
          <w:tab w:val="num" w:pos="720"/>
        </w:tabs>
        <w:ind w:start="720" w:hanging="720"/>
      </w:pPr>
      <w:rPr/>
    </w:lvl>
  </w:abstractNum>
  <w:abstractNum w:abstractNumId="6">
    <w:lvl w:ilvl="0">
      <w:start w:val="1"/>
      <w:numFmt w:val="bullet"/>
      <w:lvlText w:val=""/>
      <w:lvlJc w:val="start"/>
      <w:pPr>
        <w:tabs>
          <w:tab w:val="num" w:pos="1080"/>
        </w:tabs>
        <w:ind w:start="1080" w:hanging="360"/>
      </w:pPr>
      <w:rPr>
        <w:rFonts w:ascii="Symbol" w:hAnsi="Symbol" w:cs="Symbol" w:hint="default"/>
        <w:sz w:val="16"/>
      </w:rPr>
    </w:lvl>
  </w:abstractNum>
  <w:abstractNum w:abstractNumId="7">
    <w:lvl w:ilvl="0">
      <w:start w:val="1"/>
      <w:numFmt w:val="upperLetter"/>
      <w:lvlText w:val="%1."/>
      <w:lvlJc w:val="start"/>
      <w:pPr>
        <w:tabs>
          <w:tab w:val="num" w:pos="720"/>
        </w:tabs>
        <w:ind w:start="720" w:hanging="360"/>
      </w:pPr>
      <w:rPr/>
    </w:lvl>
  </w:abstractNum>
  <w:abstractNum w:abstractNumId="8">
    <w:lvl w:ilvl="0">
      <w:start w:val="1"/>
      <w:numFmt w:val="upperLetter"/>
      <w:lvlText w:val="%1."/>
      <w:lvlJc w:val="start"/>
      <w:pPr>
        <w:tabs>
          <w:tab w:val="num" w:pos="720"/>
        </w:tabs>
        <w:ind w:start="720" w:hanging="360"/>
      </w:pPr>
      <w:rPr/>
    </w:lvl>
  </w:abstractNum>
  <w:abstractNum w:abstractNumId="9">
    <w:lvl w:ilvl="0">
      <w:start w:val="1"/>
      <w:numFmt w:val="bullet"/>
      <w:lvlText w:val=""/>
      <w:lvlJc w:val="start"/>
      <w:pPr>
        <w:tabs>
          <w:tab w:val="num" w:pos="1080"/>
        </w:tabs>
        <w:ind w:start="1080" w:hanging="360"/>
      </w:pPr>
      <w:rPr>
        <w:rFonts w:ascii="Symbol" w:hAnsi="Symbol" w:cs="Symbol" w:hint="default"/>
        <w:sz w:val="16"/>
      </w:rPr>
    </w:lvl>
  </w:abstractNum>
  <w:abstractNum w:abstractNumId="10">
    <w:lvl w:ilvl="0">
      <w:start w:val="1"/>
      <w:numFmt w:val="bullet"/>
      <w:lvlText w:val=""/>
      <w:lvlJc w:val="start"/>
      <w:pPr>
        <w:tabs>
          <w:tab w:val="num" w:pos="1080"/>
        </w:tabs>
        <w:ind w:start="1080" w:hanging="360"/>
      </w:pPr>
      <w:rPr>
        <w:rFonts w:ascii="Symbol" w:hAnsi="Symbol" w:cs="Symbol" w:hint="default"/>
        <w:sz w:val="16"/>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bidi="ar-SA" w:eastAsia="zh-CN"/>
    </w:rPr>
  </w:style>
  <w:style w:type="paragraph" w:styleId="Heading1">
    <w:name w:val="heading 1"/>
    <w:basedOn w:val="Normal"/>
    <w:next w:val="Normal"/>
    <w:qFormat/>
    <w:pPr>
      <w:keepNext w:val="true"/>
      <w:numPr>
        <w:ilvl w:val="0"/>
        <w:numId w:val="1"/>
      </w:numPr>
      <w:spacing w:lineRule="auto" w:line="480"/>
      <w:jc w:val="center"/>
      <w:outlineLvl w:val="0"/>
    </w:pPr>
    <w:rPr>
      <w:b/>
      <w:sz w:val="28"/>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jc w:val="center"/>
      <w:outlineLvl w:val="2"/>
    </w:pPr>
    <w:rPr>
      <w:b/>
      <w:bCs/>
    </w:rPr>
  </w:style>
  <w:style w:type="paragraph" w:styleId="Heading4">
    <w:name w:val="heading 4"/>
    <w:basedOn w:val="Normal"/>
    <w:next w:val="Normal"/>
    <w:qFormat/>
    <w:pPr>
      <w:keepNext w:val="true"/>
      <w:numPr>
        <w:ilvl w:val="3"/>
        <w:numId w:val="1"/>
      </w:numPr>
      <w:pBdr>
        <w:top w:val="single" w:sz="4" w:space="1" w:color="000000"/>
      </w:pBdr>
      <w:outlineLvl w:val="3"/>
    </w:pPr>
    <w:rPr>
      <w:rFonts w:ascii="CG Times" w:hAnsi="CG Times" w:cs="CG Times"/>
      <w:sz w:val="24"/>
      <w:u w:val="single"/>
    </w:rPr>
  </w:style>
  <w:style w:type="paragraph" w:styleId="Heading5">
    <w:name w:val="heading 5"/>
    <w:basedOn w:val="Normal"/>
    <w:next w:val="Normal"/>
    <w:qFormat/>
    <w:pPr>
      <w:keepNext w:val="true"/>
      <w:numPr>
        <w:ilvl w:val="4"/>
        <w:numId w:val="1"/>
      </w:numPr>
      <w:spacing w:lineRule="auto" w:line="360"/>
      <w:jc w:val="center"/>
      <w:outlineLvl w:val="4"/>
    </w:pPr>
    <w:rPr>
      <w:b/>
      <w:color w:val="FF0000"/>
    </w:rPr>
  </w:style>
  <w:style w:type="paragraph" w:styleId="Heading6">
    <w:name w:val="heading 6"/>
    <w:basedOn w:val="Normal"/>
    <w:next w:val="Normal"/>
    <w:qFormat/>
    <w:pPr>
      <w:keepNext w:val="true"/>
      <w:numPr>
        <w:ilvl w:val="5"/>
        <w:numId w:val="1"/>
      </w:numPr>
      <w:outlineLvl w:val="5"/>
    </w:pPr>
    <w:rPr>
      <w:sz w:val="24"/>
    </w:rPr>
  </w:style>
  <w:style w:type="character" w:styleId="WW8Num1z0">
    <w:name w:val="WW8Num1z0"/>
    <w:qFormat/>
    <w:rPr>
      <w:rFonts w:ascii="Wingdings" w:hAnsi="Wingdings" w:cs="Wingdings"/>
    </w:rPr>
  </w:style>
  <w:style w:type="character" w:styleId="WW8Num2z0">
    <w:name w:val="WW8Num2z0"/>
    <w:qFormat/>
    <w:rPr/>
  </w:style>
  <w:style w:type="character" w:styleId="WW8Num3z0">
    <w:name w:val="WW8Num3z0"/>
    <w:qFormat/>
    <w:rPr>
      <w:rFonts w:ascii="Symbol" w:hAnsi="Symbol" w:cs="Symbol"/>
      <w:sz w:val="16"/>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Symbol" w:hAnsi="Symbol" w:cs="Symbol"/>
      <w:sz w:val="16"/>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style>
  <w:style w:type="character" w:styleId="WW8Num6z0">
    <w:name w:val="WW8Num6z0"/>
    <w:qFormat/>
    <w:rPr>
      <w:rFonts w:ascii="Wingdings" w:hAnsi="Wingdings" w:cs="Wingdings"/>
      <w:sz w:val="16"/>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Symbol" w:hAnsi="Symbol" w:cs="Symbol"/>
      <w:sz w:val="16"/>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Symbol" w:hAnsi="Symbol" w:cs="Symbol"/>
      <w:sz w:val="16"/>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Symbol" w:hAnsi="Symbol" w:cs="Symbol"/>
      <w:color w:val="auto"/>
      <w:sz w:val="28"/>
    </w:rPr>
  </w:style>
  <w:style w:type="character" w:styleId="WW8Num10z0">
    <w:name w:val="WW8Num10z0"/>
    <w:qFormat/>
    <w:rPr>
      <w:rFonts w:ascii="Symbol" w:hAnsi="Symbol" w:cs="Symbol"/>
      <w:sz w:val="16"/>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rFonts w:ascii="Symbol" w:hAnsi="Symbol" w:cs="Symbol"/>
      <w:color w:val="auto"/>
      <w:sz w:val="28"/>
    </w:rPr>
  </w:style>
  <w:style w:type="character" w:styleId="WW8Num12z0">
    <w:name w:val="WW8Num12z0"/>
    <w:qFormat/>
    <w:rPr/>
  </w:style>
  <w:style w:type="character" w:styleId="WW8Num13z0">
    <w:name w:val="WW8Num13z0"/>
    <w:qFormat/>
    <w:rPr>
      <w:rFonts w:ascii="Symbol" w:hAnsi="Symbol" w:cs="Symbol"/>
      <w:sz w:val="16"/>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Symbol" w:hAnsi="Symbol" w:cs="Symbol"/>
      <w:sz w:val="16"/>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Symbol" w:hAnsi="Symbol" w:cs="Symbol"/>
      <w:sz w:val="12"/>
    </w:rPr>
  </w:style>
  <w:style w:type="character" w:styleId="WW8Num19z0">
    <w:name w:val="WW8Num19z0"/>
    <w:qFormat/>
    <w:rPr>
      <w:rFonts w:ascii="Symbol" w:hAnsi="Symbol" w:cs="Symbol"/>
      <w:sz w:val="16"/>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b/>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sz w:val="24"/>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ind w:hanging="0" w:start="720" w:end="720"/>
    </w:pPr>
    <w:rPr/>
  </w:style>
  <w:style w:type="paragraph" w:styleId="Header">
    <w:name w:val="header"/>
    <w:basedOn w:val="Normal"/>
    <w:pPr>
      <w:tabs>
        <w:tab w:val="clear" w:pos="720"/>
        <w:tab w:val="center" w:pos="4320" w:leader="none"/>
        <w:tab w:val="right" w:pos="8640" w:leader="none"/>
      </w:tabs>
    </w:pPr>
    <w:rPr/>
  </w:style>
  <w:style w:type="paragraph" w:styleId="BodyText3">
    <w:name w:val="Body Text 3"/>
    <w:basedOn w:val="Normal"/>
    <w:qFormat/>
    <w:pPr>
      <w:jc w:val="center"/>
    </w:pPr>
    <w:rPr>
      <w:b/>
      <w:bCs/>
    </w:rPr>
  </w:style>
  <w:style w:type="paragraph" w:styleId="BodyTextIndent">
    <w:name w:val="Body Text Indent"/>
    <w:basedOn w:val="Normal"/>
    <w:pPr>
      <w:spacing w:lineRule="auto" w:line="360" w:before="0" w:after="120"/>
      <w:ind w:firstLine="360" w:start="0" w:end="0"/>
    </w:pPr>
    <w:rPr>
      <w:color w:val="FF0000"/>
      <w:sz w:val="24"/>
    </w:rPr>
  </w:style>
  <w:style w:type="paragraph" w:styleId="BodyTextIndent2">
    <w:name w:val="Body Text Indent 2"/>
    <w:basedOn w:val="Normal"/>
    <w:qFormat/>
    <w:pPr>
      <w:spacing w:lineRule="auto" w:line="360" w:before="0" w:after="120"/>
      <w:ind w:firstLine="360" w:start="0" w:end="0"/>
    </w:pPr>
    <w:rPr>
      <w:sz w:val="24"/>
    </w:rPr>
  </w:style>
  <w:style w:type="paragraph" w:styleId="BodyTextIndent3">
    <w:name w:val="Body Text Indent 3"/>
    <w:basedOn w:val="Normal"/>
    <w:qFormat/>
    <w:pPr>
      <w:autoSpaceDE w:val="false"/>
      <w:ind w:hanging="720" w:start="720" w:end="0"/>
      <w:jc w:val="both"/>
    </w:pPr>
    <w:rPr>
      <w:color w:val="000000"/>
      <w:sz w:val="24"/>
    </w:rPr>
  </w:style>
  <w:style w:type="paragraph" w:styleId="BodyTextStyle">
    <w:name w:val="Body Text Style"/>
    <w:basedOn w:val="Normal"/>
    <w:qFormat/>
    <w:pPr>
      <w:spacing w:lineRule="exact" w:line="520"/>
      <w:ind w:firstLine="1080" w:start="0" w:end="0"/>
    </w:pPr>
    <w:rPr>
      <w:rFonts w:ascii="Galliard;Times New Roman" w:hAnsi="Galliard;Times New Roman" w:cs="Galliard;Times New Roman"/>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2001-02-09T12:45:00Z</dcterms:created>
  <dc:creator>Jackie Gallagher</dc:creator>
  <dc:description/>
  <dc:language>en-CA</dc:language>
  <cp:lastModifiedBy>Jackie Gallagher</cp:lastModifiedBy>
  <cp:lastPrinted>2001-02-08T19:13:00Z</cp:lastPrinted>
  <dcterms:modified xsi:type="dcterms:W3CDTF">2001-02-09T13:32:00Z</dcterms:modified>
  <cp:revision>8</cp:revision>
  <dc:subject/>
  <dc:title/>
</cp:coreProperties>
</file>