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MARKET MONITORING:</w:t>
      </w:r>
    </w:p>
    <w:p>
      <w:pPr>
        <w:pStyle w:val="Normal"/>
        <w:jc w:val="center"/>
        <w:rPr>
          <w:b/>
          <w:sz w:val="28"/>
        </w:rPr>
      </w:pPr>
      <w:r>
        <w:rPr>
          <w:b/>
          <w:sz w:val="28"/>
        </w:rPr>
        <w:t>RULES OF THE ROAD</w:t>
      </w:r>
    </w:p>
    <w:p>
      <w:pPr>
        <w:pStyle w:val="Normal"/>
        <w:rPr>
          <w:b/>
          <w:sz w:val="28"/>
        </w:rPr>
      </w:pPr>
      <w:r>
        <w:rPr>
          <w:b/>
          <w:sz w:val="28"/>
        </w:rPr>
      </w:r>
    </w:p>
    <w:p>
      <w:pPr>
        <w:pStyle w:val="Normal"/>
        <w:rPr>
          <w:b/>
        </w:rPr>
      </w:pPr>
      <w:r>
        <w:rPr>
          <w:b/>
        </w:rPr>
        <w:t>Guiding Principles:</w:t>
      </w:r>
    </w:p>
    <w:p>
      <w:pPr>
        <w:pStyle w:val="Normal"/>
        <w:rPr>
          <w:b/>
        </w:rPr>
      </w:pPr>
      <w:r>
        <w:rPr>
          <w:b/>
        </w:rPr>
      </w:r>
    </w:p>
    <w:p>
      <w:pPr>
        <w:pStyle w:val="Normal"/>
        <w:numPr>
          <w:ilvl w:val="0"/>
          <w:numId w:val="1"/>
        </w:numPr>
        <w:rPr/>
      </w:pPr>
      <w:r>
        <w:rPr/>
        <w:t>Anticompetitive behavior is disruptive to workably competitive markets and must be identified and remedied.</w:t>
      </w:r>
    </w:p>
    <w:p>
      <w:pPr>
        <w:pStyle w:val="Normal"/>
        <w:numPr>
          <w:ilvl w:val="0"/>
          <w:numId w:val="1"/>
        </w:numPr>
        <w:rPr/>
      </w:pPr>
      <w:r>
        <w:rPr/>
        <w:t>The unique features of the California market do not require a unique approach to market monitoring.  California should not replicate the disruptive experiences with market intervention experienced until recently in the eastern ISO markets.</w:t>
      </w:r>
    </w:p>
    <w:p>
      <w:pPr>
        <w:pStyle w:val="Normal"/>
        <w:numPr>
          <w:ilvl w:val="0"/>
          <w:numId w:val="1"/>
        </w:numPr>
        <w:rPr/>
      </w:pPr>
      <w:r>
        <w:rPr/>
        <w:t>Standards to identify and remedy anticompetitive behavior must be clearly identified and consistently applied.  Application of traditional HHI standards do not show the California market to be highly concentrated.</w:t>
      </w:r>
    </w:p>
    <w:p>
      <w:pPr>
        <w:pStyle w:val="Normal"/>
        <w:numPr>
          <w:ilvl w:val="0"/>
          <w:numId w:val="1"/>
        </w:numPr>
        <w:rPr/>
      </w:pPr>
      <w:r>
        <w:rPr/>
        <w:t>PriceS above marginal cost are not evidence of market power.  Numerous factors can lead bidders to bid above or below their marginal costs in a given hour.</w:t>
      </w:r>
    </w:p>
    <w:p>
      <w:pPr>
        <w:pStyle w:val="Normal"/>
        <w:numPr>
          <w:ilvl w:val="0"/>
          <w:numId w:val="1"/>
        </w:numPr>
        <w:rPr/>
      </w:pPr>
      <w:r>
        <w:rPr/>
        <w:t xml:space="preserve">Single-price auctions should be used to set the market clearing price only for a small residual market.  Freed of regulatory and political constraints, most buying and selling should occur through negotiated bilateral contracts.  For the remaining short-term markets, accurate price signals are needed to encourage investment in new generation and demand-side management, as well as encourage use of appropriate hedging mechanisms.  </w:t>
      </w:r>
    </w:p>
    <w:p>
      <w:pPr>
        <w:pStyle w:val="Normal"/>
        <w:rPr/>
      </w:pPr>
      <w:r>
        <w:rPr/>
      </w:r>
    </w:p>
    <w:p>
      <w:pPr>
        <w:pStyle w:val="Normal"/>
        <w:rPr>
          <w:b/>
        </w:rPr>
      </w:pPr>
      <w:r>
        <w:rPr>
          <w:b/>
        </w:rPr>
        <w:t>Specific Proposals:</w:t>
      </w:r>
    </w:p>
    <w:p>
      <w:pPr>
        <w:pStyle w:val="Normal"/>
        <w:rPr>
          <w:b/>
        </w:rPr>
      </w:pPr>
      <w:r>
        <w:rPr>
          <w:b/>
        </w:rPr>
      </w:r>
    </w:p>
    <w:p>
      <w:pPr>
        <w:pStyle w:val="Normal"/>
        <w:rPr>
          <w:b/>
        </w:rPr>
      </w:pPr>
      <w:r>
        <w:rPr>
          <w:b/>
        </w:rPr>
        <w:t>Three-tier price screen (safe harbor)</w:t>
      </w:r>
    </w:p>
    <w:p>
      <w:pPr>
        <w:pStyle w:val="Normal"/>
        <w:rPr/>
      </w:pPr>
      <w:r>
        <w:rPr/>
      </w:r>
    </w:p>
    <w:p>
      <w:pPr>
        <w:pStyle w:val="Normal"/>
        <w:numPr>
          <w:ilvl w:val="0"/>
          <w:numId w:val="2"/>
        </w:numPr>
        <w:rPr/>
      </w:pPr>
      <w:r>
        <w:rPr/>
        <w:t>TIER 1:  Prices must be high enough to keep the lights on and incent new investment.  Price must include both a capacity component and an energy component.  As proxy prices:</w:t>
      </w:r>
    </w:p>
    <w:p>
      <w:pPr>
        <w:pStyle w:val="Normal"/>
        <w:numPr>
          <w:ilvl w:val="0"/>
          <w:numId w:val="2"/>
        </w:numPr>
        <w:tabs>
          <w:tab w:val="clear" w:pos="720"/>
        </w:tabs>
        <w:ind w:hanging="360" w:start="720" w:end="0"/>
        <w:rPr/>
      </w:pPr>
      <w:r>
        <w:rPr/>
        <w:t>The price paid by the CAL ISO for available capacity for summer 2001 ($250) should set the capacity payment.</w:t>
      </w:r>
    </w:p>
    <w:p>
      <w:pPr>
        <w:pStyle w:val="Normal"/>
        <w:numPr>
          <w:ilvl w:val="0"/>
          <w:numId w:val="2"/>
        </w:numPr>
        <w:tabs>
          <w:tab w:val="clear" w:pos="720"/>
        </w:tabs>
        <w:ind w:hanging="360" w:start="720" w:end="0"/>
        <w:rPr/>
      </w:pPr>
      <w:r>
        <w:rPr/>
        <w:t xml:space="preserve">The energy payment should be a formula based on the price of gas and emission credits, factored on the heat rate of the least efficient plant likely to be run (i.e., 12,000 to 13,000).  </w:t>
      </w:r>
      <w:r>
        <w:rPr>
          <w:b/>
        </w:rPr>
        <w:t>[The number is likely to be between $400 and $500]</w:t>
      </w:r>
    </w:p>
    <w:p>
      <w:pPr>
        <w:pStyle w:val="Normal"/>
        <w:numPr>
          <w:ilvl w:val="0"/>
          <w:numId w:val="2"/>
        </w:numPr>
        <w:rPr/>
      </w:pPr>
      <w:r>
        <w:rPr/>
        <w:t>TIER 2:  Opportunity cost in adjacent markets.</w:t>
      </w:r>
    </w:p>
    <w:p>
      <w:pPr>
        <w:pStyle w:val="Normal"/>
        <w:numPr>
          <w:ilvl w:val="0"/>
          <w:numId w:val="2"/>
        </w:numPr>
        <w:rPr/>
      </w:pPr>
      <w:r>
        <w:rPr/>
        <w:t>TIER 3:  During times of shortage (i.e., Cal ISO emergencies?), scarcity value should be incorporated.  As a proxy, the capacity price should reflect the bids received by the Cal ISO from interruptible customers for curtailment ($1250), plus a highest energy bid.</w:t>
      </w:r>
    </w:p>
    <w:p>
      <w:pPr>
        <w:pStyle w:val="Normal"/>
        <w:rPr/>
      </w:pPr>
      <w:r>
        <w:rPr/>
      </w:r>
    </w:p>
    <w:p>
      <w:pPr>
        <w:pStyle w:val="Normal"/>
        <w:rPr/>
      </w:pPr>
      <w:r>
        <w:rPr/>
        <w:t xml:space="preserve">The role of the Cal ISO MSC is to apply the market screens to identify prices exceeding the limits identified above.  If prices exceed all three screens (as appropriate), the MSC will refer the matter to FERC for investigation into whether there is evidence that high prices are a result of abuse of market power.  FERC would look into allegations of economic or physical withholding, gaming, or other anticompetitive behavior.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t>DRAFT</w:t>
    </w:r>
  </w:p>
  <w:p>
    <w:pPr>
      <w:pStyle w:val="Head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color w:val="auto"/>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2001-01-04T19:46:00Z</dcterms:created>
  <dc:creator>julie simon</dc:creator>
  <dc:description/>
  <dc:language>en-CA</dc:language>
  <cp:lastModifiedBy>Jackie Gallagher</cp:lastModifiedBy>
  <dcterms:modified xsi:type="dcterms:W3CDTF">2001-01-05T17:52:00Z</dcterms:modified>
  <cp:revision>2</cp:revision>
  <dc:subject/>
  <dc:title>MARKET MONITORING:</dc:title>
</cp:coreProperties>
</file>