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Spark Spread Options</w:t>
      </w:r>
      <w:r>
        <w:rPr>
          <w:rStyle w:val="FootnoteCharacters"/>
          <w:rStyle w:val="FootnoteReference"/>
          <w:sz w:val="20"/>
        </w:rPr>
        <w:footnoteReference w:id="2"/>
      </w:r>
    </w:p>
    <w:p>
      <w:pPr>
        <w:pStyle w:val="Normal"/>
        <w:rPr>
          <w:sz w:val="32"/>
        </w:rPr>
      </w:pPr>
      <w:r>
        <w:rPr>
          <w:sz w:val="32"/>
        </w:rPr>
      </w:r>
    </w:p>
    <w:p>
      <w:pPr>
        <w:pStyle w:val="Subtitle"/>
        <w:rPr>
          <w:sz w:val="28"/>
        </w:rPr>
      </w:pPr>
      <w:r>
        <w:rPr>
          <w:sz w:val="28"/>
        </w:rPr>
        <w:t>Les Clewlow, Chris Strickland and Vince Kaminski</w:t>
      </w:r>
    </w:p>
    <w:p>
      <w:pPr>
        <w:pStyle w:val="Normal"/>
        <w:rPr>
          <w:sz w:val="28"/>
        </w:rPr>
      </w:pPr>
      <w:r>
        <w:rPr>
          <w:sz w:val="28"/>
        </w:rPr>
      </w:r>
    </w:p>
    <w:p>
      <w:pPr>
        <w:pStyle w:val="Normal"/>
        <w:jc w:val="center"/>
        <w:rPr>
          <w:b/>
          <w:bCs/>
          <w:i/>
          <w:i/>
          <w:iCs/>
        </w:rPr>
      </w:pPr>
      <w:r>
        <w:rPr>
          <w:b/>
          <w:bCs/>
          <w:i/>
          <w:iCs/>
        </w:rPr>
        <w:t>For Energy and Power Risk Management</w:t>
      </w:r>
    </w:p>
    <w:p>
      <w:pPr>
        <w:pStyle w:val="Normal"/>
        <w:rPr>
          <w:b/>
          <w:bCs/>
          <w:i/>
          <w:i/>
          <w:iCs/>
        </w:rPr>
      </w:pPr>
      <w:r>
        <w:rPr>
          <w:b/>
          <w:bCs/>
          <w:i/>
          <w:iCs/>
        </w:rPr>
      </w:r>
    </w:p>
    <w:p>
      <w:pPr>
        <w:pStyle w:val="Normal"/>
        <w:rPr/>
      </w:pPr>
      <w:r>
        <w:rPr/>
        <w:t>In this article we perform an analysis of the pricing of spread options.  There are many instances of spread options that occur in energy markets.  One classification of types of spread options is in terms of whether they are written on a single underlying asset or more.  Examples of the former include calendar spread options which are options written on two forward contracts of differing maturity on the same commodity.  Such options can be used to protect against changes in the shape of the energy forward curve.  Inter-regional, or locational spread options are options on the same underlying energy, but traded at different locations.  Such options exist due to often substantial differences existing between the price of electricity in different regions due to costs or constraints of transmission.</w:t>
      </w:r>
    </w:p>
    <w:p>
      <w:pPr>
        <w:pStyle w:val="Normal"/>
        <w:rPr/>
      </w:pPr>
      <w:r>
        <w:rPr/>
      </w:r>
    </w:p>
    <w:p>
      <w:pPr>
        <w:pStyle w:val="Normal"/>
        <w:rPr/>
      </w:pPr>
      <w:r>
        <w:rPr/>
        <w:t>Classic examples of cross-commodity options are ‘crack spreads’ and ‘spark spreads’. Crack spread options are found in the refining industry and payoff on the spread between crude oil and its refined products such as gasoline.  Spark spread options are common in the electricity generating markets and have a payoff determined by the difference between the price of output electricity and the price of the fuel used to generate it.</w:t>
      </w:r>
    </w:p>
    <w:p>
      <w:pPr>
        <w:pStyle w:val="Normal"/>
        <w:rPr/>
      </w:pPr>
      <w:r>
        <w:rPr/>
      </w:r>
    </w:p>
    <w:p>
      <w:pPr>
        <w:pStyle w:val="Normal"/>
        <w:rPr/>
      </w:pPr>
      <w:r>
        <w:rPr/>
        <w:t>Spark spread options are of wider interest than purely financial payoffs between two energies. The spread between the price of electricity and the input fuel is often used to determine the economic value of power generation assets as a strip of spark spread call options.  Implied heat rate competitiveness can also be monetised by selling such a strip of options.</w:t>
      </w:r>
    </w:p>
    <w:p>
      <w:pPr>
        <w:pStyle w:val="Normal"/>
        <w:rPr/>
      </w:pPr>
      <w:r>
        <w:rPr/>
      </w:r>
    </w:p>
    <w:p>
      <w:pPr>
        <w:pStyle w:val="Normal"/>
        <w:rPr/>
      </w:pPr>
      <w:r>
        <w:rPr/>
        <w:t xml:space="preserve">We define the spark spread to be the difference in the spot price of electricity and the product of the heat rate and the spot price of the generating fuel.  The role of the heat rate is to link the amount of fuel needed by the generating asset to the amount of electricity generated.  The heat rate therefore is a measure of the generating asset’s efficiency and is expressed as the number of Btu’s of the generating fuel required for the production of one MWh of electricity.  The payoff function for the spark spread call option, at time </w:t>
      </w:r>
      <w:r>
        <w:rPr>
          <w:i/>
          <w:iCs/>
        </w:rPr>
        <w:t>T</w:t>
      </w:r>
      <w:r>
        <w:rPr/>
        <w:t xml:space="preserve"> is therefore given by </w:t>
      </w:r>
      <w:r>
        <w:rPr>
          <w:sz w:val="20"/>
        </w:rPr>
      </w:r>
      <m:oMath xmlns:m="http://schemas.openxmlformats.org/officeDocument/2006/math">
        <m:r>
          <m:rPr>
            <m:lit/>
            <m:nor/>
          </m:rPr>
          <m:t xml:space="preserve">max</m:t>
        </m:r>
        <m:d>
          <m:dPr>
            <m:begChr m:val="("/>
            <m:endChr m:val=")"/>
          </m:dPr>
          <m:e>
            <m:sSub>
              <m:e>
                <m:r>
                  <m:t xml:space="preserve">S</m:t>
                </m:r>
              </m:e>
              <m:sub>
                <m:r>
                  <m:t xml:space="preserve">e</m:t>
                </m:r>
              </m:sub>
            </m:sSub>
            <m:r>
              <m:t xml:space="preserve">(</m:t>
            </m:r>
            <m:r>
              <m:t xml:space="preserve">T</m:t>
            </m:r>
            <m:r>
              <m:t xml:space="preserve">)</m:t>
            </m:r>
            <m:r>
              <m:t xml:space="preserve">−</m:t>
            </m:r>
            <m:r>
              <m:t xml:space="preserve">H</m:t>
            </m:r>
            <m:r>
              <m:t xml:space="preserve">×</m:t>
            </m:r>
            <m:sSub>
              <m:e>
                <m:r>
                  <m:t xml:space="preserve">S</m:t>
                </m:r>
              </m:e>
              <m:sub>
                <m:r>
                  <m:t xml:space="preserve">f</m:t>
                </m:r>
              </m:sub>
            </m:sSub>
            <m:r>
              <m:t xml:space="preserve">(</m:t>
            </m:r>
            <m:r>
              <m:t xml:space="preserve">T</m:t>
            </m:r>
            <m:r>
              <m:t xml:space="preserve">)</m:t>
            </m:r>
          </m:e>
        </m:d>
      </m:oMath>
      <w:r>
        <w:rPr/>
        <w:t xml:space="preserve"> where </w:t>
      </w:r>
      <w:r>
        <w:rPr>
          <w:sz w:val="20"/>
        </w:rPr>
      </w:r>
      <m:oMath xmlns:m="http://schemas.openxmlformats.org/officeDocument/2006/math">
        <m:sSub>
          <m:e>
            <m:r>
              <m:t xml:space="preserve">S</m:t>
            </m:r>
          </m:e>
          <m:sub>
            <m:r>
              <m:t xml:space="preserve">e</m:t>
            </m:r>
          </m:sub>
        </m:sSub>
        <m:r>
          <m:t xml:space="preserve">(</m:t>
        </m:r>
        <m:r>
          <m:t xml:space="preserve">T</m:t>
        </m:r>
        <m:r>
          <m:t xml:space="preserve">)</m:t>
        </m:r>
      </m:oMath>
      <w:r>
        <w:rPr/>
        <w:t xml:space="preserve"> and </w:t>
      </w:r>
      <w:r>
        <w:rPr>
          <w:sz w:val="20"/>
        </w:rPr>
      </w:r>
      <m:oMath xmlns:m="http://schemas.openxmlformats.org/officeDocument/2006/math">
        <m:sSub>
          <m:e>
            <m:r>
              <m:t xml:space="preserve">S</m:t>
            </m:r>
          </m:e>
          <m:sub>
            <m:r>
              <m:t xml:space="preserve">f</m:t>
            </m:r>
          </m:sub>
        </m:sSub>
        <m:r>
          <m:t xml:space="preserve">(</m:t>
        </m:r>
        <m:r>
          <m:t xml:space="preserve">T</m:t>
        </m:r>
        <m:r>
          <m:t xml:space="preserve">)</m:t>
        </m:r>
      </m:oMath>
      <w:r>
        <w:rPr/>
        <w:t xml:space="preserve"> are the spot prices of electricity and the generating fuel respectively at time </w:t>
      </w:r>
      <w:r>
        <w:rPr>
          <w:i/>
          <w:iCs/>
        </w:rPr>
        <w:t>T</w:t>
      </w:r>
      <w:r>
        <w:rPr/>
        <w:t>.</w:t>
      </w:r>
    </w:p>
    <w:p>
      <w:pPr>
        <w:pStyle w:val="Normal"/>
        <w:rPr/>
      </w:pPr>
      <w:r>
        <w:rPr/>
      </w:r>
    </w:p>
    <w:p>
      <w:pPr>
        <w:pStyle w:val="Normal"/>
        <w:rPr/>
      </w:pPr>
      <w:r>
        <w:rPr/>
        <w:t>To value cross commodity options of this form, the user is required to model the joint evolution of both energies.  We can apply the range of models discussed in our series of articles to such problems.  For brevity we concentrate on a number of single factor models, although our multifactor framework can easily be adapted to value such options.  All of the models used in the subsequent analysis are fitted to the forward energy curves and can all be imbedded in the following mixed jump diffusion equation for the evolution of the forward curve;</w:t>
      </w:r>
    </w:p>
    <w:p>
      <w:pPr>
        <w:pStyle w:val="Normal"/>
        <w:rPr/>
      </w:pPr>
      <w:r>
        <w:rPr/>
      </w:r>
    </w:p>
    <w:p>
      <w:pPr>
        <w:pStyle w:val="Equation"/>
        <w:rPr/>
      </w:pPr>
      <w:r>
        <w:rPr/>
        <w:tab/>
      </w:r>
      <w:r>
        <w:rPr/>
      </w:r>
      <m:oMath xmlns:m="http://schemas.openxmlformats.org/officeDocument/2006/math">
        <m:f>
          <m:num>
            <m:r>
              <m:rPr>
                <m:lit/>
                <m:nor/>
              </m:rPr>
              <m:t xml:space="preserve">dF</m:t>
            </m:r>
            <m:r>
              <m:t xml:space="preserve">(</m:t>
            </m:r>
            <m:r>
              <m:t xml:space="preserve">t</m:t>
            </m:r>
            <m:r>
              <m:t xml:space="preserve">,</m:t>
            </m:r>
            <m:r>
              <m:t xml:space="preserve">T</m:t>
            </m:r>
            <m:r>
              <m:t xml:space="preserve">)</m:t>
            </m:r>
          </m:num>
          <m:den>
            <m:r>
              <m:t xml:space="preserve">F</m:t>
            </m:r>
            <m:r>
              <m:t xml:space="preserve">(</m:t>
            </m:r>
            <m:r>
              <m:t xml:space="preserve">t</m:t>
            </m:r>
            <m:r>
              <m:t xml:space="preserve">,</m:t>
            </m:r>
            <m:r>
              <m:t xml:space="preserve">T</m:t>
            </m:r>
            <m:r>
              <m:t xml:space="preserve">)</m:t>
            </m:r>
          </m:den>
        </m:f>
        <m:r>
          <m:t xml:space="preserve">=</m:t>
        </m:r>
        <m:r>
          <m:t xml:space="preserve">σ</m:t>
        </m:r>
        <m:r>
          <m:t xml:space="preserve">(</m:t>
        </m:r>
        <m:r>
          <m:t xml:space="preserve">t</m:t>
        </m:r>
        <m:r>
          <m:t xml:space="preserve">)</m:t>
        </m:r>
        <m:d>
          <m:dPr>
            <m:begChr m:val="("/>
            <m:endChr m:val=")"/>
          </m:dPr>
          <m:e>
            <m:r>
              <m:t xml:space="preserve">(</m:t>
            </m:r>
            <m:r>
              <m:t xml:space="preserve">1</m:t>
            </m:r>
            <m:r>
              <m:t xml:space="preserve">−</m:t>
            </m:r>
            <m:sSub>
              <m:e>
                <m:r>
                  <m:t xml:space="preserve">σ</m:t>
                </m:r>
              </m:e>
              <m:sub>
                <m:r>
                  <m:t xml:space="preserve">l</m:t>
                </m:r>
              </m:sub>
            </m:sSub>
            <m:r>
              <m:t xml:space="preserve">)</m:t>
            </m:r>
            <m:sSup>
              <m:e>
                <m:r>
                  <m:t xml:space="preserve">e</m:t>
                </m:r>
              </m:e>
              <m:sup>
                <m:r>
                  <m:t xml:space="preserve">−</m:t>
                </m:r>
                <m:r>
                  <m:t xml:space="preserve">α</m:t>
                </m:r>
                <m:r>
                  <m:t xml:space="preserve">(</m:t>
                </m:r>
                <m:r>
                  <m:t xml:space="preserve">T</m:t>
                </m:r>
                <m:r>
                  <m:t xml:space="preserve">−</m:t>
                </m:r>
                <m:r>
                  <m:t xml:space="preserve">t</m:t>
                </m:r>
                <m:r>
                  <m:t xml:space="preserve">)</m:t>
                </m:r>
              </m:sup>
            </m:sSup>
            <m:r>
              <m:t xml:space="preserve">+</m:t>
            </m:r>
            <m:sSub>
              <m:e>
                <m:r>
                  <m:t xml:space="preserve">σ</m:t>
                </m:r>
              </m:e>
              <m:sub>
                <m:r>
                  <m:t xml:space="preserve">l</m:t>
                </m:r>
              </m:sub>
            </m:sSub>
          </m:e>
        </m:d>
        <m:sSub>
          <m:e>
            <m:r>
              <m:rPr>
                <m:lit/>
                <m:nor/>
              </m:rPr>
              <m:t xml:space="preserve">dz</m:t>
            </m:r>
          </m:e>
          <m:sub>
            <m:r>
              <m:t xml:space="preserve">i</m:t>
            </m:r>
          </m:sub>
        </m:sSub>
        <m:r>
          <m:t xml:space="preserve">(</m:t>
        </m:r>
        <m:r>
          <m:t xml:space="preserve">t</m:t>
        </m:r>
        <m:r>
          <m:t xml:space="preserve">)</m:t>
        </m:r>
        <m:r>
          <m:t xml:space="preserve">+</m:t>
        </m:r>
        <m:r>
          <m:t xml:space="preserve">κ</m:t>
        </m:r>
        <m:r>
          <m:t xml:space="preserve">(</m:t>
        </m:r>
        <m:r>
          <m:t xml:space="preserve">t</m:t>
        </m:r>
        <m:r>
          <m:t xml:space="preserve">,</m:t>
        </m:r>
        <m:r>
          <m:t xml:space="preserve">T</m:t>
        </m:r>
        <m:r>
          <m:t xml:space="preserve">)</m:t>
        </m:r>
        <m:r>
          <m:rPr>
            <m:lit/>
            <m:nor/>
          </m:rPr>
          <m:t xml:space="preserve">dq</m:t>
        </m:r>
        <m:r>
          <m:t xml:space="preserve">(</m:t>
        </m:r>
        <m:r>
          <m:t xml:space="preserve">t</m:t>
        </m:r>
        <m:r>
          <m:t xml:space="preserve">)</m:t>
        </m:r>
      </m:oMath>
      <w:r>
        <w:rPr/>
        <w:tab/>
        <w:t>(1)</w:t>
      </w:r>
    </w:p>
    <w:p>
      <w:pPr>
        <w:pStyle w:val="Normal"/>
        <w:rPr/>
      </w:pPr>
      <w:r>
        <w:rPr/>
      </w:r>
    </w:p>
    <w:p>
      <w:pPr>
        <w:pStyle w:val="Normal"/>
        <w:rPr/>
      </w:pPr>
      <w:r>
        <w:rPr/>
        <w:t xml:space="preserve">In the most general form of equation (1) the spot volatility, </w:t>
      </w:r>
      <w:r>
        <w:rPr/>
      </w:r>
      <m:oMath xmlns:m="http://schemas.openxmlformats.org/officeDocument/2006/math">
        <m:r>
          <m:t xml:space="preserve">σ</m:t>
        </m:r>
        <m:r>
          <m:t xml:space="preserve">(</m:t>
        </m:r>
        <m:r>
          <m:t xml:space="preserve">t</m:t>
        </m:r>
        <m:r>
          <m:t xml:space="preserve">)</m:t>
        </m:r>
      </m:oMath>
      <w:r>
        <w:rPr/>
        <w:t xml:space="preserve">, is allowed to be time dependent to allow seasonal variations, </w:t>
      </w:r>
      <w:r>
        <w:rPr>
          <w:rFonts w:eastAsia="Symbol" w:cs="Symbol" w:ascii="Symbol" w:hAnsi="Symbol"/>
        </w:rPr>
        <w:sym w:font="Symbol" w:char="f061"/>
      </w:r>
      <w:r>
        <w:rPr/>
        <w:t xml:space="preserve"> determines the attenuation of forward price volatility to some long term percentage level </w:t>
      </w:r>
      <w:r>
        <w:rPr/>
      </w:r>
      <m:oMath xmlns:m="http://schemas.openxmlformats.org/officeDocument/2006/math">
        <m:sSub>
          <m:e>
            <m:r>
              <m:t xml:space="preserve">σ</m:t>
            </m:r>
          </m:e>
          <m:sub>
            <m:r>
              <m:t xml:space="preserve">l</m:t>
            </m:r>
          </m:sub>
        </m:sSub>
      </m:oMath>
      <w:r>
        <w:rPr/>
        <w:t xml:space="preserve">, and </w:t>
      </w:r>
      <w:r>
        <w:rPr/>
      </w:r>
      <m:oMath xmlns:m="http://schemas.openxmlformats.org/officeDocument/2006/math">
        <m:sSub>
          <m:e>
            <m:r>
              <m:rPr>
                <m:lit/>
                <m:nor/>
              </m:rPr>
              <m:t xml:space="preserve">dz</m:t>
            </m:r>
          </m:e>
          <m:sub>
            <m:r>
              <m:t xml:space="preserve">i</m:t>
            </m:r>
          </m:sub>
        </m:sSub>
        <m:r>
          <m:t xml:space="preserve">(</m:t>
        </m:r>
        <m:r>
          <m:t xml:space="preserve">t</m:t>
        </m:r>
        <m:r>
          <m:t xml:space="preserve">)</m:t>
        </m:r>
      </m:oMath>
      <w:r>
        <w:rPr/>
        <w:t xml:space="preserve"> is the random increment for energy </w:t>
      </w:r>
      <w:r>
        <w:rPr>
          <w:i/>
          <w:iCs/>
        </w:rPr>
        <w:t>i</w:t>
      </w:r>
      <w:r>
        <w:rPr/>
        <w:t xml:space="preserve"> upon which we can impose a correlation structure.  The last term determines the jump component with </w:t>
      </w:r>
      <w:r>
        <w:rPr>
          <w:rFonts w:cs="Symbol" w:ascii="Symbol" w:hAnsi="Symbol"/>
          <w:i/>
        </w:rPr>
        <w:sym w:font="Symbol" w:char="f06b"/>
      </w:r>
      <w:r>
        <w:rPr/>
        <w:t>() determining the proportional jump size.  The Black (BLK), mean reverting (MR), jump diffusion (JD), and combination mean reverting jump diffusion (MRJD) models can all be imbedded in equation (1).</w:t>
      </w:r>
    </w:p>
    <w:p>
      <w:pPr>
        <w:pStyle w:val="Normal"/>
        <w:rPr/>
      </w:pPr>
      <w:r>
        <w:rPr/>
      </w:r>
    </w:p>
    <w:p>
      <w:pPr>
        <w:pStyle w:val="Normal"/>
        <w:rPr/>
      </w:pPr>
      <w:r>
        <w:rPr/>
      </w:r>
    </w:p>
    <w:p>
      <w:pPr>
        <w:pStyle w:val="Normal"/>
        <w:rPr/>
      </w:pPr>
      <w:r>
        <w:rPr/>
      </w:r>
    </w:p>
    <w:p>
      <w:pPr>
        <w:pStyle w:val="Normal"/>
        <w:rPr/>
      </w:pPr>
      <w:r>
        <w:rPr/>
      </w:r>
    </w:p>
    <w:p>
      <w:pPr>
        <w:pStyle w:val="Normal"/>
        <w:spacing w:lineRule="auto" w:line="240"/>
        <w:rPr/>
      </w:pPr>
      <w:r>
        <w:rPr>
          <w:b/>
          <w:sz w:val="20"/>
        </w:rPr>
        <w:t xml:space="preserve">Les Clewlow and Chris Strickland are Principals of Lacima Group, and are affiliated to the School of Finance and Economics, University of Technology Sydney, Australia and the Financial Options Research </w:t>
      </w:r>
      <w:r>
        <w:rPr>
          <w:b/>
          <w:sz w:val="20"/>
          <w:lang w:val="en-AU"/>
        </w:rPr>
        <w:t>Centre</w:t>
      </w:r>
      <w:r>
        <w:rPr>
          <w:b/>
          <w:sz w:val="20"/>
        </w:rPr>
        <w:t>, Warwick Business School, University of Warwick, UK.</w:t>
      </w:r>
    </w:p>
    <w:p>
      <w:pPr>
        <w:pStyle w:val="Normal"/>
        <w:spacing w:lineRule="auto" w:line="240"/>
        <w:rPr>
          <w:b/>
          <w:sz w:val="20"/>
        </w:rPr>
      </w:pPr>
      <w:r>
        <w:rPr>
          <w:b/>
          <w:sz w:val="20"/>
        </w:rPr>
      </w:r>
    </w:p>
    <w:p>
      <w:pPr>
        <w:pStyle w:val="Normal"/>
        <w:spacing w:lineRule="auto" w:line="240"/>
        <w:rPr>
          <w:b/>
          <w:sz w:val="20"/>
        </w:rPr>
      </w:pPr>
      <w:r>
        <w:rPr>
          <w:b/>
          <w:sz w:val="20"/>
        </w:rPr>
        <w:t>Vince Kaminski is Managing Director and Head of Research for Enron Corp. based in Houston, Texas</w:t>
      </w:r>
    </w:p>
    <w:p>
      <w:pPr>
        <w:pStyle w:val="Normal"/>
        <w:spacing w:lineRule="auto" w:line="240"/>
        <w:rPr>
          <w:b/>
          <w:sz w:val="20"/>
        </w:rPr>
      </w:pPr>
      <w:r>
        <w:rPr>
          <w:b/>
          <w:sz w:val="20"/>
        </w:rPr>
      </w:r>
    </w:p>
    <w:p>
      <w:pPr>
        <w:pStyle w:val="Normal"/>
        <w:spacing w:lineRule="auto" w:line="240"/>
        <w:rPr>
          <w:b/>
          <w:sz w:val="20"/>
        </w:rPr>
      </w:pPr>
      <w:hyperlink r:id="rId2">
        <w:r>
          <w:rPr>
            <w:rStyle w:val="Hyperlink"/>
            <w:b/>
            <w:sz w:val="20"/>
          </w:rPr>
          <w:t>contact@lacimagroup.com</w:t>
        </w:r>
      </w:hyperlink>
    </w:p>
    <w:p>
      <w:pPr>
        <w:pStyle w:val="Normal"/>
        <w:spacing w:lineRule="auto" w:line="240"/>
        <w:rPr>
          <w:b/>
          <w:sz w:val="20"/>
        </w:rPr>
      </w:pPr>
      <w:hyperlink r:id="rId3">
        <w:r>
          <w:rPr>
            <w:rStyle w:val="Hyperlink"/>
            <w:b/>
            <w:sz w:val="20"/>
          </w:rPr>
          <w:t>www.lacimagroup.com</w:t>
        </w:r>
      </w:hyperlink>
    </w:p>
    <w:p>
      <w:pPr>
        <w:pStyle w:val="Normal"/>
        <w:rPr>
          <w:b/>
          <w:sz w:val="20"/>
        </w:rPr>
      </w:pPr>
      <w:r>
        <w:rPr>
          <w:b/>
          <w:sz w:val="20"/>
        </w:rPr>
      </w:r>
    </w:p>
    <w:p>
      <w:pPr>
        <w:pStyle w:val="Heading4"/>
        <w:ind w:hanging="0" w:start="0"/>
        <w:rPr>
          <w:bCs/>
        </w:rPr>
      </w:pPr>
      <w:r>
        <w:rPr>
          <w:bCs/>
        </w:rPr>
        <w:t>References</w:t>
      </w:r>
    </w:p>
    <w:p>
      <w:pPr>
        <w:pStyle w:val="TOC1"/>
        <w:spacing w:lineRule="auto" w:line="240"/>
        <w:rPr>
          <w:bCs/>
        </w:rPr>
      </w:pPr>
      <w:r>
        <w:rPr>
          <w:bCs/>
        </w:rPr>
      </w:r>
    </w:p>
    <w:p>
      <w:pPr>
        <w:pStyle w:val="Normal"/>
        <w:spacing w:lineRule="auto" w:line="240"/>
        <w:rPr/>
      </w:pPr>
      <w:r>
        <w:rPr/>
        <w:t>Clewlow, L, and C Strickland, “</w:t>
      </w:r>
      <w:r>
        <w:rPr>
          <w:i/>
          <w:iCs/>
        </w:rPr>
        <w:t>Energy Derivatives: Pricing and Risk Management</w:t>
      </w:r>
      <w:r>
        <w:rPr/>
        <w:t>”, 2000, Lacima Publications.</w:t>
      </w:r>
    </w:p>
    <w:p>
      <w:pPr>
        <w:pStyle w:val="Normal"/>
        <w:spacing w:lineRule="auto" w:line="240"/>
        <w:rPr/>
      </w:pPr>
      <w:r>
        <w:rPr/>
      </w:r>
    </w:p>
    <w:p>
      <w:pPr>
        <w:pStyle w:val="Normal"/>
        <w:spacing w:lineRule="auto" w:line="240"/>
        <w:rPr>
          <w:szCs w:val="18"/>
        </w:rPr>
      </w:pPr>
      <w:r>
        <w:rPr>
          <w:szCs w:val="18"/>
        </w:rPr>
      </w:r>
    </w:p>
    <w:p>
      <w:pPr>
        <w:pStyle w:val="Normal"/>
        <w:spacing w:lineRule="auto" w:line="240"/>
        <w:rPr>
          <w:szCs w:val="18"/>
          <w:lang w:val="en-CA" w:eastAsia="en-CA"/>
        </w:rPr>
      </w:pPr>
      <w:r>
        <w:rPr>
          <w:szCs w:val="18"/>
          <w:lang w:val="en-CA" w:eastAsia="en-CA"/>
        </w:rPr>
      </w:r>
    </w:p>
    <w:sectPr>
      <w:headerReference w:type="default" r:id="rId4"/>
      <w:footerReference w:type="default" r:id="rId5"/>
      <w:footnotePr>
        <w:numFmt w:val="decimal"/>
      </w:footnotePr>
      <w:type w:val="nextPage"/>
      <w:pgSz w:w="11906" w:h="16838"/>
      <w:pgMar w:left="1418" w:right="1418" w:gutter="0" w:header="720" w:top="1418" w:footer="720" w:bottom="170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w:altName w:val="Book Antiqua"/>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EPRM_13_spark_spread.doc</w:t>
    </w:r>
    <w:r>
      <w:rPr>
        <w:i/>
      </w:rPr>
      <w:fldChar w:fldCharType="end"/>
    </w:r>
    <w:r>
      <w:rPr>
        <w:i/>
      </w:rPr>
      <w:tab/>
      <w:t>copyright Les Clewlow, Chris Strickland and Vince Kaminski, 2000</w:t>
      <w:tab/>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58420" cy="134620"/>
              <wp:effectExtent l="0" t="0" r="0" b="0"/>
              <wp:wrapSquare wrapText="bothSides"/>
              <wp:docPr id="1" name="Frame1"/>
              <a:graphic xmlns:a="http://schemas.openxmlformats.org/drawingml/2006/main">
                <a:graphicData uri="http://schemas.microsoft.com/office/word/2010/wordprocessingShape">
                  <wps:wsp>
                    <wps:cNvSpPr txBox="1"/>
                    <wps:spPr>
                      <a:xfrm>
                        <a:off x="0" y="0"/>
                        <a:ext cx="58420" cy="134620"/>
                      </a:xfrm>
                      <a:prstGeom prst="rect"/>
                      <a:solidFill>
                        <a:srgbClr val="FFFFFF">
                          <a:alpha val="0"/>
                        </a:srgbClr>
                      </a:solidFill>
                    </wps:spPr>
                    <wps:txbx>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3</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4.6pt;height:10.6pt;mso-wrap-distance-left:0pt;mso-wrap-distance-right:0pt;mso-wrap-distance-top:0pt;mso-wrap-distance-bottom:0pt;margin-top:0.05pt;mso-position-vertical-relative:text;margin-left:448.9pt;mso-position-horizontal:right;mso-position-horizontal-relative:margin">
              <v:fill opacity="0f"/>
              <v:textbox inset="0in,0in,0in,0in">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3</w:t>
                    </w:r>
                    <w:r>
                      <w:rPr>
                        <w:rStyle w:val="PageNumber"/>
                        <w:i/>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 xml:space="preserve"> </w:t>
      </w:r>
      <w:r>
        <w:rPr/>
        <w:t>The material in this article is partly based on chapter 7 of Clewlow and Strickland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2160" w:leader="none"/>
        <w:tab w:val="center" w:pos="4252" w:leader="none"/>
        <w:tab w:val="center" w:pos="4536" w:leader="none"/>
        <w:tab w:val="right" w:pos="8504" w:leader="none"/>
        <w:tab w:val="right" w:pos="8931" w:leader="none"/>
      </w:tabs>
      <w:rPr>
        <w:i/>
        <w:i/>
        <w:sz w:val="20"/>
      </w:rPr>
    </w:pPr>
    <w:r>
      <w:rPr>
        <w:i/>
        <w:sz w:val="20"/>
      </w:rPr>
      <w:t>Spark Spread Options</w:t>
      <w:tab/>
      <w:tab/>
      <w:tab/>
      <w:t>Energy and Power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28"/>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4z0">
    <w:name w:val="WW8Num4z0"/>
    <w:qFormat/>
    <w:rPr/>
  </w:style>
  <w:style w:type="character" w:styleId="WW8Num5z0">
    <w:name w:val="WW8Num5z0"/>
    <w:qFormat/>
    <w:rPr>
      <w:b w:val="false"/>
      <w:i w:val="false"/>
      <w:color w:val="0000FF"/>
      <w:sz w:val="40"/>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b w:val="false"/>
      <w:i w:val="false"/>
      <w:color w:val="0000FF"/>
      <w:sz w:val="40"/>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color w:val="0000FF"/>
      <w:sz w:val="40"/>
    </w:rPr>
  </w:style>
  <w:style w:type="character" w:styleId="WW8Num21z0">
    <w:name w:val="WW8Num21z0"/>
    <w:qFormat/>
    <w:rPr>
      <w:b w:val="false"/>
      <w:i w:val="false"/>
      <w:color w:val="0000FF"/>
      <w:sz w:val="40"/>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St13z0">
    <w:name w:val="WW8NumSt1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30"/>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Book Antiqua" w:hAnsi="Palatino;Book Antiqua" w:eastAsia="Times New Roman" w:cs="Palatino;Book Antiqua"/>
      <w:color w:val="auto"/>
      <w:sz w:val="22"/>
      <w:szCs w:val="20"/>
      <w:lang w:val="en-GB" w:bidi="ar-SA" w:eastAsia="zh-CN"/>
    </w:rPr>
  </w:style>
  <w:style w:type="paragraph" w:styleId="P2">
    <w:name w:val="P2"/>
    <w:qFormat/>
    <w:pPr>
      <w:widowControl/>
      <w:bidi w:val="0"/>
      <w:spacing w:lineRule="atLeast" w:line="480"/>
      <w:ind w:hanging="0" w:start="1440" w:end="0"/>
    </w:pPr>
    <w:rPr>
      <w:rFonts w:ascii="Palatino;Book Antiqua" w:hAnsi="Palatino;Book Antiqua" w:eastAsia="Times New Roman" w:cs="Palatino;Book Antiqua"/>
      <w:color w:val="0000FF"/>
      <w:sz w:val="22"/>
      <w:szCs w:val="20"/>
      <w:lang w:val="en-GB" w:bidi="ar-SA" w:eastAsia="zh-CN"/>
    </w:rPr>
  </w:style>
  <w:style w:type="paragraph" w:styleId="P3">
    <w:name w:val="P3"/>
    <w:qFormat/>
    <w:pPr>
      <w:widowControl/>
      <w:bidi w:val="0"/>
      <w:spacing w:lineRule="atLeast" w:line="480"/>
      <w:ind w:hanging="0" w:start="2160" w:end="0"/>
    </w:pPr>
    <w:rPr>
      <w:rFonts w:ascii="Palatino;Book Antiqua" w:hAnsi="Palatino;Book Antiqua" w:eastAsia="Times New Roman" w:cs="Palatino;Book Antiqua"/>
      <w:color w:val="0000FF"/>
      <w:sz w:val="22"/>
      <w:szCs w:val="20"/>
      <w:lang w:val="en-GB" w:bidi="ar-SA" w:eastAsia="zh-CN"/>
    </w:rPr>
  </w:style>
  <w:style w:type="paragraph" w:styleId="P4">
    <w:name w:val="P4"/>
    <w:qFormat/>
    <w:pPr>
      <w:widowControl/>
      <w:bidi w:val="0"/>
      <w:spacing w:lineRule="atLeast" w:line="480"/>
      <w:ind w:hanging="0" w:start="2880" w:end="0"/>
    </w:pPr>
    <w:rPr>
      <w:rFonts w:ascii="Palatino;Book Antiqua" w:hAnsi="Palatino;Book Antiqua" w:eastAsia="Times New Roman" w:cs="Palatino;Book Antiqua"/>
      <w:color w:val="0000FF"/>
      <w:sz w:val="22"/>
      <w:szCs w:val="20"/>
      <w:lang w:val="en-GB" w:bidi="ar-SA" w:eastAsia="zh-CN"/>
    </w:rPr>
  </w:style>
  <w:style w:type="paragraph" w:styleId="P5">
    <w:name w:val="P5"/>
    <w:qFormat/>
    <w:pPr>
      <w:widowControl/>
      <w:bidi w:val="0"/>
      <w:spacing w:lineRule="atLeast" w:line="480"/>
      <w:ind w:hanging="0" w:start="3600" w:end="0"/>
    </w:pPr>
    <w:rPr>
      <w:rFonts w:ascii="Palatino;Book Antiqua" w:hAnsi="Palatino;Book Antiqua" w:eastAsia="Times New Roman" w:cs="Palatino;Book Antiqua"/>
      <w:color w:val="0000FF"/>
      <w:sz w:val="22"/>
      <w:szCs w:val="20"/>
      <w:lang w:val="en-GB" w:bidi="ar-SA" w:eastAsia="zh-CN"/>
    </w:rPr>
  </w:style>
  <w:style w:type="paragraph" w:styleId="O1">
    <w:name w:val="O1"/>
    <w:qFormat/>
    <w:pPr>
      <w:widowControl/>
      <w:bidi w:val="0"/>
      <w:spacing w:lineRule="atLeast" w:line="480"/>
      <w:ind w:hanging="720" w:start="720" w:end="0"/>
    </w:pPr>
    <w:rPr>
      <w:rFonts w:ascii="Palatino;Book Antiqua" w:hAnsi="Palatino;Book Antiqua" w:eastAsia="Times New Roman" w:cs="Palatino;Book Antiqua"/>
      <w:color w:val="0000FF"/>
      <w:sz w:val="22"/>
      <w:szCs w:val="20"/>
      <w:lang w:val="en-GB" w:bidi="ar-SA" w:eastAsia="zh-CN"/>
    </w:rPr>
  </w:style>
  <w:style w:type="paragraph" w:styleId="QuotationsPara">
    <w:name w:val="Quotations Para"/>
    <w:qFormat/>
    <w:pPr>
      <w:widowControl/>
      <w:bidi w:val="0"/>
      <w:spacing w:lineRule="atLeast" w:line="360"/>
      <w:ind w:hanging="0" w:start="720" w:end="1440"/>
      <w:jc w:val="both"/>
    </w:pPr>
    <w:rPr>
      <w:rFonts w:ascii="Palatino;Book Antiqua" w:hAnsi="Palatino;Book Antiqua" w:eastAsia="Times New Roman" w:cs="Palatino;Book Antiqua"/>
      <w:color w:val="FF00FF"/>
      <w:sz w:val="20"/>
      <w:szCs w:val="20"/>
      <w:lang w:val="en-GB" w:bidi="ar-SA" w:eastAsia="zh-CN"/>
    </w:rPr>
  </w:style>
  <w:style w:type="paragraph" w:styleId="RightFlushPara">
    <w:name w:val="Right Flush Para"/>
    <w:qFormat/>
    <w:pPr>
      <w:widowControl/>
      <w:bidi w:val="0"/>
      <w:spacing w:lineRule="atLeast" w:line="480"/>
      <w:jc w:val="end"/>
    </w:pPr>
    <w:rPr>
      <w:rFonts w:ascii="Palatino;Book Antiqua" w:hAnsi="Palatino;Book Antiqua" w:eastAsia="Times New Roman" w:cs="Palatino;Book Antiqua"/>
      <w:color w:val="0000FF"/>
      <w:sz w:val="22"/>
      <w:szCs w:val="20"/>
      <w:lang w:val="en-GB" w:bidi="ar-SA" w:eastAsia="zh-CN"/>
    </w:rPr>
  </w:style>
  <w:style w:type="paragraph" w:styleId="ReferencesPara">
    <w:name w:val="References Para"/>
    <w:qFormat/>
    <w:pPr>
      <w:widowControl/>
      <w:bidi w:val="0"/>
      <w:spacing w:lineRule="atLeast" w:line="360" w:before="120" w:after="0"/>
      <w:ind w:hanging="720" w:start="720" w:end="0"/>
    </w:pPr>
    <w:rPr>
      <w:rFonts w:ascii="Palatino;Book Antiqua" w:hAnsi="Palatino;Book Antiqua" w:eastAsia="Times New Roman" w:cs="Palatino;Book Antiqua"/>
      <w:color w:val="0000FF"/>
      <w:sz w:val="22"/>
      <w:szCs w:val="20"/>
      <w:lang w:val="en-GB" w:bidi="ar-SA" w:eastAsia="zh-CN"/>
    </w:rPr>
  </w:style>
  <w:style w:type="paragraph" w:styleId="TitleMainHeading">
    <w:name w:val="Title (Main Heading)"/>
    <w:qFormat/>
    <w:pPr>
      <w:widowControl/>
      <w:bidi w:val="0"/>
      <w:jc w:val="center"/>
    </w:pPr>
    <w:rPr>
      <w:rFonts w:ascii="Palatino;Book Antiqua" w:hAnsi="Palatino;Book Antiqua" w:eastAsia="Times New Roman" w:cs="Palatino;Book Antiqua"/>
      <w:b/>
      <w:i/>
      <w:color w:val="00FFFF"/>
      <w:sz w:val="44"/>
      <w:szCs w:val="20"/>
      <w:lang w:val="en-GB" w:bidi="ar-SA" w:eastAsia="zh-CN"/>
    </w:rPr>
  </w:style>
  <w:style w:type="paragraph" w:styleId="Sub-TitleSubheading">
    <w:name w:val="Sub-Title (Sub heading)"/>
    <w:qFormat/>
    <w:pPr>
      <w:widowControl/>
      <w:bidi w:val="0"/>
      <w:jc w:val="center"/>
    </w:pPr>
    <w:rPr>
      <w:rFonts w:ascii="Palatino;Book Antiqua" w:hAnsi="Palatino;Book Antiqua" w:eastAsia="Times New Roman" w:cs="Palatino;Book Antiqua"/>
      <w:i/>
      <w:color w:val="008080"/>
      <w:sz w:val="32"/>
      <w:szCs w:val="20"/>
      <w:lang w:val="en-GB" w:bidi="ar-SA" w:eastAsia="zh-CN"/>
    </w:rPr>
  </w:style>
  <w:style w:type="paragraph" w:styleId="Caption-FigrDgram">
    <w:name w:val="Caption - Figr/Dgram"/>
    <w:qFormat/>
    <w:pPr>
      <w:widowControl/>
      <w:bidi w:val="0"/>
      <w:spacing w:lineRule="atLeast" w:line="240"/>
      <w:jc w:val="center"/>
    </w:pPr>
    <w:rPr>
      <w:rFonts w:ascii="Palatino;Book Antiqua" w:hAnsi="Palatino;Book Antiqua" w:eastAsia="Times New Roman" w:cs="Palatino;Book Antiqua"/>
      <w:i/>
      <w:color w:val="008080"/>
      <w:sz w:val="18"/>
      <w:szCs w:val="20"/>
      <w:lang w:val="en-GB" w:bidi="ar-SA" w:eastAsia="zh-CN"/>
    </w:rPr>
  </w:style>
  <w:style w:type="paragraph" w:styleId="O2">
    <w:name w:val="O2"/>
    <w:qFormat/>
    <w:pPr>
      <w:widowControl/>
      <w:bidi w:val="0"/>
      <w:spacing w:lineRule="atLeast" w:line="480"/>
      <w:ind w:hanging="720" w:start="1440" w:end="0"/>
    </w:pPr>
    <w:rPr>
      <w:rFonts w:ascii="Palatino;Book Antiqua" w:hAnsi="Palatino;Book Antiqua" w:eastAsia="Times New Roman" w:cs="Palatino;Book Antiqua"/>
      <w:color w:val="0000FF"/>
      <w:sz w:val="22"/>
      <w:szCs w:val="20"/>
      <w:lang w:val="en-GB" w:bidi="ar-SA" w:eastAsia="zh-CN"/>
    </w:rPr>
  </w:style>
  <w:style w:type="paragraph" w:styleId="O3">
    <w:name w:val="O3"/>
    <w:qFormat/>
    <w:pPr>
      <w:widowControl/>
      <w:bidi w:val="0"/>
      <w:spacing w:lineRule="atLeast" w:line="480"/>
      <w:ind w:hanging="720" w:start="2160" w:end="0"/>
    </w:pPr>
    <w:rPr>
      <w:rFonts w:ascii="Palatino;Book Antiqua" w:hAnsi="Palatino;Book Antiqua" w:eastAsia="Times New Roman" w:cs="Palatino;Book Antiqua"/>
      <w:color w:val="0000FF"/>
      <w:sz w:val="22"/>
      <w:szCs w:val="20"/>
      <w:lang w:val="en-GB" w:bidi="ar-SA" w:eastAsia="zh-CN"/>
    </w:rPr>
  </w:style>
  <w:style w:type="paragraph" w:styleId="O4">
    <w:name w:val="O4"/>
    <w:qFormat/>
    <w:pPr>
      <w:widowControl/>
      <w:bidi w:val="0"/>
      <w:spacing w:lineRule="atLeast" w:line="480"/>
      <w:ind w:hanging="720" w:start="2880" w:end="0"/>
    </w:pPr>
    <w:rPr>
      <w:rFonts w:ascii="Palatino;Book Antiqua" w:hAnsi="Palatino;Book Antiqua" w:eastAsia="Times New Roman" w:cs="Palatino;Book Antiqua"/>
      <w:color w:val="0000FF"/>
      <w:sz w:val="22"/>
      <w:szCs w:val="20"/>
      <w:lang w:val="en-GB" w:bidi="ar-SA" w:eastAsia="zh-CN"/>
    </w:rPr>
  </w:style>
  <w:style w:type="paragraph" w:styleId="O5">
    <w:name w:val="O5"/>
    <w:qFormat/>
    <w:pPr>
      <w:widowControl/>
      <w:bidi w:val="0"/>
      <w:spacing w:lineRule="atLeast" w:line="480"/>
      <w:ind w:hanging="720" w:start="3600" w:end="0"/>
    </w:pPr>
    <w:rPr>
      <w:rFonts w:ascii="Palatino;Book Antiqua" w:hAnsi="Palatino;Book Antiqua" w:eastAsia="Times New Roman" w:cs="Palatino;Book Antiqua"/>
      <w:color w:val="0000FF"/>
      <w:sz w:val="22"/>
      <w:szCs w:val="20"/>
      <w:lang w:val="en-GB" w:bidi="ar-SA" w:eastAsia="zh-CN"/>
    </w:rPr>
  </w:style>
  <w:style w:type="paragraph" w:styleId="Equation">
    <w:name w:val="Equation"/>
    <w:basedOn w:val="Normal"/>
    <w:qFormat/>
    <w:pPr>
      <w:tabs>
        <w:tab w:val="clear" w:pos="720"/>
        <w:tab w:val="center" w:pos="4320" w:leader="none"/>
        <w:tab w:val="right" w:pos="8505" w:leader="none"/>
      </w:tabs>
      <w:ind w:hanging="0" w:start="567" w:end="0"/>
    </w:pPr>
    <w:rPr>
      <w:color w:val="000000"/>
      <w:lang w:val="en-GB"/>
    </w:rPr>
  </w:style>
  <w:style w:type="paragraph" w:styleId="TI">
    <w:name w:val="TI"/>
    <w:qFormat/>
    <w:pPr>
      <w:widowControl/>
      <w:bidi w:val="0"/>
      <w:jc w:val="center"/>
    </w:pPr>
    <w:rPr>
      <w:rFonts w:ascii="palantino" w:hAnsi="palantino" w:eastAsia="Times New Roman" w:cs="palantino"/>
      <w:b/>
      <w:i/>
      <w:color w:val="auto"/>
      <w:sz w:val="38"/>
      <w:szCs w:val="20"/>
      <w:lang w:val="en-US" w:bidi="ar-SA" w:eastAsia="zh-CN"/>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spacing w:lineRule="auto" w:line="240"/>
    </w:pPr>
    <w:rPr>
      <w:sz w:val="20"/>
      <w:lang w:val="en-GB"/>
    </w:rPr>
  </w:style>
  <w:style w:type="paragraph" w:styleId="Pseudo-code">
    <w:name w:val="Pseudo-code"/>
    <w:basedOn w:val="Normal"/>
    <w:qFormat/>
    <w:pPr>
      <w:ind w:hanging="0" w:start="720" w:end="0"/>
    </w:pPr>
    <w:rPr>
      <w:rFonts w:ascii="Courier New" w:hAnsi="Courier New" w:cs="Courier New"/>
      <w:i/>
      <w:sz w:val="20"/>
      <w:lang w:val="en-GB"/>
    </w:rPr>
  </w:style>
  <w:style w:type="paragraph" w:styleId="BodyText2">
    <w:name w:val="Body Text 2"/>
    <w:basedOn w:val="Normal"/>
    <w:qFormat/>
    <w:pPr/>
    <w:rPr>
      <w:b/>
      <w:i/>
      <w:sz w:val="36"/>
    </w:rPr>
  </w:style>
  <w:style w:type="paragraph" w:styleId="BodyText3">
    <w:name w:val="Body Text 3"/>
    <w:basedOn w:val="Normal"/>
    <w:qFormat/>
    <w:pPr>
      <w:jc w:val="center"/>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Subtitle">
    <w:name w:val="Subtitle"/>
    <w:basedOn w:val="Normal"/>
    <w:next w:val="BodyText"/>
    <w:qFormat/>
    <w:pPr>
      <w:overflowPunct w:val="false"/>
      <w:autoSpaceDE w:val="false"/>
      <w:spacing w:lineRule="auto" w:line="240"/>
      <w:jc w:val="center"/>
      <w:textAlignment w:val="baseline"/>
    </w:pPr>
    <w:rPr>
      <w:b/>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tact@lacimagroup.com" TargetMode="External"/><Relationship Id="rId3" Type="http://schemas.openxmlformats.org/officeDocument/2006/relationships/hyperlink" Target="http://www.lacima.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2001-08-08T02:44:00Z</dcterms:created>
  <dc:creator>Chris Strickland</dc:creator>
  <dc:description/>
  <dc:language>en-CA</dc:language>
  <cp:lastModifiedBy>Chris Strickland</cp:lastModifiedBy>
  <cp:lastPrinted>2001-08-08T19:04:00Z</cp:lastPrinted>
  <dcterms:modified xsi:type="dcterms:W3CDTF">2001-08-08T06:40:00Z</dcterms:modified>
  <cp:revision>6</cp:revision>
  <dc:subject/>
  <dc:title>3	Multi-Factor Versions of the HJM Approach</dc:title>
</cp:coreProperties>
</file>