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Risk Analysis of Swing Contracts</w:t>
      </w:r>
      <w:r>
        <w:rPr>
          <w:rStyle w:val="FootnoteCharacters"/>
          <w:rStyle w:val="FootnoteReference"/>
          <w:sz w:val="20"/>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t xml:space="preserve">Swing based contracts allow the holder to choose within limits the quantity of the underlying energy they wish to receive.  In this article we use the tree based techniques described in the previous article to analyse a typical swing based contract – a Gas Sales Agreement (GSA’s).  </w:t>
      </w:r>
    </w:p>
    <w:p>
      <w:pPr>
        <w:pStyle w:val="Normal"/>
        <w:rPr/>
      </w:pPr>
      <w:r>
        <w:rPr/>
      </w:r>
    </w:p>
    <w:p>
      <w:pPr>
        <w:pStyle w:val="Normal"/>
        <w:rPr/>
      </w:pPr>
      <w:r>
        <w:rPr>
          <w:rFonts w:eastAsia="MS Mincho;ＭＳ 明朝"/>
        </w:rPr>
        <w:t>A GSA is a contract for the supply of variable quantities of gas within certain limits at regular intervals at fixed prices.  The contract is usually for a number of years with gas being purchased on a daily basis.  The constraints on the volume which can be taken are typically a maximum daily quantity and a minimum annual quantity, the Take-or-Pay level (</w:t>
      </w:r>
      <w:r>
        <w:rPr>
          <w:rFonts w:eastAsia="MS Mincho;ＭＳ 明朝"/>
          <w:i/>
          <w:iCs/>
        </w:rPr>
        <w:t>ToP</w:t>
      </w:r>
      <w:r>
        <w:rPr>
          <w:rFonts w:eastAsia="MS Mincho;ＭＳ 明朝"/>
        </w:rPr>
        <w:t xml:space="preserve">), which must be taken to avoid a penalty payment.  The penalty payment is generally a certain percentage of the end of year purchase price applied to the gas shortfall i.e. the difference between the </w:t>
      </w:r>
      <w:r>
        <w:rPr>
          <w:rFonts w:eastAsia="MS Mincho;ＭＳ 明朝"/>
          <w:i/>
          <w:iCs/>
        </w:rPr>
        <w:t>ToP</w:t>
      </w:r>
      <w:r>
        <w:rPr>
          <w:rFonts w:eastAsia="MS Mincho;ＭＳ 明朝"/>
        </w:rPr>
        <w:t xml:space="preserve"> and the amount actually purchased.  Furthermore, many GSA’s have a so-called make-up provision, which allows the holder to offset penalties paid in previous years against gas purchased in later years in excess of the ToP amount.</w:t>
      </w:r>
    </w:p>
    <w:p>
      <w:pPr>
        <w:pStyle w:val="TOC1"/>
        <w:rPr>
          <w:rFonts w:eastAsia="MS Mincho;ＭＳ 明朝"/>
        </w:rPr>
      </w:pPr>
      <w:r>
        <w:rPr>
          <w:rFonts w:eastAsia="MS Mincho;ＭＳ 明朝"/>
        </w:rPr>
      </w:r>
    </w:p>
    <w:p>
      <w:pPr>
        <w:pStyle w:val="Normal"/>
        <w:rPr/>
      </w:pPr>
      <w:r>
        <w:rPr>
          <w:rFonts w:eastAsia="MS Mincho;ＭＳ 明朝"/>
        </w:rPr>
        <w:t xml:space="preserve">A GSA can be viewed as a mixture of a swap and a strip of options.  </w:t>
      </w:r>
      <w:r>
        <w:rPr/>
        <w:t>In the absence of a penalty the optimal strategy is to take the maximum allowable gas when the spot price is above the purchase price and nothing otherwise thus realising a strictly positive stream of cashflows with respect to the spot market for gas.  On the other hand, if the penalty is high and/or the ToP level is equal to the maximum quantity which can be purchased then the optimal strategy is to purchase the maximum allowable gas regardless of the spot gas price.  In this case the GSA is equivalent to a vanilla swap.</w:t>
      </w:r>
    </w:p>
    <w:p>
      <w:pPr>
        <w:pStyle w:val="Normal"/>
        <w:rPr/>
      </w:pPr>
      <w:r>
        <w:rPr/>
      </w:r>
    </w:p>
    <w:p>
      <w:pPr>
        <w:pStyle w:val="Normal"/>
        <w:rPr/>
      </w:pPr>
      <w:r>
        <w:rPr/>
        <w:t xml:space="preserve">Therefore, the first step in the risk analysis of a GSA is to value the equivalent swap and strip of options.  Before we do this we define some notation.  </w:t>
      </w:r>
      <w:r>
        <w:rPr>
          <w:rFonts w:eastAsia="MS Mincho;ＭＳ 明朝"/>
        </w:rPr>
        <w:t xml:space="preserve">We denote the total period of the contract by </w:t>
      </w:r>
      <w:r>
        <w:rPr>
          <w:rFonts w:eastAsia="MS Mincho;ＭＳ 明朝"/>
          <w:i/>
          <w:iCs/>
        </w:rPr>
        <w:t>T</w:t>
      </w:r>
      <w:r>
        <w:rPr>
          <w:rFonts w:eastAsia="MS Mincho;ＭＳ 明朝"/>
        </w:rPr>
        <w:t xml:space="preserve">, the interval between purchases is </w:t>
      </w:r>
      <w:r>
        <w:rPr>
          <w:rFonts w:eastAsia="MS Mincho;ＭＳ 明朝"/>
          <w:i/>
          <w:iCs/>
        </w:rPr>
        <w:t>dT</w:t>
      </w:r>
      <w:r>
        <w:rPr>
          <w:rFonts w:eastAsia="MS Mincho;ＭＳ 明朝"/>
        </w:rPr>
        <w:t xml:space="preserve">, and the set of purchase prices is given by </w:t>
      </w:r>
      <w:r>
        <w:rPr>
          <w:rFonts w:eastAsia="MS Mincho;ＭＳ 明朝"/>
          <w:i/>
          <w:iCs/>
        </w:rPr>
        <w:t>K</w:t>
      </w:r>
      <w:r>
        <w:rPr>
          <w:rFonts w:eastAsia="MS Mincho;ＭＳ 明朝"/>
          <w:i/>
          <w:iCs/>
          <w:vertAlign w:val="subscript"/>
        </w:rPr>
        <w:t>i</w:t>
      </w:r>
      <w:r>
        <w:rPr>
          <w:rFonts w:eastAsia="MS Mincho;ＭＳ 明朝"/>
        </w:rPr>
        <w:t xml:space="preserve"> where </w:t>
      </w:r>
      <w:r>
        <w:rPr>
          <w:rFonts w:eastAsia="MS Mincho;ＭＳ 明朝"/>
          <w:i/>
          <w:iCs/>
        </w:rPr>
        <w:t>i</w:t>
      </w:r>
      <w:r>
        <w:rPr>
          <w:rFonts w:eastAsia="MS Mincho;ＭＳ 明朝"/>
        </w:rPr>
        <w:t xml:space="preserve"> indicates the purchase date (</w:t>
      </w:r>
      <w:r>
        <w:rPr>
          <w:rFonts w:eastAsia="MS Mincho;ＭＳ 明朝"/>
          <w:i/>
          <w:iCs/>
        </w:rPr>
        <w:t>i</w:t>
      </w:r>
      <w:r>
        <w:rPr>
          <w:rFonts w:eastAsia="MS Mincho;ＭＳ 明朝"/>
        </w:rPr>
        <w:t>=1,…,</w:t>
      </w:r>
      <w:r>
        <w:rPr>
          <w:rFonts w:eastAsia="MS Mincho;ＭＳ 明朝"/>
          <w:i/>
          <w:iCs/>
        </w:rPr>
        <w:t>m</w:t>
      </w:r>
      <w:r>
        <w:rPr>
          <w:rFonts w:eastAsia="MS Mincho;ＭＳ 明朝"/>
        </w:rPr>
        <w:t xml:space="preserve">).  The maximum amount which can be taken in any interval is given by </w:t>
      </w:r>
      <w:r>
        <w:rPr>
          <w:rFonts w:eastAsia="MS Mincho;ＭＳ 明朝"/>
          <w:i/>
          <w:iCs/>
        </w:rPr>
        <w:t>Vmax</w:t>
      </w:r>
      <w:r>
        <w:rPr>
          <w:rFonts w:eastAsia="MS Mincho;ＭＳ 明朝"/>
        </w:rPr>
        <w:t xml:space="preserve">, the minimum quantity, as a percentage of the maximum in any year, which must be taken to avoid a </w:t>
      </w:r>
      <w:r>
        <w:rPr>
          <w:rFonts w:eastAsia="MS Mincho;ＭＳ 明朝"/>
          <w:i/>
          <w:iCs/>
        </w:rPr>
        <w:t>penalty</w:t>
      </w:r>
      <w:r>
        <w:rPr>
          <w:rFonts w:eastAsia="MS Mincho;ＭＳ 明朝"/>
        </w:rPr>
        <w:t xml:space="preserve"> is given by </w:t>
      </w:r>
      <w:r>
        <w:rPr>
          <w:rFonts w:eastAsia="MS Mincho;ＭＳ 明朝"/>
          <w:i/>
          <w:iCs/>
        </w:rPr>
        <w:t>ToP</w:t>
      </w:r>
      <w:r>
        <w:rPr>
          <w:rFonts w:eastAsia="MS Mincho;ＭＳ 明朝"/>
        </w:rPr>
        <w:t xml:space="preserve">.  The </w:t>
      </w:r>
      <w:r>
        <w:rPr>
          <w:rFonts w:eastAsia="MS Mincho;ＭＳ 明朝"/>
          <w:i/>
          <w:iCs/>
        </w:rPr>
        <w:t>penalty</w:t>
      </w:r>
      <w:r>
        <w:rPr>
          <w:rFonts w:eastAsia="MS Mincho;ＭＳ 明朝"/>
        </w:rPr>
        <w:t xml:space="preserve"> is a percentage of the final purchase price in the relevant year applied to the quantity shortfall in that year.  Any </w:t>
      </w:r>
      <w:r>
        <w:rPr>
          <w:rFonts w:eastAsia="MS Mincho;ＭＳ 明朝"/>
          <w:i/>
          <w:iCs/>
        </w:rPr>
        <w:t>penalty</w:t>
      </w:r>
      <w:r>
        <w:rPr>
          <w:rFonts w:eastAsia="MS Mincho;ＭＳ 明朝"/>
        </w:rPr>
        <w:t xml:space="preserve"> paid can be used to offset against future purchases in any year within the make-up period </w:t>
      </w:r>
      <w:r>
        <w:rPr>
          <w:rFonts w:eastAsia="MS Mincho;ＭＳ 明朝"/>
          <w:i/>
          <w:iCs/>
        </w:rPr>
        <w:t>MUP</w:t>
      </w:r>
      <w:r>
        <w:rPr>
          <w:rFonts w:eastAsia="MS Mincho;ＭＳ 明朝"/>
        </w:rPr>
        <w:t xml:space="preserve"> (years) in which the </w:t>
      </w:r>
      <w:r>
        <w:rPr>
          <w:rFonts w:eastAsia="MS Mincho;ＭＳ 明朝"/>
          <w:i/>
          <w:iCs/>
        </w:rPr>
        <w:t>ToP</w:t>
      </w:r>
      <w:r>
        <w:rPr>
          <w:rFonts w:eastAsia="MS Mincho;ＭＳ 明朝"/>
        </w:rPr>
        <w:t xml:space="preserve"> level has been reached.</w:t>
      </w:r>
    </w:p>
    <w:p>
      <w:pPr>
        <w:pStyle w:val="TOC1"/>
        <w:rPr>
          <w:rFonts w:eastAsia="MS Mincho;ＭＳ 明朝"/>
        </w:rPr>
      </w:pPr>
      <w:r>
        <w:rPr>
          <w:rFonts w:eastAsia="MS Mincho;ＭＳ 明朝"/>
        </w:rPr>
      </w:r>
    </w:p>
    <w:p>
      <w:pPr>
        <w:pStyle w:val="Normal"/>
        <w:rPr/>
      </w:pPr>
      <w:r>
        <w:rPr>
          <w:rFonts w:eastAsia="MS Mincho;ＭＳ 明朝"/>
        </w:rPr>
        <w:t>Firstly, we analyse an example of a one year GSA (</w:t>
      </w:r>
      <w:r>
        <w:rPr>
          <w:rFonts w:eastAsia="MS Mincho;ＭＳ 明朝"/>
          <w:i/>
          <w:iCs/>
        </w:rPr>
        <w:t>T</w:t>
      </w:r>
      <w:r>
        <w:rPr>
          <w:rFonts w:eastAsia="MS Mincho;ＭＳ 明朝"/>
        </w:rPr>
        <w:t>=1) with monthly purchase dates (</w:t>
      </w:r>
      <w:r>
        <w:rPr>
          <w:rFonts w:eastAsia="MS Mincho;ＭＳ 明朝"/>
          <w:i/>
          <w:iCs/>
        </w:rPr>
        <w:t>dT</w:t>
      </w:r>
      <w:r>
        <w:rPr>
          <w:rFonts w:eastAsia="MS Mincho;ＭＳ 明朝"/>
        </w:rPr>
        <w:t xml:space="preserve">=1/12), </w:t>
      </w:r>
      <w:r>
        <w:rPr>
          <w:rFonts w:eastAsia="MS Mincho;ＭＳ 明朝"/>
          <w:i/>
          <w:iCs/>
        </w:rPr>
        <w:t>ToP</w:t>
      </w:r>
      <w:r>
        <w:rPr>
          <w:rFonts w:eastAsia="MS Mincho;ＭＳ 明朝"/>
        </w:rPr>
        <w:t xml:space="preserve"> = 80%, </w:t>
      </w:r>
      <w:r>
        <w:rPr>
          <w:rFonts w:eastAsia="MS Mincho;ＭＳ 明朝"/>
          <w:i/>
          <w:iCs/>
        </w:rPr>
        <w:t>penalty</w:t>
      </w:r>
      <w:r>
        <w:rPr>
          <w:rFonts w:eastAsia="MS Mincho;ＭＳ 明朝"/>
        </w:rPr>
        <w:t xml:space="preserve"> = 100%, </w:t>
      </w:r>
      <w:r>
        <w:rPr>
          <w:rFonts w:eastAsia="MS Mincho;ＭＳ 明朝"/>
          <w:i/>
          <w:iCs/>
        </w:rPr>
        <w:t>Vmax</w:t>
      </w:r>
      <w:r>
        <w:rPr>
          <w:rFonts w:eastAsia="MS Mincho;ＭＳ 明朝"/>
        </w:rPr>
        <w:t xml:space="preserve"> = 1.0 and purchase prices equal to the forward prices.  Interest rates are assumed flat at 5%.  With the purchase prices assumed equal to the forward prices the equivalent swap has zero value.  This valuation does not depend on any model assumptions.  The next step is to value the equivalent strip of options and this requires the assumption of a model for gas spot prices.  It is important that this model is consistent with the key market data – the forward curve, spot price volatilities, and captures the mean reversion and jumps in gas spot prices.  Figure 1 shows the values of the individual options in the equivalent strip of options using the mean reverting jump diffusion model we have described in earlier articles for mean reversion rates of zero and a value of 1.4358 obtained from fitting the model the gas forward price volatilities.</w:t>
      </w:r>
    </w:p>
    <w:p>
      <w:pPr>
        <w:pStyle w:val="Normal"/>
        <w:rPr>
          <w:rFonts w:eastAsia="MS Mincho;ＭＳ 明朝"/>
        </w:rPr>
      </w:pPr>
      <w:r>
        <w:rPr>
          <w:rFonts w:eastAsia="MS Mincho;ＭＳ 明朝"/>
        </w:rPr>
      </w:r>
    </w:p>
    <w:p>
      <w:pPr>
        <w:pStyle w:val="Normal"/>
        <w:jc w:val="center"/>
        <w:rPr>
          <w:b/>
          <w:bCs/>
        </w:rPr>
      </w:pPr>
      <w:r>
        <w:drawing>
          <wp:anchor behindDoc="0" distT="0" distB="0" distL="114935" distR="114935" simplePos="0" locked="0" layoutInCell="0" allowOverlap="1" relativeHeight="7">
            <wp:simplePos x="0" y="0"/>
            <wp:positionH relativeFrom="column">
              <wp:posOffset>527050</wp:posOffset>
            </wp:positionH>
            <wp:positionV relativeFrom="paragraph">
              <wp:posOffset>288290</wp:posOffset>
            </wp:positionV>
            <wp:extent cx="4751705" cy="27000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7" r="-5" b="-7"/>
                    <a:stretch>
                      <a:fillRect/>
                    </a:stretch>
                  </pic:blipFill>
                  <pic:spPr bwMode="auto">
                    <a:xfrm>
                      <a:off x="0" y="0"/>
                      <a:ext cx="4751705" cy="2700020"/>
                    </a:xfrm>
                    <a:prstGeom prst="rect">
                      <a:avLst/>
                    </a:prstGeom>
                    <a:noFill/>
                  </pic:spPr>
                </pic:pic>
              </a:graphicData>
            </a:graphic>
          </wp:anchor>
        </w:drawing>
      </w:r>
      <w:r>
        <w:rPr>
          <w:b/>
          <w:bCs/>
        </w:rPr>
        <w:t>Figure 1 : Value of Options in GSA Equivalent Strip</w:t>
      </w:r>
    </w:p>
    <w:p>
      <w:pPr>
        <w:pStyle w:val="Normal"/>
        <w:rPr>
          <w:b/>
          <w:bCs/>
        </w:rPr>
      </w:pPr>
      <w:r>
        <w:rPr>
          <w:b/>
          <w:bCs/>
        </w:rPr>
      </w:r>
      <w:r>
        <w:br w:type="page"/>
      </w:r>
    </w:p>
    <w:p>
      <w:pPr>
        <w:pStyle w:val="Normal"/>
        <w:rPr/>
      </w:pPr>
      <w:r>
        <w:rPr/>
        <w:t xml:space="preserve">Notice how the value is very different for the case of no mean reversion (alpha=0.0) and how the values vary with the market forward curve.  The next stage in the risk analysis is to look at how the value of the GSA can vary as the </w:t>
      </w:r>
      <w:r>
        <w:rPr>
          <w:i/>
          <w:iCs/>
        </w:rPr>
        <w:t>ToP</w:t>
      </w:r>
      <w:r>
        <w:rPr/>
        <w:t xml:space="preserve"> and </w:t>
      </w:r>
      <w:r>
        <w:rPr>
          <w:i/>
          <w:iCs/>
        </w:rPr>
        <w:t>penalty</w:t>
      </w:r>
      <w:r>
        <w:rPr/>
        <w:t xml:space="preserve"> parameters are varied between their limits.  This will tell whether a particular choice of these parameter gives a GSA which is closer to a swap or a strip of options.  Figure 2 illustrates the results of this analysis using the methodology described in the previous article.</w:t>
      </w:r>
    </w:p>
    <w:p>
      <w:pPr>
        <w:pStyle w:val="Normal"/>
        <w:rPr/>
      </w:pPr>
      <w:r>
        <w:rPr/>
      </w:r>
    </w:p>
    <w:p>
      <w:pPr>
        <w:pStyle w:val="Normal"/>
        <w:jc w:val="center"/>
        <w:rPr>
          <w:b/>
          <w:bCs/>
        </w:rPr>
      </w:pPr>
      <w:r>
        <w:rPr>
          <w:b/>
          <w:bCs/>
        </w:rPr>
        <w:t>Figure 2 : Value of the GSA - Varying the ToP and Penalty</w:t>
      </w:r>
    </w:p>
    <w:p>
      <w:pPr>
        <w:pStyle w:val="Normal"/>
        <w:rPr>
          <w:b/>
          <w:bCs/>
          <w:sz w:val="20"/>
          <w:lang w:val="en-CA" w:eastAsia="en-CA"/>
        </w:rPr>
      </w:pPr>
      <w:r>
        <w:rPr>
          <w:b/>
          <w:bCs/>
          <w:sz w:val="20"/>
          <w:lang w:val="en-CA" w:eastAsia="en-CA"/>
        </w:rPr>
        <w:drawing>
          <wp:anchor behindDoc="0" distT="0" distB="0" distL="114935" distR="114935" simplePos="0" locked="0" layoutInCell="0" allowOverlap="1" relativeHeight="8">
            <wp:simplePos x="0" y="0"/>
            <wp:positionH relativeFrom="column">
              <wp:posOffset>497205</wp:posOffset>
            </wp:positionH>
            <wp:positionV relativeFrom="paragraph">
              <wp:posOffset>8890</wp:posOffset>
            </wp:positionV>
            <wp:extent cx="4751705" cy="270002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10" r="-5" b="-10"/>
                    <a:stretch>
                      <a:fillRect/>
                    </a:stretch>
                  </pic:blipFill>
                  <pic:spPr bwMode="auto">
                    <a:xfrm>
                      <a:off x="0" y="0"/>
                      <a:ext cx="4751705" cy="2700020"/>
                    </a:xfrm>
                    <a:prstGeom prst="rect">
                      <a:avLst/>
                    </a:prstGeom>
                    <a:noFill/>
                  </pic:spPr>
                </pic:pic>
              </a:graphicData>
            </a:graphic>
          </wp:anchor>
        </w:drawing>
      </w:r>
    </w:p>
    <w:p>
      <w:pPr>
        <w:pStyle w:val="Normal"/>
        <w:rPr/>
      </w:pPr>
      <w:r>
        <w:rPr/>
        <w:t xml:space="preserve">If either the </w:t>
      </w:r>
      <w:r>
        <w:rPr>
          <w:i/>
          <w:iCs/>
        </w:rPr>
        <w:t>ToP</w:t>
      </w:r>
      <w:r>
        <w:rPr/>
        <w:t xml:space="preserve"> or the </w:t>
      </w:r>
      <w:r>
        <w:rPr>
          <w:i/>
          <w:iCs/>
        </w:rPr>
        <w:t>penalty</w:t>
      </w:r>
      <w:r>
        <w:rPr/>
        <w:t xml:space="preserve"> is zero then there will be no cash penalty to be paid regardless of the volume taken.  The optimal strategy is this case is to exercise the GSA as though it were a strip of options i.e. on each payment date, if the spot price is greater than the purchase price then the maximum allowable volume should be taken, if the spot price is less than the purchase we take nothing.  If the </w:t>
      </w:r>
      <w:r>
        <w:rPr>
          <w:i/>
          <w:iCs/>
        </w:rPr>
        <w:t>ToP</w:t>
      </w:r>
      <w:r>
        <w:rPr/>
        <w:t xml:space="preserve"> level is 100% then we must take the maximum allowable volume on every single payment date in order to avoid a penalty payment.  If in addition the penalty is 100% then we will have to fully pay for any gas which is not taken.  Thus the optimal strategy in this case is to take the maximum allowable volume on each purchase date and the GSA becomes equivalent to a standard swap contract.  Increasing </w:t>
      </w:r>
      <w:r>
        <w:rPr>
          <w:i/>
          <w:iCs/>
        </w:rPr>
        <w:t>penalty</w:t>
      </w:r>
      <w:r>
        <w:rPr/>
        <w:t xml:space="preserve"> levels have a much stronger effect on the value of the optionality in the GSA than increasing </w:t>
      </w:r>
      <w:r>
        <w:rPr>
          <w:i/>
          <w:iCs/>
        </w:rPr>
        <w:t>ToP</w:t>
      </w:r>
      <w:r>
        <w:rPr/>
        <w:t xml:space="preserve"> levels.  Increasing </w:t>
      </w:r>
      <w:r>
        <w:rPr>
          <w:i/>
          <w:iCs/>
        </w:rPr>
        <w:t>penalty</w:t>
      </w:r>
      <w:r>
        <w:rPr/>
        <w:t xml:space="preserve"> levels above approximately 75% does not affect the value for a fixed </w:t>
      </w:r>
      <w:r>
        <w:rPr>
          <w:i/>
          <w:iCs/>
        </w:rPr>
        <w:t>ToP</w:t>
      </w:r>
      <w:r>
        <w:rPr/>
        <w:t xml:space="preserve"> level.  Conversely, the effect of increasing </w:t>
      </w:r>
      <w:r>
        <w:rPr>
          <w:i/>
          <w:iCs/>
        </w:rPr>
        <w:t>ToP</w:t>
      </w:r>
      <w:r>
        <w:rPr/>
        <w:t xml:space="preserve"> levels becomes stronger as </w:t>
      </w:r>
      <w:r>
        <w:rPr>
          <w:i/>
          <w:iCs/>
        </w:rPr>
        <w:t>ToP</w:t>
      </w:r>
      <w:r>
        <w:rPr/>
        <w:t xml:space="preserve"> increases.  Thus for typical values of 100% </w:t>
      </w:r>
      <w:r>
        <w:rPr>
          <w:i/>
          <w:iCs/>
        </w:rPr>
        <w:t>penalty</w:t>
      </w:r>
      <w:r>
        <w:rPr/>
        <w:t xml:space="preserve"> and </w:t>
      </w:r>
      <w:r>
        <w:rPr>
          <w:i/>
          <w:iCs/>
        </w:rPr>
        <w:t>ToP</w:t>
      </w:r>
      <w:r>
        <w:rPr/>
        <w:t xml:space="preserve"> of 80% or more there is very little valuation sensitivity with respect to the penalty but significant valuation sensitivity to the chosen </w:t>
      </w:r>
      <w:r>
        <w:rPr>
          <w:i/>
          <w:iCs/>
        </w:rPr>
        <w:t>ToP</w:t>
      </w:r>
      <w:r>
        <w:rPr/>
        <w:t xml:space="preserve"> value.  Note that the relationship between the </w:t>
      </w:r>
      <w:r>
        <w:rPr>
          <w:i/>
          <w:iCs/>
        </w:rPr>
        <w:t>penalty</w:t>
      </w:r>
      <w:r>
        <w:rPr/>
        <w:t xml:space="preserve"> and </w:t>
      </w:r>
      <w:r>
        <w:rPr>
          <w:i/>
          <w:iCs/>
        </w:rPr>
        <w:t>ToP</w:t>
      </w:r>
      <w:r>
        <w:rPr/>
        <w:t xml:space="preserve"> and the location of the GSA value between the limiting cases of the swap and option strip values are important checks that can and should be used in the valuation process.</w:t>
      </w:r>
    </w:p>
    <w:p>
      <w:pPr>
        <w:pStyle w:val="Normal"/>
        <w:rPr/>
      </w:pPr>
      <w:r>
        <w:rPr/>
      </w:r>
    </w:p>
    <w:p>
      <w:pPr>
        <w:pStyle w:val="Normal"/>
        <w:rPr/>
      </w:pPr>
      <w:r>
        <w:rPr/>
        <w:t>Another key part of the analysis is to look at the optimal purchase strategy as function of the spot gas price and the volume of gas which remains to be purchased to avoid the penalty</w:t>
      </w:r>
      <w:r>
        <w:rPr>
          <w:rStyle w:val="FootnoteCharacters"/>
          <w:rStyle w:val="FootnoteReference"/>
        </w:rPr>
        <w:footnoteReference w:id="3"/>
      </w:r>
      <w:r>
        <w:rPr/>
        <w:t>.  Figure 3 shows the optimal volume to be purchased for the sixth purchase date.</w:t>
      </w:r>
    </w:p>
    <w:p>
      <w:pPr>
        <w:pStyle w:val="Normal"/>
        <w:rPr/>
      </w:pPr>
      <w:r>
        <w:rPr/>
      </w:r>
    </w:p>
    <w:p>
      <w:pPr>
        <w:pStyle w:val="Normal"/>
        <w:jc w:val="center"/>
        <w:rPr>
          <w:b/>
          <w:bCs/>
        </w:rPr>
      </w:pPr>
      <w:r>
        <w:rPr>
          <w:b/>
          <w:bCs/>
        </w:rPr>
        <w:t>Figure 3 : Value of Options in GSA Equivalent Strip</w:t>
      </w:r>
    </w:p>
    <w:p>
      <w:pPr>
        <w:pStyle w:val="Normal"/>
        <w:rPr>
          <w:b/>
          <w:bCs/>
          <w:sz w:val="20"/>
          <w:lang w:val="en-CA" w:eastAsia="en-CA"/>
        </w:rPr>
      </w:pPr>
      <w:r>
        <w:rPr>
          <w:b/>
          <w:bCs/>
          <w:sz w:val="20"/>
          <w:lang w:val="en-CA" w:eastAsia="en-CA"/>
        </w:rPr>
        <w:drawing>
          <wp:anchor behindDoc="0" distT="0" distB="0" distL="114935" distR="114935" simplePos="0" locked="0" layoutInCell="0" allowOverlap="1" relativeHeight="9">
            <wp:simplePos x="0" y="0"/>
            <wp:positionH relativeFrom="column">
              <wp:posOffset>51435</wp:posOffset>
            </wp:positionH>
            <wp:positionV relativeFrom="paragraph">
              <wp:posOffset>46990</wp:posOffset>
            </wp:positionV>
            <wp:extent cx="5646420" cy="347726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5646420" cy="3477260"/>
                    </a:xfrm>
                    <a:prstGeom prst="rect">
                      <a:avLst/>
                    </a:prstGeom>
                    <a:noFill/>
                  </pic:spPr>
                </pic:pic>
              </a:graphicData>
            </a:graphic>
          </wp:anchor>
        </w:drawing>
      </w:r>
    </w:p>
    <w:p>
      <w:pPr>
        <w:pStyle w:val="Normal"/>
        <w:rPr/>
      </w:pPr>
      <w:r>
        <w:rPr/>
        <w:t xml:space="preserve">Analysis of the optimal strategy reveals that there is a critical spot gas price </w:t>
      </w:r>
      <w:r>
        <w:rPr>
          <w:i/>
          <w:iCs/>
        </w:rPr>
        <w:t>S</w:t>
      </w:r>
      <w:r>
        <w:rPr>
          <w:i/>
          <w:iCs/>
          <w:vertAlign w:val="subscript"/>
        </w:rPr>
        <w:t>critical</w:t>
      </w:r>
      <w:r>
        <w:rPr/>
        <w:t>(</w:t>
      </w:r>
      <w:r>
        <w:rPr>
          <w:i/>
          <w:iCs/>
        </w:rPr>
        <w:t>t</w:t>
      </w:r>
      <w:r>
        <w:rPr/>
        <w:t xml:space="preserve">) ( &lt; </w:t>
      </w:r>
      <w:r>
        <w:rPr>
          <w:i/>
          <w:iCs/>
        </w:rPr>
        <w:t>K</w:t>
      </w:r>
      <w:r>
        <w:rPr/>
        <w:t xml:space="preserve"> ) which varies through the life of the GSA above which it is optimal to take gas.  The optimal volume decision is essentially binary i.e. either nothing or the maximum possible.  When the volume remaining to take is small relative to the time remaining the optimal exercise strategy is option-like.  The critical spot price can be viewed as being equal to the purchase price in this case.  This can be seen in the lower section of Figure 3.  When the time remaining is such that gas must be purchased on every purchase date to avoid the penalty then </w:t>
      </w:r>
      <w:r>
        <w:rPr>
          <w:i/>
          <w:iCs/>
        </w:rPr>
        <w:t>S</w:t>
      </w:r>
      <w:r>
        <w:rPr>
          <w:i/>
          <w:iCs/>
          <w:vertAlign w:val="subscript"/>
        </w:rPr>
        <w:t>critical</w:t>
      </w:r>
      <w:r>
        <w:rPr/>
        <w:t>(</w:t>
      </w:r>
      <w:r>
        <w:rPr>
          <w:i/>
          <w:iCs/>
        </w:rPr>
        <w:t>t</w:t>
      </w:r>
      <w:r>
        <w:rPr/>
        <w:t>) becomes much less than the purchase price.  The presence of the penalty therefore turns the GSA into a combination of a strip of options and a swap with a floor at the critical spot price.</w:t>
      </w:r>
    </w:p>
    <w:p>
      <w:pPr>
        <w:pStyle w:val="Normal"/>
        <w:rPr/>
      </w:pPr>
      <w:r>
        <w:rPr/>
      </w:r>
    </w:p>
    <w:p>
      <w:pPr>
        <w:pStyle w:val="Normal"/>
        <w:rPr/>
      </w:pPr>
      <w:r>
        <w:rPr/>
        <w:t>The introduction of a make-up provision typically has little value if the GSA is exercised optimally with respect to the spot market price of gas.  Since the penalty payment means that any shortfall in the gas taken must be paid for anyway (the penalty is almost always 100%), the optimal critical spot price is such that a shortfall is almost always avoided.  Therefore there are very few instances when there is make-up gas available in later years to be used.  However, if in a particular year the purchase prices are relatively high compared to the forward curve then, with a make-up provision it can become optimal to postpone purchases to a later year.</w:t>
      </w:r>
    </w:p>
    <w:p>
      <w:pPr>
        <w:pStyle w:val="Normal"/>
        <w:rPr/>
      </w:pPr>
      <w:r>
        <w:rPr/>
      </w:r>
    </w:p>
    <w:p>
      <w:pPr>
        <w:pStyle w:val="Normal"/>
        <w:rPr/>
      </w:pPr>
      <w:r>
        <w:rPr/>
      </w:r>
    </w:p>
    <w:p>
      <w:pPr>
        <w:pStyle w:val="Normal"/>
        <w:spacing w:lineRule="auto" w:line="240"/>
        <w:rPr>
          <w:b/>
          <w:sz w:val="20"/>
        </w:rPr>
      </w:pPr>
      <w:r>
        <w:rPr>
          <w:b/>
          <w:sz w:val="20"/>
        </w:rPr>
        <w:t>Les Clewlow and Chris Strickland are Principals of Lacima Group, and are affiliated to the School of Finance and Economics, University of Technology Sydney, Australia and the Financial Options Research Centre, Warwick Business School, University of Warwick, UK.</w:t>
      </w:r>
    </w:p>
    <w:p>
      <w:pPr>
        <w:pStyle w:val="Normal"/>
        <w:spacing w:lineRule="auto" w:line="240"/>
        <w:rPr>
          <w:b/>
          <w:sz w:val="20"/>
        </w:rPr>
      </w:pPr>
      <w:r>
        <w:rPr>
          <w:b/>
          <w:sz w:val="20"/>
        </w:rPr>
      </w:r>
    </w:p>
    <w:p>
      <w:pPr>
        <w:pStyle w:val="Normal"/>
        <w:spacing w:lineRule="auto" w:line="240"/>
        <w:rPr>
          <w:b/>
          <w:sz w:val="20"/>
        </w:rPr>
      </w:pPr>
      <w:r>
        <w:rPr>
          <w:b/>
          <w:sz w:val="20"/>
        </w:rPr>
        <w:t>Vince Kaminski is Managing Director and Head of Research for Enron Corp. based in Houston, Texas</w:t>
      </w:r>
    </w:p>
    <w:p>
      <w:pPr>
        <w:pStyle w:val="Normal"/>
        <w:spacing w:lineRule="auto" w:line="240"/>
        <w:rPr>
          <w:b/>
          <w:sz w:val="20"/>
        </w:rPr>
      </w:pPr>
      <w:r>
        <w:rPr>
          <w:b/>
          <w:sz w:val="20"/>
        </w:rPr>
      </w:r>
    </w:p>
    <w:p>
      <w:pPr>
        <w:pStyle w:val="Normal"/>
        <w:spacing w:lineRule="auto" w:line="240"/>
        <w:rPr>
          <w:b/>
          <w:sz w:val="20"/>
        </w:rPr>
      </w:pPr>
      <w:hyperlink r:id="rId5">
        <w:r>
          <w:rPr>
            <w:rStyle w:val="Hyperlink"/>
            <w:b/>
            <w:sz w:val="20"/>
          </w:rPr>
          <w:t>contact@lacimagroup.com</w:t>
        </w:r>
      </w:hyperlink>
    </w:p>
    <w:p>
      <w:pPr>
        <w:pStyle w:val="Normal"/>
        <w:spacing w:lineRule="auto" w:line="240"/>
        <w:rPr>
          <w:b/>
          <w:sz w:val="20"/>
        </w:rPr>
      </w:pPr>
      <w:hyperlink r:id="rId6">
        <w:r>
          <w:rPr>
            <w:rStyle w:val="Hyperlink"/>
            <w:b/>
            <w:sz w:val="20"/>
          </w:rPr>
          <w:t>www.lacimagroup.com</w:t>
        </w:r>
      </w:hyperlink>
    </w:p>
    <w:p>
      <w:pPr>
        <w:pStyle w:val="Normal"/>
        <w:rPr>
          <w:b/>
          <w:sz w:val="20"/>
        </w:rPr>
      </w:pPr>
      <w:r>
        <w:rPr>
          <w:b/>
          <w:sz w:val="20"/>
        </w:rPr>
      </w:r>
    </w:p>
    <w:p>
      <w:pPr>
        <w:pStyle w:val="Heading4"/>
        <w:ind w:hanging="0" w:start="0"/>
        <w:rPr>
          <w:bCs/>
        </w:rPr>
      </w:pPr>
      <w:r>
        <w:rPr>
          <w:bCs/>
        </w:rPr>
        <w:t>References</w:t>
      </w:r>
    </w:p>
    <w:p>
      <w:pPr>
        <w:pStyle w:val="TOC1"/>
        <w:spacing w:lineRule="auto" w:line="240"/>
        <w:rPr>
          <w:bCs/>
        </w:rPr>
      </w:pPr>
      <w:r>
        <w:rPr>
          <w:bCs/>
        </w:rPr>
      </w:r>
    </w:p>
    <w:p>
      <w:pPr>
        <w:pStyle w:val="Normal"/>
        <w:spacing w:lineRule="auto" w:line="240"/>
        <w:rPr/>
      </w:pPr>
      <w:r>
        <w:rPr/>
        <w:t>Clewlow, L, and C Strickland, “</w:t>
      </w:r>
      <w:r>
        <w:rPr>
          <w:i/>
          <w:iCs/>
        </w:rPr>
        <w:t>Energy Derivatives: Pricing and Risk Management</w:t>
      </w:r>
      <w:r>
        <w:rPr/>
        <w:t>”, 2000, Lacima Publications.</w:t>
      </w:r>
    </w:p>
    <w:p>
      <w:pPr>
        <w:pStyle w:val="Normal"/>
        <w:spacing w:lineRule="auto" w:line="240"/>
        <w:rPr/>
      </w:pPr>
      <w:r>
        <w:rPr/>
      </w:r>
    </w:p>
    <w:p>
      <w:pPr>
        <w:pStyle w:val="TOC1"/>
        <w:autoSpaceDE w:val="false"/>
        <w:spacing w:lineRule="auto" w:line="240"/>
        <w:rPr/>
      </w:pPr>
      <w:r>
        <w:rPr/>
        <w:t xml:space="preserve">Thompson, A C, “Valuation of path-dependent contingent claims with multiple exercise decisions over time:The case of take-or-pay”, Journal of </w:t>
      </w:r>
      <w:r>
        <w:rPr>
          <w:szCs w:val="18"/>
        </w:rPr>
        <w:t>Financial and Quantitative Analysis, Vol 30, No 2, June 1995, pages 271–293.</w:t>
      </w:r>
    </w:p>
    <w:p>
      <w:pPr>
        <w:pStyle w:val="Normal"/>
        <w:spacing w:lineRule="auto" w:line="240"/>
        <w:rPr>
          <w:szCs w:val="18"/>
        </w:rPr>
      </w:pPr>
      <w:r>
        <w:rPr>
          <w:szCs w:val="18"/>
        </w:rPr>
      </w:r>
    </w:p>
    <w:p>
      <w:pPr>
        <w:pStyle w:val="Normal"/>
        <w:spacing w:lineRule="auto" w:line="240"/>
        <w:rPr>
          <w:szCs w:val="18"/>
          <w:lang w:val="en-CA" w:eastAsia="en-CA"/>
        </w:rPr>
      </w:pPr>
      <w:r>
        <w:rPr>
          <w:szCs w:val="18"/>
          <w:lang w:val="en-CA" w:eastAsia="en-CA"/>
        </w:rPr>
      </w:r>
    </w:p>
    <w:sectPr>
      <w:headerReference w:type="default" r:id="rId7"/>
      <w:footerReference w:type="default" r:id="rId8"/>
      <w:footnotePr>
        <w:numFmt w:val="decimal"/>
      </w:footnotePr>
      <w:type w:val="nextPage"/>
      <w:pgSz w:w="11906" w:h="16838"/>
      <w:pgMar w:left="1418" w:right="1418" w:gutter="0" w:header="720" w:top="1418" w:footer="720" w:bottom="141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EPRM_12_swing_anal.doc</w:t>
    </w:r>
    <w:r>
      <w:rPr>
        <w:i/>
      </w:rPr>
      <w:fldChar w:fldCharType="end"/>
    </w:r>
    <w:r>
      <w:rPr>
        <w:i/>
      </w:rPr>
      <w:tab/>
      <w:t>copyright Les Clewlow, Chris Strickland and Vince Kaminski, 2000</w:t>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58420" cy="134620"/>
              <wp:effectExtent l="0" t="0" r="0" b="0"/>
              <wp:wrapSquare wrapText="bothSides"/>
              <wp:docPr id="4"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5</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48.9pt;mso-position-horizontal:right;mso-position-horizontal-relative:margin">
              <v:fill opacity="0f"/>
              <v:textbox inset="0in,0in,0in,0in">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5</w:t>
                    </w:r>
                    <w:r>
                      <w:rPr>
                        <w:rStyle w:val="PageNumber"/>
                        <w:i/>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 xml:space="preserve"> </w:t>
      </w:r>
      <w:r>
        <w:rPr/>
        <w:t>The material in this article is based on chapter 7 of Clewlow and Strickland [2000]</w:t>
      </w:r>
    </w:p>
  </w:footnote>
  <w:footnote w:id="3">
    <w:p>
      <w:pPr>
        <w:pStyle w:val="FootnoteText"/>
        <w:spacing w:lineRule="atLeast" w:line="240" w:before="120" w:after="0"/>
        <w:ind w:hanging="720" w:start="720" w:end="0"/>
        <w:rPr/>
      </w:pPr>
      <w:r>
        <w:rPr>
          <w:rStyle w:val="FootnoteCharacters"/>
        </w:rPr>
        <w:footnoteRef/>
      </w:r>
      <w:r>
        <w:rPr/>
        <w:t xml:space="preserve"> </w:t>
      </w:r>
      <w:r>
        <w:rPr/>
        <w:t>This choice of volume variable was identified by Thompson (1995).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2160" w:leader="none"/>
        <w:tab w:val="center" w:pos="4252" w:leader="none"/>
        <w:tab w:val="center" w:pos="4536" w:leader="none"/>
        <w:tab w:val="right" w:pos="8504" w:leader="none"/>
        <w:tab w:val="right" w:pos="8931" w:leader="none"/>
      </w:tabs>
      <w:rPr>
        <w:i/>
        <w:i/>
        <w:sz w:val="20"/>
      </w:rPr>
    </w:pPr>
    <w:r>
      <w:rPr>
        <w:i/>
        <w:sz w:val="20"/>
      </w:rPr>
      <w:t>Valuation of Swing Contracts</w:t>
      <w:tab/>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28"/>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4z0">
    <w:name w:val="WW8Num4z0"/>
    <w:qFormat/>
    <w:rPr/>
  </w:style>
  <w:style w:type="character" w:styleId="WW8Num5z0">
    <w:name w:val="WW8Num5z0"/>
    <w:qFormat/>
    <w:rPr>
      <w:b w:val="false"/>
      <w:i w:val="false"/>
      <w:color w:val="0000FF"/>
      <w:sz w:val="40"/>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b w:val="false"/>
      <w:i w:val="false"/>
      <w:color w:val="0000FF"/>
      <w:sz w:val="40"/>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color w:val="0000FF"/>
      <w:sz w:val="40"/>
    </w:rPr>
  </w:style>
  <w:style w:type="character" w:styleId="WW8Num21z0">
    <w:name w:val="WW8Num21z0"/>
    <w:qFormat/>
    <w:rPr>
      <w:b w:val="false"/>
      <w:i w:val="false"/>
      <w:color w:val="0000FF"/>
      <w:sz w:val="40"/>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3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 w:hAnsi="Palatino" w:eastAsia="Times New Roman" w:cs="Palatino"/>
      <w:color w:val="auto"/>
      <w:sz w:val="22"/>
      <w:szCs w:val="20"/>
      <w:lang w:val="en-GB" w:bidi="ar-SA" w:eastAsia="zh-CN"/>
    </w:rPr>
  </w:style>
  <w:style w:type="paragraph" w:styleId="P2">
    <w:name w:val="P2"/>
    <w:qFormat/>
    <w:pPr>
      <w:widowControl/>
      <w:bidi w:val="0"/>
      <w:spacing w:lineRule="atLeast" w:line="480"/>
      <w:ind w:hanging="0" w:start="1440" w:end="0"/>
    </w:pPr>
    <w:rPr>
      <w:rFonts w:ascii="Palatino" w:hAnsi="Palatino" w:eastAsia="Times New Roman" w:cs="Palatino"/>
      <w:color w:val="0000FF"/>
      <w:sz w:val="22"/>
      <w:szCs w:val="20"/>
      <w:lang w:val="en-GB" w:bidi="ar-SA" w:eastAsia="zh-CN"/>
    </w:rPr>
  </w:style>
  <w:style w:type="paragraph" w:styleId="P3">
    <w:name w:val="P3"/>
    <w:qFormat/>
    <w:pPr>
      <w:widowControl/>
      <w:bidi w:val="0"/>
      <w:spacing w:lineRule="atLeast" w:line="480"/>
      <w:ind w:hanging="0" w:start="2160" w:end="0"/>
    </w:pPr>
    <w:rPr>
      <w:rFonts w:ascii="Palatino" w:hAnsi="Palatino" w:eastAsia="Times New Roman" w:cs="Palatino"/>
      <w:color w:val="0000FF"/>
      <w:sz w:val="22"/>
      <w:szCs w:val="20"/>
      <w:lang w:val="en-GB" w:bidi="ar-SA" w:eastAsia="zh-CN"/>
    </w:rPr>
  </w:style>
  <w:style w:type="paragraph" w:styleId="P4">
    <w:name w:val="P4"/>
    <w:qFormat/>
    <w:pPr>
      <w:widowControl/>
      <w:bidi w:val="0"/>
      <w:spacing w:lineRule="atLeast" w:line="480"/>
      <w:ind w:hanging="0" w:start="2880" w:end="0"/>
    </w:pPr>
    <w:rPr>
      <w:rFonts w:ascii="Palatino" w:hAnsi="Palatino" w:eastAsia="Times New Roman" w:cs="Palatino"/>
      <w:color w:val="0000FF"/>
      <w:sz w:val="22"/>
      <w:szCs w:val="20"/>
      <w:lang w:val="en-GB" w:bidi="ar-SA" w:eastAsia="zh-CN"/>
    </w:rPr>
  </w:style>
  <w:style w:type="paragraph" w:styleId="P5">
    <w:name w:val="P5"/>
    <w:qFormat/>
    <w:pPr>
      <w:widowControl/>
      <w:bidi w:val="0"/>
      <w:spacing w:lineRule="atLeast" w:line="480"/>
      <w:ind w:hanging="0" w:start="3600" w:end="0"/>
    </w:pPr>
    <w:rPr>
      <w:rFonts w:ascii="Palatino" w:hAnsi="Palatino" w:eastAsia="Times New Roman" w:cs="Palatino"/>
      <w:color w:val="0000FF"/>
      <w:sz w:val="22"/>
      <w:szCs w:val="20"/>
      <w:lang w:val="en-GB" w:bidi="ar-SA" w:eastAsia="zh-CN"/>
    </w:rPr>
  </w:style>
  <w:style w:type="paragraph" w:styleId="O1">
    <w:name w:val="O1"/>
    <w:qFormat/>
    <w:pPr>
      <w:widowControl/>
      <w:bidi w:val="0"/>
      <w:spacing w:lineRule="atLeast" w:line="480"/>
      <w:ind w:hanging="720" w:start="720" w:end="0"/>
    </w:pPr>
    <w:rPr>
      <w:rFonts w:ascii="Palatino" w:hAnsi="Palatino" w:eastAsia="Times New Roman" w:cs="Palatino"/>
      <w:color w:val="0000FF"/>
      <w:sz w:val="22"/>
      <w:szCs w:val="20"/>
      <w:lang w:val="en-GB" w:bidi="ar-SA" w:eastAsia="zh-CN"/>
    </w:rPr>
  </w:style>
  <w:style w:type="paragraph" w:styleId="QuotationsPara">
    <w:name w:val="Quotations Para"/>
    <w:qFormat/>
    <w:pPr>
      <w:widowControl/>
      <w:bidi w:val="0"/>
      <w:spacing w:lineRule="atLeast" w:line="360"/>
      <w:ind w:hanging="0" w:start="720" w:end="1440"/>
      <w:jc w:val="both"/>
    </w:pPr>
    <w:rPr>
      <w:rFonts w:ascii="Palatino" w:hAnsi="Palatino" w:eastAsia="Times New Roman" w:cs="Palatino"/>
      <w:color w:val="FF00FF"/>
      <w:sz w:val="20"/>
      <w:szCs w:val="20"/>
      <w:lang w:val="en-GB" w:bidi="ar-SA" w:eastAsia="zh-CN"/>
    </w:rPr>
  </w:style>
  <w:style w:type="paragraph" w:styleId="RightFlushPara">
    <w:name w:val="Right Flush Para"/>
    <w:qFormat/>
    <w:pPr>
      <w:widowControl/>
      <w:bidi w:val="0"/>
      <w:spacing w:lineRule="atLeast" w:line="480"/>
      <w:jc w:val="end"/>
    </w:pPr>
    <w:rPr>
      <w:rFonts w:ascii="Palatino" w:hAnsi="Palatino" w:eastAsia="Times New Roman" w:cs="Palatino"/>
      <w:color w:val="0000FF"/>
      <w:sz w:val="22"/>
      <w:szCs w:val="20"/>
      <w:lang w:val="en-GB" w:bidi="ar-SA" w:eastAsia="zh-CN"/>
    </w:rPr>
  </w:style>
  <w:style w:type="paragraph" w:styleId="ReferencesPara">
    <w:name w:val="References Para"/>
    <w:qFormat/>
    <w:pPr>
      <w:widowControl/>
      <w:bidi w:val="0"/>
      <w:spacing w:lineRule="atLeast" w:line="360" w:before="120" w:after="0"/>
      <w:ind w:hanging="720" w:start="720" w:end="0"/>
    </w:pPr>
    <w:rPr>
      <w:rFonts w:ascii="Palatino" w:hAnsi="Palatino" w:eastAsia="Times New Roman" w:cs="Palatino"/>
      <w:color w:val="0000FF"/>
      <w:sz w:val="22"/>
      <w:szCs w:val="20"/>
      <w:lang w:val="en-GB" w:bidi="ar-SA" w:eastAsia="zh-CN"/>
    </w:rPr>
  </w:style>
  <w:style w:type="paragraph" w:styleId="TitleMainHeading">
    <w:name w:val="Title (Main Heading)"/>
    <w:qFormat/>
    <w:pPr>
      <w:widowControl/>
      <w:bidi w:val="0"/>
      <w:jc w:val="center"/>
    </w:pPr>
    <w:rPr>
      <w:rFonts w:ascii="Palatino" w:hAnsi="Palatino" w:eastAsia="Times New Roman" w:cs="Palatino"/>
      <w:b/>
      <w:i/>
      <w:color w:val="00FFFF"/>
      <w:sz w:val="44"/>
      <w:szCs w:val="20"/>
      <w:lang w:val="en-GB" w:bidi="ar-SA" w:eastAsia="zh-CN"/>
    </w:rPr>
  </w:style>
  <w:style w:type="paragraph" w:styleId="Sub-TitleSubheading">
    <w:name w:val="Sub-Title (Sub heading)"/>
    <w:qFormat/>
    <w:pPr>
      <w:widowControl/>
      <w:bidi w:val="0"/>
      <w:jc w:val="center"/>
    </w:pPr>
    <w:rPr>
      <w:rFonts w:ascii="Palatino" w:hAnsi="Palatino" w:eastAsia="Times New Roman" w:cs="Palatino"/>
      <w:i/>
      <w:color w:val="008080"/>
      <w:sz w:val="32"/>
      <w:szCs w:val="20"/>
      <w:lang w:val="en-GB" w:bidi="ar-SA" w:eastAsia="zh-CN"/>
    </w:rPr>
  </w:style>
  <w:style w:type="paragraph" w:styleId="Caption-FigrDgram">
    <w:name w:val="Caption - Figr/Dgram"/>
    <w:qFormat/>
    <w:pPr>
      <w:widowControl/>
      <w:bidi w:val="0"/>
      <w:spacing w:lineRule="atLeast" w:line="240"/>
      <w:jc w:val="center"/>
    </w:pPr>
    <w:rPr>
      <w:rFonts w:ascii="Palatino" w:hAnsi="Palatino" w:eastAsia="Times New Roman" w:cs="Palatino"/>
      <w:i/>
      <w:color w:val="008080"/>
      <w:sz w:val="18"/>
      <w:szCs w:val="20"/>
      <w:lang w:val="en-GB" w:bidi="ar-SA" w:eastAsia="zh-CN"/>
    </w:rPr>
  </w:style>
  <w:style w:type="paragraph" w:styleId="O2">
    <w:name w:val="O2"/>
    <w:qFormat/>
    <w:pPr>
      <w:widowControl/>
      <w:bidi w:val="0"/>
      <w:spacing w:lineRule="atLeast" w:line="480"/>
      <w:ind w:hanging="720" w:start="1440" w:end="0"/>
    </w:pPr>
    <w:rPr>
      <w:rFonts w:ascii="Palatino" w:hAnsi="Palatino" w:eastAsia="Times New Roman" w:cs="Palatino"/>
      <w:color w:val="0000FF"/>
      <w:sz w:val="22"/>
      <w:szCs w:val="20"/>
      <w:lang w:val="en-GB" w:bidi="ar-SA" w:eastAsia="zh-CN"/>
    </w:rPr>
  </w:style>
  <w:style w:type="paragraph" w:styleId="O3">
    <w:name w:val="O3"/>
    <w:qFormat/>
    <w:pPr>
      <w:widowControl/>
      <w:bidi w:val="0"/>
      <w:spacing w:lineRule="atLeast" w:line="480"/>
      <w:ind w:hanging="720" w:start="2160" w:end="0"/>
    </w:pPr>
    <w:rPr>
      <w:rFonts w:ascii="Palatino" w:hAnsi="Palatino" w:eastAsia="Times New Roman" w:cs="Palatino"/>
      <w:color w:val="0000FF"/>
      <w:sz w:val="22"/>
      <w:szCs w:val="20"/>
      <w:lang w:val="en-GB" w:bidi="ar-SA" w:eastAsia="zh-CN"/>
    </w:rPr>
  </w:style>
  <w:style w:type="paragraph" w:styleId="O4">
    <w:name w:val="O4"/>
    <w:qFormat/>
    <w:pPr>
      <w:widowControl/>
      <w:bidi w:val="0"/>
      <w:spacing w:lineRule="atLeast" w:line="480"/>
      <w:ind w:hanging="720" w:start="2880" w:end="0"/>
    </w:pPr>
    <w:rPr>
      <w:rFonts w:ascii="Palatino" w:hAnsi="Palatino" w:eastAsia="Times New Roman" w:cs="Palatino"/>
      <w:color w:val="0000FF"/>
      <w:sz w:val="22"/>
      <w:szCs w:val="20"/>
      <w:lang w:val="en-GB" w:bidi="ar-SA" w:eastAsia="zh-CN"/>
    </w:rPr>
  </w:style>
  <w:style w:type="paragraph" w:styleId="O5">
    <w:name w:val="O5"/>
    <w:qFormat/>
    <w:pPr>
      <w:widowControl/>
      <w:bidi w:val="0"/>
      <w:spacing w:lineRule="atLeast" w:line="480"/>
      <w:ind w:hanging="720" w:start="3600" w:end="0"/>
    </w:pPr>
    <w:rPr>
      <w:rFonts w:ascii="Palatino" w:hAnsi="Palatino" w:eastAsia="Times New Roman" w:cs="Palatino"/>
      <w:color w:val="0000FF"/>
      <w:sz w:val="22"/>
      <w:szCs w:val="20"/>
      <w:lang w:val="en-GB" w:bidi="ar-SA" w:eastAsia="zh-CN"/>
    </w:rPr>
  </w:style>
  <w:style w:type="paragraph" w:styleId="Equation">
    <w:name w:val="Equation"/>
    <w:basedOn w:val="Normal"/>
    <w:qFormat/>
    <w:pPr>
      <w:tabs>
        <w:tab w:val="clear" w:pos="720"/>
        <w:tab w:val="center" w:pos="4320" w:leader="none"/>
        <w:tab w:val="right" w:pos="8505" w:leader="none"/>
      </w:tabs>
      <w:ind w:hanging="0" w:start="567" w:end="0"/>
    </w:pPr>
    <w:rPr>
      <w:color w:val="000000"/>
      <w:lang w:val="en-GB"/>
    </w:rPr>
  </w:style>
  <w:style w:type="paragraph" w:styleId="TI">
    <w:name w:val="TI"/>
    <w:qFormat/>
    <w:pPr>
      <w:widowControl/>
      <w:bidi w:val="0"/>
      <w:jc w:val="center"/>
    </w:pPr>
    <w:rPr>
      <w:rFonts w:ascii="palantino" w:hAnsi="palantino" w:eastAsia="Times New Roman" w:cs="palantino"/>
      <w:b/>
      <w:i/>
      <w:color w:val="auto"/>
      <w:sz w:val="38"/>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spacing w:lineRule="auto" w:line="240"/>
    </w:pPr>
    <w:rPr>
      <w:sz w:val="20"/>
      <w:lang w:val="en-GB"/>
    </w:rPr>
  </w:style>
  <w:style w:type="paragraph" w:styleId="Pseudo-code">
    <w:name w:val="Pseudo-code"/>
    <w:basedOn w:val="Normal"/>
    <w:qFormat/>
    <w:pPr>
      <w:ind w:hanging="0" w:start="720" w:end="0"/>
    </w:pPr>
    <w:rPr>
      <w:rFonts w:ascii="Courier New" w:hAnsi="Courier New" w:cs="Courier New"/>
      <w:i/>
      <w:sz w:val="20"/>
      <w:lang w:val="en-GB"/>
    </w:rPr>
  </w:style>
  <w:style w:type="paragraph" w:styleId="BodyText2">
    <w:name w:val="Body Text 2"/>
    <w:basedOn w:val="Normal"/>
    <w:qFormat/>
    <w:pPr/>
    <w:rPr>
      <w:b/>
      <w:i/>
      <w:sz w:val="36"/>
    </w:rPr>
  </w:style>
  <w:style w:type="paragraph" w:styleId="BodyText3">
    <w:name w:val="Body Text 3"/>
    <w:basedOn w:val="Normal"/>
    <w:qFormat/>
    <w:pPr>
      <w:jc w:val="center"/>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ubtitle">
    <w:name w:val="Subtitle"/>
    <w:basedOn w:val="Normal"/>
    <w:next w:val="BodyText"/>
    <w:qFormat/>
    <w:pPr>
      <w:overflowPunct w:val="false"/>
      <w:autoSpaceDE w:val="false"/>
      <w:spacing w:lineRule="auto" w:line="240"/>
      <w:jc w:val="center"/>
      <w:textAlignment w:val="baseline"/>
    </w:pPr>
    <w:rPr>
      <w:b/>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mailto:contact@lacimagroup.com" TargetMode="External"/><Relationship Id="rId6" Type="http://schemas.openxmlformats.org/officeDocument/2006/relationships/hyperlink" Target="http://www.lacima.co.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2001-03-30T02:13:00Z</dcterms:created>
  <dc:creator>Chris Strickland</dc:creator>
  <dc:description/>
  <dc:language>en-CA</dc:language>
  <cp:lastModifiedBy>Les Clewlow</cp:lastModifiedBy>
  <cp:lastPrinted>2001-07-11T07:11:00Z</cp:lastPrinted>
  <dcterms:modified xsi:type="dcterms:W3CDTF">2001-07-11T13:18:00Z</dcterms:modified>
  <cp:revision>51</cp:revision>
  <dc:subject/>
  <dc:title>3	Multi-Factor Versions of the HJM Approach</dc:title>
</cp:coreProperties>
</file>