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wmf" ContentType="image/x-wmf"/>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32"/>
        </w:rPr>
      </w:pPr>
      <w:r>
        <w:rPr>
          <w:sz w:val="32"/>
        </w:rPr>
        <w:t>Estimating Volatilities for Multi-Factor Forward Curve Models</w:t>
      </w:r>
      <w:r>
        <w:rPr>
          <w:rStyle w:val="FootnoteCharacters"/>
          <w:rStyle w:val="FootnoteReference"/>
          <w:sz w:val="20"/>
        </w:rPr>
        <w:footnoteReference w:id="2"/>
      </w:r>
    </w:p>
    <w:p>
      <w:pPr>
        <w:pStyle w:val="Normal"/>
        <w:rPr>
          <w:sz w:val="32"/>
        </w:rPr>
      </w:pPr>
      <w:r>
        <w:rPr>
          <w:sz w:val="32"/>
        </w:rPr>
      </w:r>
    </w:p>
    <w:p>
      <w:pPr>
        <w:pStyle w:val="Subtitle"/>
        <w:rPr>
          <w:sz w:val="28"/>
        </w:rPr>
      </w:pPr>
      <w:r>
        <w:rPr>
          <w:sz w:val="28"/>
        </w:rPr>
        <w:t>Les Clewlow, Chris Strickland and Vince Kaminski</w:t>
      </w:r>
    </w:p>
    <w:p>
      <w:pPr>
        <w:pStyle w:val="Normal"/>
        <w:rPr>
          <w:sz w:val="28"/>
        </w:rPr>
      </w:pPr>
      <w:r>
        <w:rPr>
          <w:sz w:val="28"/>
        </w:rPr>
      </w:r>
    </w:p>
    <w:p>
      <w:pPr>
        <w:pStyle w:val="Normal"/>
        <w:jc w:val="center"/>
        <w:rPr>
          <w:b/>
          <w:bCs/>
          <w:i/>
          <w:i/>
          <w:iCs/>
        </w:rPr>
      </w:pPr>
      <w:r>
        <w:rPr>
          <w:b/>
          <w:bCs/>
          <w:i/>
          <w:iCs/>
        </w:rPr>
        <w:t>For Energy and Power Risk Management</w:t>
      </w:r>
    </w:p>
    <w:p>
      <w:pPr>
        <w:pStyle w:val="Normal"/>
        <w:rPr>
          <w:b/>
          <w:bCs/>
          <w:i/>
          <w:i/>
          <w:iCs/>
        </w:rPr>
      </w:pPr>
      <w:r>
        <w:rPr>
          <w:b/>
          <w:bCs/>
          <w:i/>
          <w:iCs/>
        </w:rPr>
      </w:r>
    </w:p>
    <w:p>
      <w:pPr>
        <w:pStyle w:val="Normal"/>
        <w:rPr/>
      </w:pPr>
      <w:r>
        <w:rPr/>
        <w:t>In our last article [</w:t>
      </w:r>
      <w:r>
        <w:rPr>
          <w:i/>
          <w:iCs/>
        </w:rPr>
        <w:t>EPRM</w:t>
      </w:r>
      <w:r>
        <w:rPr/>
        <w:t xml:space="preserve"> March 2001] we looked at a number of models for pricing energy derivatives analytically including a general multi-factor model of the forward curve which can be represented by the following equation;</w:t>
      </w:r>
    </w:p>
    <w:p>
      <w:pPr>
        <w:pStyle w:val="Normal"/>
        <w:rPr/>
      </w:pPr>
      <w:r>
        <w:rPr/>
      </w:r>
    </w:p>
    <w:p>
      <w:pPr>
        <w:pStyle w:val="Equation"/>
        <w:rPr/>
      </w:pPr>
      <w:r>
        <w:rPr/>
        <w:tab/>
      </w:r>
      <w:r>
        <w:rPr>
          <w:sz w:val="20"/>
        </w:rPr>
      </w:r>
      <m:oMath xmlns:m="http://schemas.openxmlformats.org/officeDocument/2006/math">
        <m:f>
          <m:num>
            <m:r>
              <m:rPr>
                <m:lit/>
                <m:nor/>
              </m:rPr>
              <m:t xml:space="preserve">dF</m:t>
            </m:r>
            <m:r>
              <m:t xml:space="preserve">(</m:t>
            </m:r>
            <m:r>
              <m:t xml:space="preserve">t</m:t>
            </m:r>
            <m:r>
              <m:t xml:space="preserve">,</m:t>
            </m:r>
            <m:r>
              <m:t xml:space="preserve">T</m:t>
            </m:r>
            <m:r>
              <m:t xml:space="preserve">)</m:t>
            </m:r>
          </m:num>
          <m:den>
            <m:r>
              <m:t xml:space="preserve">F</m:t>
            </m:r>
            <m:r>
              <m:t xml:space="preserve">(</m:t>
            </m:r>
            <m:r>
              <m:t xml:space="preserve">t</m:t>
            </m:r>
            <m:r>
              <m:t xml:space="preserve">,</m:t>
            </m:r>
            <m:r>
              <m:t xml:space="preserve">T</m:t>
            </m:r>
            <m:r>
              <m:t xml:space="preserve">)</m:t>
            </m:r>
          </m:den>
        </m:f>
        <m:r>
          <m:t xml:space="preserve">=</m:t>
        </m:r>
        <m:nary>
          <m:naryPr>
            <m:chr m:val="∑"/>
          </m:naryPr>
          <m:sub>
            <m:r>
              <m:t xml:space="preserve">i</m:t>
            </m:r>
            <m:r>
              <m:t xml:space="preserve">=</m:t>
            </m:r>
            <m:r>
              <m:t xml:space="preserve">1</m:t>
            </m:r>
          </m:sub>
          <m:sup>
            <m:r>
              <m:t xml:space="preserve">n</m:t>
            </m:r>
          </m:sup>
          <m:e>
            <m:sSub>
              <m:e>
                <m:r>
                  <m:t xml:space="preserve">σ</m:t>
                </m:r>
              </m:e>
              <m:sub>
                <m:r>
                  <m:t xml:space="preserve">i</m:t>
                </m:r>
              </m:sub>
            </m:sSub>
            <m:r>
              <m:t xml:space="preserve">(</m:t>
            </m:r>
            <m:r>
              <m:t xml:space="preserve">t</m:t>
            </m:r>
            <m:r>
              <m:t xml:space="preserve">,</m:t>
            </m:r>
            <m:r>
              <m:t xml:space="preserve">T</m:t>
            </m:r>
            <m:r>
              <m:t xml:space="preserve">)</m:t>
            </m:r>
            <m:sSub>
              <m:e>
                <m:r>
                  <m:rPr>
                    <m:lit/>
                    <m:nor/>
                  </m:rPr>
                  <m:t xml:space="preserve">dz</m:t>
                </m:r>
              </m:e>
              <m:sub>
                <m:r>
                  <m:t xml:space="preserve">i</m:t>
                </m:r>
              </m:sub>
            </m:sSub>
            <m:r>
              <m:t xml:space="preserve">(</m:t>
            </m:r>
            <m:r>
              <m:t xml:space="preserve">t</m:t>
            </m:r>
            <m:r>
              <m:t xml:space="preserve">)</m:t>
            </m:r>
          </m:e>
        </m:nary>
      </m:oMath>
      <w:r>
        <w:rPr/>
        <w:tab/>
        <w:t>(1)</w:t>
      </w:r>
    </w:p>
    <w:p>
      <w:pPr>
        <w:pStyle w:val="Normal"/>
        <w:rPr/>
      </w:pPr>
      <w:r>
        <w:rPr/>
      </w:r>
    </w:p>
    <w:p>
      <w:pPr>
        <w:pStyle w:val="Normal"/>
        <w:rPr/>
      </w:pPr>
      <w:r>
        <w:rPr/>
        <w:t xml:space="preserve">In this formulation </w:t>
      </w:r>
      <w:r>
        <w:rPr>
          <w:sz w:val="20"/>
        </w:rPr>
      </w:r>
      <m:oMath xmlns:m="http://schemas.openxmlformats.org/officeDocument/2006/math">
        <m:r>
          <m:t xml:space="preserve">F</m:t>
        </m:r>
        <m:r>
          <m:t xml:space="preserve">(</m:t>
        </m:r>
        <m:r>
          <m:t xml:space="preserve">t</m:t>
        </m:r>
        <m:r>
          <m:t xml:space="preserve">,</m:t>
        </m:r>
        <m:r>
          <m:t xml:space="preserve">T</m:t>
        </m:r>
        <m:r>
          <m:t xml:space="preserve">)</m:t>
        </m:r>
      </m:oMath>
      <w:r>
        <w:rPr/>
        <w:t xml:space="preserve"> represents the forward price for </w:t>
      </w:r>
      <w:r>
        <w:rPr>
          <w:i/>
          <w:iCs/>
        </w:rPr>
        <w:t>T</w:t>
      </w:r>
      <w:r>
        <w:rPr/>
        <w:t xml:space="preserve">-maturity observed at time </w:t>
      </w:r>
      <w:r>
        <w:rPr>
          <w:i/>
          <w:iCs/>
        </w:rPr>
        <w:t>t</w:t>
      </w:r>
      <w:r>
        <w:rPr/>
        <w:t xml:space="preserve">, and there are </w:t>
      </w:r>
      <w:r>
        <w:rPr>
          <w:i/>
        </w:rPr>
        <w:t>n</w:t>
      </w:r>
      <w:r>
        <w:rPr/>
        <w:t xml:space="preserve"> independent sources of uncertainty which drive the evolution of the forward curve.  Each source of uncertainty has associated with it a volatility function which determines by how much, and in which direction, that random shock moves each point of the forward curve. </w:t>
      </w:r>
      <w:r>
        <w:rPr>
          <w:sz w:val="20"/>
        </w:rPr>
      </w:r>
      <m:oMath xmlns:m="http://schemas.openxmlformats.org/officeDocument/2006/math">
        <m:sSub>
          <m:e>
            <m:r>
              <m:t xml:space="preserve">σ</m:t>
            </m:r>
          </m:e>
          <m:sub>
            <m:r>
              <m:t xml:space="preserve">i</m:t>
            </m:r>
          </m:sub>
        </m:sSub>
        <m:r>
          <m:t xml:space="preserve">(</m:t>
        </m:r>
        <m:r>
          <m:t xml:space="preserve">t</m:t>
        </m:r>
        <m:r>
          <m:t xml:space="preserve">,</m:t>
        </m:r>
        <m:r>
          <m:t xml:space="preserve">T</m:t>
        </m:r>
        <m:r>
          <m:t xml:space="preserve">)</m:t>
        </m:r>
      </m:oMath>
      <w:r>
        <w:rPr/>
        <w:t xml:space="preserve"> are therefore the </w:t>
      </w:r>
      <w:r>
        <w:rPr>
          <w:i/>
        </w:rPr>
        <w:t>n</w:t>
      </w:r>
      <w:r>
        <w:rPr/>
        <w:t xml:space="preserve"> volatility functions associated with the independent sources of risk </w:t>
      </w:r>
      <w:r>
        <w:rPr>
          <w:i/>
        </w:rPr>
        <w:t>dz</w:t>
      </w:r>
      <w:r>
        <w:rPr>
          <w:i/>
          <w:vertAlign w:val="subscript"/>
        </w:rPr>
        <w:t>i</w:t>
      </w:r>
      <w:r>
        <w:rPr/>
        <w:t>(</w:t>
      </w:r>
      <w:r>
        <w:rPr>
          <w:i/>
        </w:rPr>
        <w:t>t</w:t>
      </w:r>
      <w:r>
        <w:rPr/>
        <w:t xml:space="preserve">).  Perhaps the main advantage of the forward curve modeling approach is the flexibility that the user has in choosing both the number and form of the volatility functions.  It is our aim with this article to show how to estimate the functions </w:t>
      </w:r>
      <w:r>
        <w:rPr>
          <w:sz w:val="20"/>
        </w:rPr>
      </w:r>
      <m:oMath xmlns:m="http://schemas.openxmlformats.org/officeDocument/2006/math">
        <m:sSub>
          <m:e>
            <m:r>
              <m:t xml:space="preserve">σ</m:t>
            </m:r>
          </m:e>
          <m:sub>
            <m:r>
              <m:t xml:space="preserve">i</m:t>
            </m:r>
          </m:sub>
        </m:sSub>
        <m:r>
          <m:t xml:space="preserve">(</m:t>
        </m:r>
        <m:r>
          <m:t xml:space="preserve">t</m:t>
        </m:r>
        <m:r>
          <m:t xml:space="preserve">,</m:t>
        </m:r>
        <m:r>
          <m:t xml:space="preserve">T</m:t>
        </m:r>
        <m:r>
          <m:t xml:space="preserve">)</m:t>
        </m:r>
      </m:oMath>
      <w:r>
        <w:rPr/>
        <w:t>. Similar to other derivative markets volatilities can be chosen in one of two general ways; historically, from time series analysis; or implied from the market prices of options.  We show in this article how to estimate the volatility functions from historical data, returning in a later article to implied measures.</w:t>
      </w:r>
    </w:p>
    <w:p>
      <w:pPr>
        <w:pStyle w:val="Normal"/>
        <w:rPr/>
      </w:pPr>
      <w:r>
        <w:rPr/>
      </w:r>
    </w:p>
    <w:p>
      <w:pPr>
        <w:pStyle w:val="Normal"/>
        <w:rPr/>
      </w:pPr>
      <w:r>
        <w:rPr/>
        <w:t xml:space="preserve">Figure 1 shows the historical evolution of the NYMEX oil futures curve between January and June 1999 for the first 24 monthly contracts.  The </w:t>
      </w:r>
      <w:r>
        <w:rPr>
          <w:i/>
        </w:rPr>
        <w:t>x</w:t>
      </w:r>
      <w:r>
        <w:rPr/>
        <w:t xml:space="preserve">-axis displays the maturity structure of the forward curve, the </w:t>
      </w:r>
      <w:r>
        <w:rPr>
          <w:i/>
        </w:rPr>
        <w:t>y</w:t>
      </w:r>
      <w:r>
        <w:rPr/>
        <w:t xml:space="preserve">-axis the date on which the curve is observed and the </w:t>
      </w:r>
      <w:r>
        <w:rPr>
          <w:i/>
        </w:rPr>
        <w:t>z</w:t>
      </w:r>
      <w:r>
        <w:rPr/>
        <w:t>-axis the market level of the futures price.</w:t>
      </w:r>
    </w:p>
    <w:p>
      <w:pPr>
        <w:pStyle w:val="Header"/>
        <w:rPr/>
      </w:pPr>
      <w:r>
        <w:rPr/>
      </w:r>
    </w:p>
    <w:p>
      <w:pPr>
        <w:pStyle w:val="Heading4"/>
        <w:ind w:hanging="0" w:start="0"/>
        <w:jc w:val="center"/>
        <w:rPr/>
      </w:pPr>
      <w:r>
        <w:rPr/>
        <w:t>Figure 1: Evolution of NYMEX Oil Data (January 1999 to June 1999)</w:t>
      </w:r>
    </w:p>
    <w:p>
      <w:pPr>
        <w:pStyle w:val="Normal"/>
        <w:rPr/>
      </w:pPr>
      <w:r>
        <w:rPr/>
      </w:r>
    </w:p>
    <w:p>
      <w:pPr>
        <w:pStyle w:val="Normal"/>
        <w:rPr>
          <w:lang w:val="en-CA" w:eastAsia="en-CA"/>
        </w:rPr>
      </w:pPr>
      <w:r>
        <w:rPr>
          <w:lang w:val="en-CA" w:eastAsia="en-CA"/>
        </w:rPr>
        <w:drawing>
          <wp:anchor behindDoc="0" distT="0" distB="0" distL="114935" distR="114935" simplePos="0" locked="0" layoutInCell="0" allowOverlap="1" relativeHeight="32">
            <wp:simplePos x="0" y="0"/>
            <wp:positionH relativeFrom="column">
              <wp:posOffset>179705</wp:posOffset>
            </wp:positionH>
            <wp:positionV relativeFrom="paragraph">
              <wp:posOffset>75565</wp:posOffset>
            </wp:positionV>
            <wp:extent cx="5471795" cy="3312160"/>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4" t="-6" r="-4" b="-6"/>
                    <a:stretch>
                      <a:fillRect/>
                    </a:stretch>
                  </pic:blipFill>
                  <pic:spPr bwMode="auto">
                    <a:xfrm>
                      <a:off x="0" y="0"/>
                      <a:ext cx="5471795" cy="3312160"/>
                    </a:xfrm>
                    <a:prstGeom prst="rect">
                      <a:avLst/>
                    </a:prstGeom>
                    <a:noFill/>
                  </pic:spPr>
                </pic:pic>
              </a:graphicData>
            </a:graphic>
          </wp:anchor>
        </w:drawing>
      </w:r>
    </w:p>
    <w:p>
      <w:pPr>
        <w:pStyle w:val="Normal"/>
        <w:rPr>
          <w:b/>
        </w:rPr>
      </w:pPr>
      <w:r>
        <w:rPr/>
        <w:t>One important observation from Figure 1 is that forward prices of different maturities are not perfectly correlated - the curves generally move up and down together but they also change shape in apparently quite complex ways, implying we need more than a single factor for accurate derivative evaluation.  One method that can be used to simultaneously determine both the number and form of set of common factors (volatility functions) that drive the dynamics of the forward curve is principal components analysis (PCA) or eigenvector decomposition of the covariance matrix of futures prices returns.  The technique involves calculating the covariances between pairs of forward price returns in an historical time series to form a covariance matrix.  The eigenvectors of the covariance matrix yield estimates of the factors driving the evolution of the forward curve.</w:t>
      </w:r>
    </w:p>
    <w:p>
      <w:pPr>
        <w:pStyle w:val="Normal"/>
        <w:rPr>
          <w:b/>
        </w:rPr>
      </w:pPr>
      <w:r>
        <w:rPr>
          <w:b/>
        </w:rPr>
      </w:r>
    </w:p>
    <w:p>
      <w:pPr>
        <w:pStyle w:val="Heading4"/>
        <w:ind w:hanging="0" w:start="0"/>
        <w:rPr>
          <w:bCs/>
        </w:rPr>
      </w:pPr>
      <w:r>
        <w:rPr>
          <w:bCs/>
        </w:rPr>
        <w:t>Historical Estimation of the Forward Curve Volatility Functions</w:t>
      </w:r>
    </w:p>
    <w:p>
      <w:pPr>
        <w:pStyle w:val="Normal"/>
        <w:rPr>
          <w:bCs/>
        </w:rPr>
      </w:pPr>
      <w:r>
        <w:rPr>
          <w:bCs/>
        </w:rPr>
      </w:r>
    </w:p>
    <w:p>
      <w:pPr>
        <w:pStyle w:val="Normal"/>
        <w:rPr/>
      </w:pPr>
      <w:r>
        <w:rPr/>
        <w:t>The model represented by equation (1) can be represented in logarithmic form as;</w:t>
      </w:r>
    </w:p>
    <w:p>
      <w:pPr>
        <w:pStyle w:val="Normal"/>
        <w:rPr/>
      </w:pPr>
      <w:r>
        <w:rPr/>
      </w:r>
    </w:p>
    <w:p>
      <w:pPr>
        <w:pStyle w:val="Equation"/>
        <w:rPr/>
      </w:pPr>
      <w:r>
        <w:rPr/>
        <w:tab/>
      </w:r>
      <w:r>
        <w:rPr>
          <w:sz w:val="20"/>
        </w:rPr>
      </w:r>
      <m:oMath xmlns:m="http://schemas.openxmlformats.org/officeDocument/2006/math">
        <m:r>
          <m:t xml:space="preserve">d</m:t>
        </m:r>
        <m:r>
          <m:rPr>
            <m:lit/>
            <m:nor/>
          </m:rPr>
          <m:t xml:space="preserve">ln</m:t>
        </m:r>
        <m:r>
          <m:t xml:space="preserve">F</m:t>
        </m:r>
        <m:r>
          <m:t xml:space="preserve">(</m:t>
        </m:r>
        <m:r>
          <m:t xml:space="preserve">t</m:t>
        </m:r>
        <m:r>
          <m:t xml:space="preserve">,</m:t>
        </m:r>
        <m:r>
          <m:t xml:space="preserve">T</m:t>
        </m:r>
        <m:r>
          <m:t xml:space="preserve">)</m:t>
        </m:r>
        <m:r>
          <m:t xml:space="preserve">=</m:t>
        </m:r>
        <m:r>
          <m:t xml:space="preserve">−</m:t>
        </m:r>
        <m:f>
          <m:num>
            <m:r>
              <m:t xml:space="preserve">1</m:t>
            </m:r>
          </m:num>
          <m:den>
            <m:r>
              <m:t xml:space="preserve">2</m:t>
            </m:r>
          </m:den>
        </m:f>
        <m:nary>
          <m:naryPr>
            <m:chr m:val="∑"/>
          </m:naryPr>
          <m:sub>
            <m:r>
              <m:t xml:space="preserve">i</m:t>
            </m:r>
            <m:r>
              <m:t xml:space="preserve">=</m:t>
            </m:r>
            <m:r>
              <m:t xml:space="preserve">1</m:t>
            </m:r>
          </m:sub>
          <m:sup>
            <m:r>
              <m:t xml:space="preserve">n</m:t>
            </m:r>
          </m:sup>
          <m:e>
            <m:sSub>
              <m:e>
                <m:r>
                  <m:t xml:space="preserve">σ</m:t>
                </m:r>
              </m:e>
              <m:sub>
                <m:r>
                  <m:t xml:space="preserve">i</m:t>
                </m:r>
              </m:sub>
            </m:sSub>
            <m:r>
              <m:t xml:space="preserve">(</m:t>
            </m:r>
            <m:r>
              <m:t xml:space="preserve">t</m:t>
            </m:r>
            <m:r>
              <m:t xml:space="preserve">,</m:t>
            </m:r>
            <m:r>
              <m:t xml:space="preserve">T</m:t>
            </m:r>
            <m:sSup>
              <m:e>
                <m:r>
                  <m:t xml:space="preserve">)</m:t>
                </m:r>
              </m:e>
              <m:sup>
                <m:r>
                  <m:t xml:space="preserve">2</m:t>
                </m:r>
              </m:sup>
            </m:sSup>
            <m:r>
              <m:rPr>
                <m:lit/>
                <m:nor/>
              </m:rPr>
              <m:t xml:space="preserve">dt</m:t>
            </m:r>
            <m:r>
              <m:t xml:space="preserve">+</m:t>
            </m:r>
          </m:e>
        </m:nary>
        <m:nary>
          <m:naryPr>
            <m:chr m:val="∑"/>
          </m:naryPr>
          <m:sub>
            <m:r>
              <m:t xml:space="preserve">i</m:t>
            </m:r>
            <m:r>
              <m:t xml:space="preserve">=</m:t>
            </m:r>
            <m:r>
              <m:t xml:space="preserve">1</m:t>
            </m:r>
          </m:sub>
          <m:sup>
            <m:r>
              <m:t xml:space="preserve">n</m:t>
            </m:r>
          </m:sup>
          <m:e>
            <m:sSub>
              <m:e>
                <m:r>
                  <m:t xml:space="preserve">σ</m:t>
                </m:r>
              </m:e>
              <m:sub>
                <m:r>
                  <m:t xml:space="preserve">i</m:t>
                </m:r>
              </m:sub>
            </m:sSub>
            <m:r>
              <m:t xml:space="preserve">(</m:t>
            </m:r>
            <m:r>
              <m:t xml:space="preserve">t</m:t>
            </m:r>
            <m:r>
              <m:t xml:space="preserve">,</m:t>
            </m:r>
            <m:r>
              <m:t xml:space="preserve">T</m:t>
            </m:r>
            <m:r>
              <m:t xml:space="preserve">)</m:t>
            </m:r>
            <m:sSub>
              <m:e>
                <m:r>
                  <m:rPr>
                    <m:lit/>
                    <m:nor/>
                  </m:rPr>
                  <m:t xml:space="preserve">dz</m:t>
                </m:r>
              </m:e>
              <m:sub>
                <m:r>
                  <m:t xml:space="preserve">i</m:t>
                </m:r>
              </m:sub>
            </m:sSub>
            <m:r>
              <m:t xml:space="preserve">(</m:t>
            </m:r>
            <m:r>
              <m:t xml:space="preserve">t</m:t>
            </m:r>
            <m:r>
              <m:t xml:space="preserve">)</m:t>
            </m:r>
          </m:e>
        </m:nary>
      </m:oMath>
    </w:p>
    <w:p>
      <w:pPr>
        <w:pStyle w:val="Normal"/>
        <w:rPr/>
      </w:pPr>
      <w:r>
        <w:rPr/>
      </w:r>
    </w:p>
    <w:p>
      <w:pPr>
        <w:pStyle w:val="Normal"/>
        <w:rPr/>
      </w:pPr>
      <w:r>
        <w:rPr/>
        <w:t xml:space="preserve">This can be discretized for small time changes </w:t>
      </w:r>
      <w:r>
        <w:rPr>
          <w:rFonts w:cs="Symbol" w:ascii="Symbol" w:hAnsi="Symbol"/>
        </w:rPr>
        <w:sym w:font="Symbol" w:char="f044"/>
      </w:r>
      <w:r>
        <w:rPr>
          <w:i/>
        </w:rPr>
        <w:t>t</w:t>
      </w:r>
      <w:r>
        <w:rPr/>
        <w:t xml:space="preserve"> as follows;</w:t>
      </w:r>
    </w:p>
    <w:p>
      <w:pPr>
        <w:pStyle w:val="Normal"/>
        <w:rPr/>
      </w:pPr>
      <w:r>
        <w:rPr/>
      </w:r>
    </w:p>
    <w:p>
      <w:pPr>
        <w:pStyle w:val="Equation"/>
        <w:rPr/>
      </w:pPr>
      <w:r>
        <w:rPr/>
        <w:tab/>
      </w:r>
      <w:r>
        <w:rPr>
          <w:sz w:val="20"/>
        </w:rPr>
      </w:r>
      <m:oMath xmlns:m="http://schemas.openxmlformats.org/officeDocument/2006/math">
        <m:r>
          <m:t xml:space="preserve">Δ</m:t>
        </m:r>
        <m:r>
          <m:rPr>
            <m:lit/>
            <m:nor/>
          </m:rPr>
          <m:t xml:space="preserve">ln</m:t>
        </m:r>
        <m:r>
          <m:t xml:space="preserve">F</m:t>
        </m:r>
        <m:r>
          <m:t xml:space="preserve">(</m:t>
        </m:r>
        <m:r>
          <m:t xml:space="preserve">t</m:t>
        </m:r>
        <m:r>
          <m:t xml:space="preserve">,</m:t>
        </m:r>
        <m:r>
          <m:t xml:space="preserve">t</m:t>
        </m:r>
        <m:r>
          <m:t xml:space="preserve">+</m:t>
        </m:r>
        <m:sSub>
          <m:e>
            <m:r>
              <m:t xml:space="preserve">τ</m:t>
            </m:r>
          </m:e>
          <m:sub>
            <m:r>
              <m:t xml:space="preserve">j</m:t>
            </m:r>
          </m:sub>
        </m:sSub>
        <m:r>
          <m:t xml:space="preserve">)</m:t>
        </m:r>
        <m:r>
          <m:t xml:space="preserve">=</m:t>
        </m:r>
        <m:r>
          <m:t xml:space="preserve">−</m:t>
        </m:r>
        <m:f>
          <m:num>
            <m:r>
              <m:t xml:space="preserve">1</m:t>
            </m:r>
          </m:num>
          <m:den>
            <m:r>
              <m:t xml:space="preserve">2</m:t>
            </m:r>
          </m:den>
        </m:f>
        <m:nary>
          <m:naryPr>
            <m:chr m:val="∑"/>
          </m:naryPr>
          <m:sub>
            <m:r>
              <m:t xml:space="preserve">i</m:t>
            </m:r>
            <m:r>
              <m:t xml:space="preserve">=</m:t>
            </m:r>
            <m:r>
              <m:t xml:space="preserve">1</m:t>
            </m:r>
          </m:sub>
          <m:sup>
            <m:r>
              <m:t xml:space="preserve">n</m:t>
            </m:r>
          </m:sup>
          <m:e>
            <m:sSub>
              <m:e>
                <m:r>
                  <m:t xml:space="preserve">σ</m:t>
                </m:r>
              </m:e>
              <m:sub>
                <m:r>
                  <m:t xml:space="preserve">i</m:t>
                </m:r>
              </m:sub>
            </m:sSub>
            <m:r>
              <m:t xml:space="preserve">(</m:t>
            </m:r>
            <m:r>
              <m:t xml:space="preserve">t</m:t>
            </m:r>
            <m:r>
              <m:t xml:space="preserve">,</m:t>
            </m:r>
            <m:r>
              <m:t xml:space="preserve">t</m:t>
            </m:r>
            <m:r>
              <m:t xml:space="preserve">+</m:t>
            </m:r>
            <m:sSub>
              <m:e>
                <m:r>
                  <m:t xml:space="preserve">τ</m:t>
                </m:r>
              </m:e>
              <m:sub>
                <m:r>
                  <m:t xml:space="preserve">j</m:t>
                </m:r>
              </m:sub>
            </m:sSub>
            <m:sSup>
              <m:e>
                <m:r>
                  <m:t xml:space="preserve">)</m:t>
                </m:r>
              </m:e>
              <m:sup>
                <m:r>
                  <m:t xml:space="preserve">2</m:t>
                </m:r>
              </m:sup>
            </m:sSup>
            <m:r>
              <m:t xml:space="preserve">Δt</m:t>
            </m:r>
            <m:r>
              <m:t xml:space="preserve">+</m:t>
            </m:r>
          </m:e>
        </m:nary>
        <m:nary>
          <m:naryPr>
            <m:chr m:val="∑"/>
          </m:naryPr>
          <m:sub>
            <m:r>
              <m:t xml:space="preserve">i</m:t>
            </m:r>
            <m:r>
              <m:t xml:space="preserve">=</m:t>
            </m:r>
            <m:r>
              <m:t xml:space="preserve">1</m:t>
            </m:r>
          </m:sub>
          <m:sup>
            <m:r>
              <m:t xml:space="preserve">n</m:t>
            </m:r>
          </m:sup>
          <m:e>
            <m:sSub>
              <m:e>
                <m:r>
                  <m:t xml:space="preserve">σ</m:t>
                </m:r>
              </m:e>
              <m:sub>
                <m:r>
                  <m:t xml:space="preserve">i</m:t>
                </m:r>
              </m:sub>
            </m:sSub>
            <m:r>
              <m:t xml:space="preserve">(</m:t>
            </m:r>
            <m:r>
              <m:t xml:space="preserve">t</m:t>
            </m:r>
            <m:r>
              <m:t xml:space="preserve">,</m:t>
            </m:r>
            <m:r>
              <m:t xml:space="preserve">t</m:t>
            </m:r>
            <m:r>
              <m:t xml:space="preserve">+</m:t>
            </m:r>
            <m:sSub>
              <m:e>
                <m:r>
                  <m:t xml:space="preserve">τ</m:t>
                </m:r>
              </m:e>
              <m:sub>
                <m:r>
                  <m:t xml:space="preserve">j</m:t>
                </m:r>
              </m:sub>
            </m:sSub>
            <m:r>
              <m:t xml:space="preserve">)</m:t>
            </m:r>
            <m:sSub>
              <m:e>
                <m:r>
                  <m:t xml:space="preserve">Δz</m:t>
                </m:r>
              </m:e>
              <m:sub>
                <m:r>
                  <m:t xml:space="preserve">i</m:t>
                </m:r>
              </m:sub>
            </m:sSub>
          </m:e>
        </m:nary>
      </m:oMath>
      <w:r>
        <w:rPr/>
        <w:tab/>
        <w:t>(2)</w:t>
      </w:r>
    </w:p>
    <w:p>
      <w:pPr>
        <w:pStyle w:val="Normal"/>
        <w:rPr/>
      </w:pPr>
      <w:r>
        <w:rPr/>
      </w:r>
    </w:p>
    <w:p>
      <w:pPr>
        <w:pStyle w:val="Normal"/>
        <w:rPr/>
      </w:pPr>
      <w:r>
        <w:rPr/>
        <w:t>The first step is to construct a time series of forward price returns according to this discretisation.  Table 1 shows the returns for the first and last four observations in the data set.  Each row represents daily returns, whilst columns represent maturities – F(1m) is the return of the near contract, F(2m) the second near contract, etc.</w:t>
      </w:r>
    </w:p>
    <w:p>
      <w:pPr>
        <w:pStyle w:val="Normal"/>
        <w:rPr/>
      </w:pPr>
      <w:r>
        <w:rPr/>
      </w:r>
    </w:p>
    <w:p>
      <w:pPr>
        <w:pStyle w:val="Header"/>
        <w:jc w:val="center"/>
        <w:rPr/>
      </w:pPr>
      <w:r>
        <w:rPr/>
        <w:t>Table 1: Returns to NYMEX Crude Oil Futures Contracts</w:t>
      </w:r>
    </w:p>
    <w:tbl>
      <w:tblPr>
        <w:tblW w:w="9072" w:type="dxa"/>
        <w:jc w:val="start"/>
        <w:tblInd w:w="108" w:type="dxa"/>
        <w:tblLayout w:type="fixed"/>
        <w:tblCellMar>
          <w:top w:w="0" w:type="dxa"/>
          <w:start w:w="108" w:type="dxa"/>
          <w:bottom w:w="0" w:type="dxa"/>
          <w:end w:w="108" w:type="dxa"/>
        </w:tblCellMar>
      </w:tblPr>
      <w:tblGrid>
        <w:gridCol w:w="1134"/>
        <w:gridCol w:w="886"/>
        <w:gridCol w:w="886"/>
        <w:gridCol w:w="886"/>
        <w:gridCol w:w="886"/>
        <w:gridCol w:w="567"/>
        <w:gridCol w:w="956"/>
        <w:gridCol w:w="957"/>
        <w:gridCol w:w="957"/>
        <w:gridCol w:w="957"/>
      </w:tblGrid>
      <w:tr>
        <w:trPr/>
        <w:tc>
          <w:tcPr>
            <w:tcW w:w="1134" w:type="dxa"/>
            <w:tcBorders>
              <w:top w:val="single" w:sz="6" w:space="0" w:color="000000"/>
              <w:start w:val="single" w:sz="6" w:space="0" w:color="000000"/>
              <w:bottom w:val="single" w:sz="6" w:space="0" w:color="000000"/>
              <w:end w:val="single" w:sz="6" w:space="0" w:color="000000"/>
            </w:tcBorders>
          </w:tcPr>
          <w:p>
            <w:pPr>
              <w:pStyle w:val="Normal"/>
              <w:jc w:val="center"/>
              <w:rPr>
                <w:b/>
                <w:sz w:val="20"/>
              </w:rPr>
            </w:pPr>
            <w:r>
              <w:rPr>
                <w:b/>
                <w:sz w:val="20"/>
              </w:rPr>
              <w:t>Date</w:t>
            </w:r>
          </w:p>
        </w:tc>
        <w:tc>
          <w:tcPr>
            <w:tcW w:w="886" w:type="dxa"/>
            <w:tcBorders>
              <w:top w:val="single" w:sz="6" w:space="0" w:color="000000"/>
              <w:start w:val="single" w:sz="6" w:space="0" w:color="000000"/>
              <w:bottom w:val="single" w:sz="6" w:space="0" w:color="000000"/>
              <w:end w:val="single" w:sz="6" w:space="0" w:color="000000"/>
            </w:tcBorders>
          </w:tcPr>
          <w:p>
            <w:pPr>
              <w:pStyle w:val="Normal"/>
              <w:jc w:val="center"/>
              <w:rPr>
                <w:b/>
                <w:sz w:val="20"/>
              </w:rPr>
            </w:pPr>
            <w:r>
              <w:rPr>
                <w:b/>
                <w:sz w:val="20"/>
              </w:rPr>
              <w:t>F(1m)</w:t>
            </w:r>
          </w:p>
        </w:tc>
        <w:tc>
          <w:tcPr>
            <w:tcW w:w="886" w:type="dxa"/>
            <w:tcBorders>
              <w:top w:val="single" w:sz="6" w:space="0" w:color="000000"/>
              <w:start w:val="single" w:sz="6" w:space="0" w:color="000000"/>
              <w:bottom w:val="single" w:sz="6" w:space="0" w:color="000000"/>
              <w:end w:val="single" w:sz="6" w:space="0" w:color="000000"/>
            </w:tcBorders>
          </w:tcPr>
          <w:p>
            <w:pPr>
              <w:pStyle w:val="Normal"/>
              <w:jc w:val="center"/>
              <w:rPr>
                <w:b/>
                <w:sz w:val="20"/>
              </w:rPr>
            </w:pPr>
            <w:r>
              <w:rPr>
                <w:b/>
                <w:sz w:val="20"/>
              </w:rPr>
              <w:t>F(2m)</w:t>
            </w:r>
          </w:p>
        </w:tc>
        <w:tc>
          <w:tcPr>
            <w:tcW w:w="886" w:type="dxa"/>
            <w:tcBorders>
              <w:top w:val="single" w:sz="6" w:space="0" w:color="000000"/>
              <w:start w:val="single" w:sz="6" w:space="0" w:color="000000"/>
              <w:bottom w:val="single" w:sz="6" w:space="0" w:color="000000"/>
              <w:end w:val="single" w:sz="6" w:space="0" w:color="000000"/>
            </w:tcBorders>
          </w:tcPr>
          <w:p>
            <w:pPr>
              <w:pStyle w:val="Normal"/>
              <w:jc w:val="center"/>
              <w:rPr>
                <w:b/>
                <w:sz w:val="20"/>
              </w:rPr>
            </w:pPr>
            <w:r>
              <w:rPr>
                <w:b/>
                <w:sz w:val="20"/>
              </w:rPr>
              <w:t>F(3m)</w:t>
            </w:r>
          </w:p>
        </w:tc>
        <w:tc>
          <w:tcPr>
            <w:tcW w:w="886" w:type="dxa"/>
            <w:tcBorders>
              <w:top w:val="single" w:sz="6" w:space="0" w:color="000000"/>
              <w:start w:val="single" w:sz="6" w:space="0" w:color="000000"/>
              <w:bottom w:val="single" w:sz="6" w:space="0" w:color="000000"/>
              <w:end w:val="single" w:sz="6" w:space="0" w:color="000000"/>
            </w:tcBorders>
          </w:tcPr>
          <w:p>
            <w:pPr>
              <w:pStyle w:val="Normal"/>
              <w:jc w:val="center"/>
              <w:rPr>
                <w:b/>
                <w:sz w:val="20"/>
              </w:rPr>
            </w:pPr>
            <w:r>
              <w:rPr>
                <w:b/>
                <w:sz w:val="20"/>
              </w:rPr>
              <w:t>F(4m)</w:t>
            </w:r>
          </w:p>
        </w:tc>
        <w:tc>
          <w:tcPr>
            <w:tcW w:w="567" w:type="dxa"/>
            <w:tcBorders>
              <w:top w:val="single" w:sz="6" w:space="0" w:color="000000"/>
              <w:start w:val="single" w:sz="6" w:space="0" w:color="000000"/>
              <w:bottom w:val="single" w:sz="6" w:space="0" w:color="000000"/>
              <w:end w:val="single" w:sz="6" w:space="0" w:color="000000"/>
            </w:tcBorders>
          </w:tcPr>
          <w:p>
            <w:pPr>
              <w:pStyle w:val="Normal"/>
              <w:jc w:val="center"/>
              <w:rPr>
                <w:b/>
                <w:sz w:val="20"/>
              </w:rPr>
            </w:pPr>
            <w:r>
              <w:rPr>
                <w:b/>
                <w:sz w:val="20"/>
              </w:rPr>
              <w:t>…</w:t>
            </w:r>
          </w:p>
        </w:tc>
        <w:tc>
          <w:tcPr>
            <w:tcW w:w="956" w:type="dxa"/>
            <w:tcBorders>
              <w:top w:val="single" w:sz="6" w:space="0" w:color="000000"/>
              <w:start w:val="single" w:sz="6" w:space="0" w:color="000000"/>
              <w:bottom w:val="single" w:sz="6" w:space="0" w:color="000000"/>
              <w:end w:val="single" w:sz="6" w:space="0" w:color="000000"/>
            </w:tcBorders>
          </w:tcPr>
          <w:p>
            <w:pPr>
              <w:pStyle w:val="Normal"/>
              <w:jc w:val="center"/>
              <w:rPr>
                <w:b/>
                <w:sz w:val="20"/>
              </w:rPr>
            </w:pPr>
            <w:r>
              <w:rPr>
                <w:b/>
                <w:sz w:val="20"/>
              </w:rPr>
              <w:t>F(21m)</w:t>
            </w:r>
          </w:p>
        </w:tc>
        <w:tc>
          <w:tcPr>
            <w:tcW w:w="957" w:type="dxa"/>
            <w:tcBorders>
              <w:top w:val="single" w:sz="6" w:space="0" w:color="000000"/>
              <w:start w:val="single" w:sz="6" w:space="0" w:color="000000"/>
              <w:bottom w:val="single" w:sz="6" w:space="0" w:color="000000"/>
              <w:end w:val="single" w:sz="6" w:space="0" w:color="000000"/>
            </w:tcBorders>
          </w:tcPr>
          <w:p>
            <w:pPr>
              <w:pStyle w:val="Normal"/>
              <w:jc w:val="center"/>
              <w:rPr>
                <w:b/>
                <w:sz w:val="20"/>
              </w:rPr>
            </w:pPr>
            <w:r>
              <w:rPr>
                <w:b/>
                <w:sz w:val="20"/>
              </w:rPr>
              <w:t>F(22m)</w:t>
            </w:r>
          </w:p>
        </w:tc>
        <w:tc>
          <w:tcPr>
            <w:tcW w:w="957" w:type="dxa"/>
            <w:tcBorders>
              <w:top w:val="single" w:sz="6" w:space="0" w:color="000000"/>
              <w:start w:val="single" w:sz="6" w:space="0" w:color="000000"/>
              <w:bottom w:val="single" w:sz="6" w:space="0" w:color="000000"/>
              <w:end w:val="single" w:sz="6" w:space="0" w:color="000000"/>
            </w:tcBorders>
          </w:tcPr>
          <w:p>
            <w:pPr>
              <w:pStyle w:val="Normal"/>
              <w:jc w:val="center"/>
              <w:rPr>
                <w:b/>
                <w:sz w:val="20"/>
              </w:rPr>
            </w:pPr>
            <w:r>
              <w:rPr>
                <w:b/>
                <w:sz w:val="20"/>
              </w:rPr>
              <w:t>F(23m)</w:t>
            </w:r>
          </w:p>
        </w:tc>
        <w:tc>
          <w:tcPr>
            <w:tcW w:w="957" w:type="dxa"/>
            <w:tcBorders>
              <w:top w:val="single" w:sz="6" w:space="0" w:color="000000"/>
              <w:start w:val="single" w:sz="6" w:space="0" w:color="000000"/>
              <w:bottom w:val="single" w:sz="6" w:space="0" w:color="000000"/>
              <w:end w:val="single" w:sz="6" w:space="0" w:color="000000"/>
            </w:tcBorders>
          </w:tcPr>
          <w:p>
            <w:pPr>
              <w:pStyle w:val="Normal"/>
              <w:jc w:val="center"/>
              <w:rPr>
                <w:b/>
                <w:sz w:val="20"/>
              </w:rPr>
            </w:pPr>
            <w:r>
              <w:rPr>
                <w:b/>
                <w:sz w:val="20"/>
              </w:rPr>
              <w:t>F(24m)</w:t>
            </w:r>
          </w:p>
        </w:tc>
      </w:tr>
      <w:tr>
        <w:trPr/>
        <w:tc>
          <w:tcPr>
            <w:tcW w:w="1134"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02/04/98</w:t>
            </w:r>
          </w:p>
        </w:tc>
        <w:tc>
          <w:tcPr>
            <w:tcW w:w="886"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0.0128</w:t>
            </w:r>
          </w:p>
        </w:tc>
        <w:tc>
          <w:tcPr>
            <w:tcW w:w="886"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0.0125</w:t>
            </w:r>
          </w:p>
        </w:tc>
        <w:tc>
          <w:tcPr>
            <w:tcW w:w="886"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0.0123</w:t>
            </w:r>
          </w:p>
        </w:tc>
        <w:tc>
          <w:tcPr>
            <w:tcW w:w="886"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0.0115</w:t>
            </w:r>
          </w:p>
        </w:tc>
        <w:tc>
          <w:tcPr>
            <w:tcW w:w="567"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rFonts w:eastAsia="Arial Unicode MS"/>
                <w:sz w:val="20"/>
              </w:rPr>
            </w:pPr>
            <w:r>
              <w:rPr>
                <w:sz w:val="20"/>
              </w:rPr>
              <w:t>…</w:t>
            </w:r>
          </w:p>
        </w:tc>
        <w:tc>
          <w:tcPr>
            <w:tcW w:w="956"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0.0000</w:t>
            </w:r>
          </w:p>
        </w:tc>
        <w:tc>
          <w:tcPr>
            <w:tcW w:w="957"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0.0000</w:t>
            </w:r>
          </w:p>
        </w:tc>
        <w:tc>
          <w:tcPr>
            <w:tcW w:w="957"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0.0000</w:t>
            </w:r>
          </w:p>
        </w:tc>
        <w:tc>
          <w:tcPr>
            <w:tcW w:w="957"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0.0000</w:t>
            </w:r>
          </w:p>
        </w:tc>
      </w:tr>
      <w:tr>
        <w:trPr/>
        <w:tc>
          <w:tcPr>
            <w:tcW w:w="1134"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03/04/98</w:t>
            </w:r>
          </w:p>
        </w:tc>
        <w:tc>
          <w:tcPr>
            <w:tcW w:w="886"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0.0158</w:t>
            </w:r>
          </w:p>
        </w:tc>
        <w:tc>
          <w:tcPr>
            <w:tcW w:w="886"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0.0142</w:t>
            </w:r>
          </w:p>
        </w:tc>
        <w:tc>
          <w:tcPr>
            <w:tcW w:w="886"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0.0128</w:t>
            </w:r>
          </w:p>
        </w:tc>
        <w:tc>
          <w:tcPr>
            <w:tcW w:w="886"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0.0114</w:t>
            </w:r>
          </w:p>
        </w:tc>
        <w:tc>
          <w:tcPr>
            <w:tcW w:w="567"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rFonts w:eastAsia="Arial Unicode MS"/>
                <w:sz w:val="20"/>
              </w:rPr>
            </w:pPr>
            <w:r>
              <w:rPr>
                <w:sz w:val="20"/>
              </w:rPr>
              <w:t>…</w:t>
            </w:r>
          </w:p>
        </w:tc>
        <w:tc>
          <w:tcPr>
            <w:tcW w:w="956"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0.0051</w:t>
            </w:r>
          </w:p>
        </w:tc>
        <w:tc>
          <w:tcPr>
            <w:tcW w:w="957"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0.0046</w:t>
            </w:r>
          </w:p>
        </w:tc>
        <w:tc>
          <w:tcPr>
            <w:tcW w:w="957"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0.0046</w:t>
            </w:r>
          </w:p>
        </w:tc>
        <w:tc>
          <w:tcPr>
            <w:tcW w:w="957"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0.0046</w:t>
            </w:r>
          </w:p>
        </w:tc>
      </w:tr>
      <w:tr>
        <w:trPr/>
        <w:tc>
          <w:tcPr>
            <w:tcW w:w="1134"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06/04/98</w:t>
            </w:r>
          </w:p>
        </w:tc>
        <w:tc>
          <w:tcPr>
            <w:tcW w:w="886"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-0.0344</w:t>
            </w:r>
          </w:p>
        </w:tc>
        <w:tc>
          <w:tcPr>
            <w:tcW w:w="886"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-0.0312</w:t>
            </w:r>
          </w:p>
        </w:tc>
        <w:tc>
          <w:tcPr>
            <w:tcW w:w="886"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-0.0288</w:t>
            </w:r>
          </w:p>
        </w:tc>
        <w:tc>
          <w:tcPr>
            <w:tcW w:w="886"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-0.0266</w:t>
            </w:r>
          </w:p>
        </w:tc>
        <w:tc>
          <w:tcPr>
            <w:tcW w:w="567"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rFonts w:eastAsia="Arial Unicode MS"/>
                <w:sz w:val="20"/>
              </w:rPr>
            </w:pPr>
            <w:r>
              <w:rPr>
                <w:sz w:val="20"/>
              </w:rPr>
              <w:t>…</w:t>
            </w:r>
          </w:p>
        </w:tc>
        <w:tc>
          <w:tcPr>
            <w:tcW w:w="956"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-0.0160</w:t>
            </w:r>
          </w:p>
        </w:tc>
        <w:tc>
          <w:tcPr>
            <w:tcW w:w="957"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-0.0155</w:t>
            </w:r>
          </w:p>
        </w:tc>
        <w:tc>
          <w:tcPr>
            <w:tcW w:w="957"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-0.0149</w:t>
            </w:r>
          </w:p>
        </w:tc>
        <w:tc>
          <w:tcPr>
            <w:tcW w:w="957"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-0.0149</w:t>
            </w:r>
          </w:p>
        </w:tc>
      </w:tr>
      <w:tr>
        <w:trPr/>
        <w:tc>
          <w:tcPr>
            <w:tcW w:w="1134"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07/04/98</w:t>
            </w:r>
          </w:p>
        </w:tc>
        <w:tc>
          <w:tcPr>
            <w:tcW w:w="886"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-0.0150</w:t>
            </w:r>
          </w:p>
        </w:tc>
        <w:tc>
          <w:tcPr>
            <w:tcW w:w="886"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-0.0140</w:t>
            </w:r>
          </w:p>
        </w:tc>
        <w:tc>
          <w:tcPr>
            <w:tcW w:w="886"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-0.0125</w:t>
            </w:r>
          </w:p>
        </w:tc>
        <w:tc>
          <w:tcPr>
            <w:tcW w:w="886"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-0.0111</w:t>
            </w:r>
          </w:p>
        </w:tc>
        <w:tc>
          <w:tcPr>
            <w:tcW w:w="567"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rFonts w:eastAsia="Arial Unicode MS"/>
                <w:sz w:val="20"/>
              </w:rPr>
            </w:pPr>
            <w:r>
              <w:rPr>
                <w:sz w:val="20"/>
              </w:rPr>
              <w:t>…</w:t>
            </w:r>
          </w:p>
        </w:tc>
        <w:tc>
          <w:tcPr>
            <w:tcW w:w="956"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0.0017</w:t>
            </w:r>
          </w:p>
        </w:tc>
        <w:tc>
          <w:tcPr>
            <w:tcW w:w="957"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0.0017</w:t>
            </w:r>
          </w:p>
        </w:tc>
        <w:tc>
          <w:tcPr>
            <w:tcW w:w="957"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0.0017</w:t>
            </w:r>
          </w:p>
        </w:tc>
        <w:tc>
          <w:tcPr>
            <w:tcW w:w="957"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0.0017</w:t>
            </w:r>
          </w:p>
        </w:tc>
      </w:tr>
      <w:tr>
        <w:trPr/>
        <w:tc>
          <w:tcPr>
            <w:tcW w:w="1134"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rFonts w:eastAsia="Arial Unicode MS"/>
                <w:sz w:val="20"/>
              </w:rPr>
            </w:pPr>
            <w:r>
              <w:rPr>
                <w:sz w:val="20"/>
              </w:rPr>
              <w:t>…</w:t>
            </w:r>
          </w:p>
        </w:tc>
        <w:tc>
          <w:tcPr>
            <w:tcW w:w="886"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rFonts w:eastAsia="Arial Unicode MS"/>
                <w:sz w:val="20"/>
              </w:rPr>
            </w:pPr>
            <w:r>
              <w:rPr>
                <w:sz w:val="20"/>
              </w:rPr>
              <w:t>…</w:t>
            </w:r>
          </w:p>
        </w:tc>
        <w:tc>
          <w:tcPr>
            <w:tcW w:w="886"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rFonts w:eastAsia="Arial Unicode MS"/>
                <w:sz w:val="20"/>
              </w:rPr>
            </w:pPr>
            <w:r>
              <w:rPr>
                <w:sz w:val="20"/>
              </w:rPr>
              <w:t>…</w:t>
            </w:r>
          </w:p>
        </w:tc>
        <w:tc>
          <w:tcPr>
            <w:tcW w:w="886"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rFonts w:eastAsia="Arial Unicode MS"/>
                <w:sz w:val="20"/>
              </w:rPr>
            </w:pPr>
            <w:r>
              <w:rPr>
                <w:sz w:val="20"/>
              </w:rPr>
              <w:t>…</w:t>
            </w:r>
          </w:p>
        </w:tc>
        <w:tc>
          <w:tcPr>
            <w:tcW w:w="886"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rFonts w:eastAsia="Arial Unicode MS"/>
                <w:sz w:val="20"/>
              </w:rPr>
            </w:pPr>
            <w:r>
              <w:rPr>
                <w:sz w:val="20"/>
              </w:rPr>
              <w:t>…</w:t>
            </w:r>
          </w:p>
        </w:tc>
        <w:tc>
          <w:tcPr>
            <w:tcW w:w="567"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rFonts w:eastAsia="Arial Unicode MS"/>
                <w:sz w:val="20"/>
              </w:rPr>
            </w:pPr>
            <w:r>
              <w:rPr>
                <w:sz w:val="20"/>
              </w:rPr>
              <w:t>…</w:t>
            </w:r>
          </w:p>
        </w:tc>
        <w:tc>
          <w:tcPr>
            <w:tcW w:w="956"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rFonts w:eastAsia="Arial Unicode MS"/>
                <w:sz w:val="20"/>
              </w:rPr>
            </w:pPr>
            <w:r>
              <w:rPr>
                <w:sz w:val="20"/>
              </w:rPr>
              <w:t>…</w:t>
            </w:r>
          </w:p>
        </w:tc>
        <w:tc>
          <w:tcPr>
            <w:tcW w:w="957"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rFonts w:eastAsia="Arial Unicode MS"/>
                <w:sz w:val="20"/>
              </w:rPr>
            </w:pPr>
            <w:r>
              <w:rPr>
                <w:sz w:val="20"/>
              </w:rPr>
              <w:t>…</w:t>
            </w:r>
          </w:p>
        </w:tc>
        <w:tc>
          <w:tcPr>
            <w:tcW w:w="957"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rFonts w:eastAsia="Arial Unicode MS"/>
                <w:sz w:val="20"/>
              </w:rPr>
            </w:pPr>
            <w:r>
              <w:rPr>
                <w:sz w:val="20"/>
              </w:rPr>
              <w:t>…</w:t>
            </w:r>
          </w:p>
        </w:tc>
        <w:tc>
          <w:tcPr>
            <w:tcW w:w="957"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rFonts w:eastAsia="Arial Unicode MS"/>
                <w:sz w:val="20"/>
              </w:rPr>
            </w:pPr>
            <w:r>
              <w:rPr>
                <w:sz w:val="20"/>
              </w:rPr>
              <w:t>…</w:t>
            </w:r>
          </w:p>
        </w:tc>
      </w:tr>
      <w:tr>
        <w:trPr/>
        <w:tc>
          <w:tcPr>
            <w:tcW w:w="1134"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28/03/00</w:t>
            </w:r>
          </w:p>
        </w:tc>
        <w:tc>
          <w:tcPr>
            <w:tcW w:w="886"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-0.0255</w:t>
            </w:r>
          </w:p>
        </w:tc>
        <w:tc>
          <w:tcPr>
            <w:tcW w:w="886"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-0.0244</w:t>
            </w:r>
          </w:p>
        </w:tc>
        <w:tc>
          <w:tcPr>
            <w:tcW w:w="886"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-0.0218</w:t>
            </w:r>
          </w:p>
        </w:tc>
        <w:tc>
          <w:tcPr>
            <w:tcW w:w="886"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-0.0190</w:t>
            </w:r>
          </w:p>
        </w:tc>
        <w:tc>
          <w:tcPr>
            <w:tcW w:w="567"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rFonts w:eastAsia="Arial Unicode MS"/>
                <w:sz w:val="20"/>
              </w:rPr>
            </w:pPr>
            <w:r>
              <w:rPr>
                <w:sz w:val="20"/>
              </w:rPr>
              <w:t>…</w:t>
            </w:r>
          </w:p>
        </w:tc>
        <w:tc>
          <w:tcPr>
            <w:tcW w:w="956"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-0.0158</w:t>
            </w:r>
          </w:p>
        </w:tc>
        <w:tc>
          <w:tcPr>
            <w:tcW w:w="957"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-0.0164</w:t>
            </w:r>
          </w:p>
        </w:tc>
        <w:tc>
          <w:tcPr>
            <w:tcW w:w="957"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-0.0169</w:t>
            </w:r>
          </w:p>
        </w:tc>
        <w:tc>
          <w:tcPr>
            <w:tcW w:w="957"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-0.0175</w:t>
            </w:r>
          </w:p>
        </w:tc>
      </w:tr>
      <w:tr>
        <w:trPr/>
        <w:tc>
          <w:tcPr>
            <w:tcW w:w="1134"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29/03/00</w:t>
            </w:r>
          </w:p>
        </w:tc>
        <w:tc>
          <w:tcPr>
            <w:tcW w:w="886"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-0.0239</w:t>
            </w:r>
          </w:p>
        </w:tc>
        <w:tc>
          <w:tcPr>
            <w:tcW w:w="886"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-0.0184</w:t>
            </w:r>
          </w:p>
        </w:tc>
        <w:tc>
          <w:tcPr>
            <w:tcW w:w="886"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-0.0121</w:t>
            </w:r>
          </w:p>
        </w:tc>
        <w:tc>
          <w:tcPr>
            <w:tcW w:w="886"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-0.0067</w:t>
            </w:r>
          </w:p>
        </w:tc>
        <w:tc>
          <w:tcPr>
            <w:tcW w:w="567"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rFonts w:eastAsia="Arial Unicode MS"/>
                <w:sz w:val="20"/>
              </w:rPr>
            </w:pPr>
            <w:r>
              <w:rPr>
                <w:sz w:val="20"/>
              </w:rPr>
              <w:t>…</w:t>
            </w:r>
          </w:p>
        </w:tc>
        <w:tc>
          <w:tcPr>
            <w:tcW w:w="956"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0.0243</w:t>
            </w:r>
          </w:p>
        </w:tc>
        <w:tc>
          <w:tcPr>
            <w:tcW w:w="957"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0.0249</w:t>
            </w:r>
          </w:p>
        </w:tc>
        <w:tc>
          <w:tcPr>
            <w:tcW w:w="957"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0.0255</w:t>
            </w:r>
          </w:p>
        </w:tc>
        <w:tc>
          <w:tcPr>
            <w:tcW w:w="957"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0.0267</w:t>
            </w:r>
          </w:p>
        </w:tc>
      </w:tr>
      <w:tr>
        <w:trPr/>
        <w:tc>
          <w:tcPr>
            <w:tcW w:w="1134"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30/03/00</w:t>
            </w:r>
          </w:p>
        </w:tc>
        <w:tc>
          <w:tcPr>
            <w:tcW w:w="886"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0.0094</w:t>
            </w:r>
          </w:p>
        </w:tc>
        <w:tc>
          <w:tcPr>
            <w:tcW w:w="886"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0.0077</w:t>
            </w:r>
          </w:p>
        </w:tc>
        <w:tc>
          <w:tcPr>
            <w:tcW w:w="886"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0.0066</w:t>
            </w:r>
          </w:p>
        </w:tc>
        <w:tc>
          <w:tcPr>
            <w:tcW w:w="886"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0.0063</w:t>
            </w:r>
          </w:p>
        </w:tc>
        <w:tc>
          <w:tcPr>
            <w:tcW w:w="567"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rFonts w:eastAsia="Arial Unicode MS"/>
                <w:sz w:val="20"/>
              </w:rPr>
            </w:pPr>
            <w:r>
              <w:rPr>
                <w:sz w:val="20"/>
              </w:rPr>
              <w:t>…</w:t>
            </w:r>
          </w:p>
        </w:tc>
        <w:tc>
          <w:tcPr>
            <w:tcW w:w="956"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0.0061</w:t>
            </w:r>
          </w:p>
        </w:tc>
        <w:tc>
          <w:tcPr>
            <w:tcW w:w="957"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0.0061</w:t>
            </w:r>
          </w:p>
        </w:tc>
        <w:tc>
          <w:tcPr>
            <w:tcW w:w="957"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0.0062</w:t>
            </w:r>
          </w:p>
        </w:tc>
        <w:tc>
          <w:tcPr>
            <w:tcW w:w="957"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0.0062</w:t>
            </w:r>
          </w:p>
        </w:tc>
      </w:tr>
      <w:tr>
        <w:trPr/>
        <w:tc>
          <w:tcPr>
            <w:tcW w:w="1134"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31/03/00</w:t>
            </w:r>
          </w:p>
        </w:tc>
        <w:tc>
          <w:tcPr>
            <w:tcW w:w="886"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0.0075</w:t>
            </w:r>
          </w:p>
        </w:tc>
        <w:tc>
          <w:tcPr>
            <w:tcW w:w="886"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0.0118</w:t>
            </w:r>
          </w:p>
        </w:tc>
        <w:tc>
          <w:tcPr>
            <w:tcW w:w="886"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0.0116</w:t>
            </w:r>
          </w:p>
        </w:tc>
        <w:tc>
          <w:tcPr>
            <w:tcW w:w="886"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0.0113</w:t>
            </w:r>
          </w:p>
        </w:tc>
        <w:tc>
          <w:tcPr>
            <w:tcW w:w="567"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rFonts w:eastAsia="Arial Unicode MS"/>
                <w:sz w:val="20"/>
              </w:rPr>
            </w:pPr>
            <w:r>
              <w:rPr>
                <w:sz w:val="20"/>
              </w:rPr>
              <w:t>…</w:t>
            </w:r>
          </w:p>
        </w:tc>
        <w:tc>
          <w:tcPr>
            <w:tcW w:w="956"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0.0093</w:t>
            </w:r>
          </w:p>
        </w:tc>
        <w:tc>
          <w:tcPr>
            <w:tcW w:w="957"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0.0089</w:t>
            </w:r>
          </w:p>
        </w:tc>
        <w:tc>
          <w:tcPr>
            <w:tcW w:w="957"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0.0085</w:t>
            </w:r>
          </w:p>
        </w:tc>
        <w:tc>
          <w:tcPr>
            <w:tcW w:w="957"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0.0085</w:t>
            </w:r>
          </w:p>
        </w:tc>
      </w:tr>
    </w:tbl>
    <w:p>
      <w:pPr>
        <w:pStyle w:val="Normal"/>
        <w:rPr/>
      </w:pPr>
      <w:r>
        <w:rPr/>
      </w:r>
    </w:p>
    <w:p>
      <w:pPr>
        <w:pStyle w:val="Normal"/>
        <w:rPr/>
      </w:pPr>
      <w:r>
        <w:rPr/>
        <w:t xml:space="preserve">Equation (2) implies that changes in the natural logarithms of the forward prices with relative maturities </w:t>
      </w:r>
      <w:r>
        <w:rPr>
          <w:sz w:val="20"/>
        </w:rPr>
      </w:r>
      <m:oMath xmlns:m="http://schemas.openxmlformats.org/officeDocument/2006/math">
        <m:sSub>
          <m:e>
            <m:r>
              <m:t xml:space="preserve">τ</m:t>
            </m:r>
          </m:e>
          <m:sub>
            <m:r>
              <m:t xml:space="preserve">j</m:t>
            </m:r>
          </m:sub>
        </m:sSub>
        <m:r>
          <m:t xml:space="preserve">,</m:t>
        </m:r>
        <m:r>
          <m:t xml:space="preserve">j</m:t>
        </m:r>
        <m:r>
          <m:t xml:space="preserve">=</m:t>
        </m:r>
        <m:r>
          <m:t xml:space="preserve">1</m:t>
        </m:r>
        <m:r>
          <m:t xml:space="preserve">,</m:t>
        </m:r>
        <m:r>
          <m:rPr>
            <m:lit/>
            <m:nor/>
          </m:rPr>
          <m:t xml:space="preserve">.</m:t>
        </m:r>
        <m:r>
          <m:rPr>
            <m:lit/>
            <m:nor/>
          </m:rPr>
          <m:t xml:space="preserve">.</m:t>
        </m:r>
        <m:r>
          <m:rPr>
            <m:lit/>
            <m:nor/>
          </m:rPr>
          <m:t xml:space="preserve">.</m:t>
        </m:r>
        <m:r>
          <m:t xml:space="preserve">,</m:t>
        </m:r>
        <m:r>
          <m:t xml:space="preserve">m</m:t>
        </m:r>
      </m:oMath>
      <w:r>
        <w:rPr/>
        <w:t xml:space="preserve"> are jointly normally distributed.  We can compute the sample covariance matrix of these forward prices in the standard way:</w:t>
      </w:r>
    </w:p>
    <w:p>
      <w:pPr>
        <w:pStyle w:val="Normal"/>
        <w:rPr/>
      </w:pPr>
      <w:r>
        <w:rPr/>
      </w:r>
    </w:p>
    <w:p>
      <w:pPr>
        <w:pStyle w:val="Equation"/>
        <w:rPr/>
      </w:pPr>
      <w:r>
        <w:rPr/>
        <w:tab/>
      </w:r>
      <w:r>
        <w:rPr>
          <w:sz w:val="20"/>
        </w:rPr>
      </w:r>
      <m:oMath xmlns:m="http://schemas.openxmlformats.org/officeDocument/2006/math">
        <m:sSub>
          <m:e>
            <m:acc>
              <m:accPr>
                <m:chr m:val="^"/>
              </m:accPr>
              <m:e>
                <m:r>
                  <m:t xml:space="preserve">σ</m:t>
                </m:r>
              </m:e>
            </m:acc>
          </m:e>
          <m:sub>
            <m:r>
              <m:rPr>
                <m:lit/>
                <m:nor/>
              </m:rPr>
              <m:t xml:space="preserve">ij</m:t>
            </m:r>
          </m:sub>
        </m:sSub>
        <m:r>
          <m:t xml:space="preserve">=</m:t>
        </m:r>
        <m:f>
          <m:num>
            <m:r>
              <m:t xml:space="preserve">1</m:t>
            </m:r>
          </m:num>
          <m:den>
            <m:r>
              <m:t xml:space="preserve">N</m:t>
            </m:r>
          </m:den>
        </m:f>
        <m:nary>
          <m:naryPr>
            <m:chr m:val="∑"/>
          </m:naryPr>
          <m:sub>
            <m:r>
              <m:t xml:space="preserve">k</m:t>
            </m:r>
            <m:r>
              <m:t xml:space="preserve">=</m:t>
            </m:r>
            <m:r>
              <m:t xml:space="preserve">1</m:t>
            </m:r>
          </m:sub>
          <m:sup>
            <m:r>
              <m:t xml:space="preserve">N</m:t>
            </m:r>
          </m:sup>
          <m:e>
            <m:r>
              <m:t xml:space="preserve">(</m:t>
            </m:r>
            <m:sSub>
              <m:e>
                <m:r>
                  <m:t xml:space="preserve">x</m:t>
                </m:r>
              </m:e>
              <m:sub>
                <m:r>
                  <m:rPr>
                    <m:lit/>
                    <m:nor/>
                  </m:rPr>
                  <m:t xml:space="preserve">ik</m:t>
                </m:r>
              </m:sub>
            </m:sSub>
            <m:r>
              <m:t xml:space="preserve">−</m:t>
            </m:r>
            <m:sSub>
              <m:e>
                <m:acc>
                  <m:accPr>
                    <m:chr m:val="¯"/>
                  </m:accPr>
                  <m:e>
                    <m:r>
                      <m:t xml:space="preserve">x</m:t>
                    </m:r>
                  </m:e>
                </m:acc>
              </m:e>
              <m:sub>
                <m:r>
                  <m:t xml:space="preserve">i</m:t>
                </m:r>
              </m:sub>
            </m:sSub>
            <m:r>
              <m:t xml:space="preserve">)</m:t>
            </m:r>
            <m:r>
              <m:t xml:space="preserve">(</m:t>
            </m:r>
            <m:sSub>
              <m:e>
                <m:r>
                  <m:t xml:space="preserve">x</m:t>
                </m:r>
              </m:e>
              <m:sub>
                <m:r>
                  <m:rPr>
                    <m:lit/>
                    <m:nor/>
                  </m:rPr>
                  <m:t xml:space="preserve">jk</m:t>
                </m:r>
              </m:sub>
            </m:sSub>
            <m:r>
              <m:t xml:space="preserve">−</m:t>
            </m:r>
            <m:sSub>
              <m:e>
                <m:acc>
                  <m:accPr>
                    <m:chr m:val="¯"/>
                  </m:accPr>
                  <m:e>
                    <m:r>
                      <m:t xml:space="preserve">x</m:t>
                    </m:r>
                  </m:e>
                </m:acc>
              </m:e>
              <m:sub>
                <m:r>
                  <m:t xml:space="preserve">j</m:t>
                </m:r>
              </m:sub>
            </m:sSub>
            <m:r>
              <m:t xml:space="preserve">)</m:t>
            </m:r>
          </m:e>
        </m:nary>
      </m:oMath>
    </w:p>
    <w:p>
      <w:pPr>
        <w:pStyle w:val="Normal"/>
        <w:rPr/>
      </w:pPr>
      <w:r>
        <w:rPr/>
      </w:r>
    </w:p>
    <w:p>
      <w:pPr>
        <w:pStyle w:val="Normal"/>
        <w:rPr/>
      </w:pPr>
      <w:r>
        <w:rPr/>
        <w:t xml:space="preserve">where there are </w:t>
      </w:r>
      <w:r>
        <w:rPr>
          <w:i/>
        </w:rPr>
        <w:t>N</w:t>
      </w:r>
      <w:r>
        <w:rPr/>
        <w:t xml:space="preserve"> samples (</w:t>
      </w:r>
      <w:r>
        <w:rPr>
          <w:i/>
        </w:rPr>
        <w:t>k=1,..., N</w:t>
      </w:r>
      <w:r>
        <w:rPr/>
        <w:t xml:space="preserve">) of </w:t>
      </w:r>
      <w:r>
        <w:rPr>
          <w:i/>
        </w:rPr>
        <w:t>x</w:t>
      </w:r>
      <w:r>
        <w:rPr>
          <w:i/>
          <w:vertAlign w:val="subscript"/>
        </w:rPr>
        <w:t>ik</w:t>
      </w:r>
      <w:r>
        <w:rPr/>
        <w:t xml:space="preserve"> and </w:t>
      </w:r>
      <w:r>
        <w:rPr>
          <w:i/>
        </w:rPr>
        <w:t>x</w:t>
      </w:r>
      <w:r>
        <w:rPr>
          <w:i/>
          <w:vertAlign w:val="subscript"/>
        </w:rPr>
        <w:t xml:space="preserve">jk </w:t>
      </w:r>
      <w:r>
        <w:rPr/>
        <w:t xml:space="preserve">which are defined as; </w:t>
      </w:r>
    </w:p>
    <w:p>
      <w:pPr>
        <w:pStyle w:val="Normal"/>
        <w:rPr/>
      </w:pPr>
      <w:r>
        <w:rPr/>
      </w:r>
    </w:p>
    <w:p>
      <w:pPr>
        <w:pStyle w:val="Equation"/>
        <w:rPr/>
      </w:pPr>
      <w:r>
        <w:rPr/>
        <w:tab/>
      </w:r>
      <w:r>
        <w:rPr>
          <w:sz w:val="20"/>
        </w:rPr>
      </w:r>
      <m:oMath xmlns:m="http://schemas.openxmlformats.org/officeDocument/2006/math">
        <m:sSub>
          <m:e>
            <m:r>
              <m:t xml:space="preserve">x</m:t>
            </m:r>
          </m:e>
          <m:sub>
            <m:r>
              <m:rPr>
                <m:lit/>
                <m:nor/>
              </m:rPr>
              <m:t xml:space="preserve">ik</m:t>
            </m:r>
          </m:sub>
        </m:sSub>
        <m:r>
          <m:t xml:space="preserve">=</m:t>
        </m:r>
        <m:r>
          <m:rPr>
            <m:lit/>
            <m:nor/>
          </m:rPr>
          <m:t xml:space="preserve">ln</m:t>
        </m:r>
        <m:r>
          <m:t xml:space="preserve">(</m:t>
        </m:r>
        <m:r>
          <m:t xml:space="preserve">F</m:t>
        </m:r>
        <m:r>
          <m:t xml:space="preserve">(</m:t>
        </m:r>
        <m:sSub>
          <m:e>
            <m:r>
              <m:t xml:space="preserve">t</m:t>
            </m:r>
          </m:e>
          <m:sub>
            <m:r>
              <m:t xml:space="preserve">k</m:t>
            </m:r>
          </m:sub>
        </m:sSub>
        <m:r>
          <m:t xml:space="preserve">,</m:t>
        </m:r>
        <m:sSub>
          <m:e>
            <m:r>
              <m:t xml:space="preserve">t</m:t>
            </m:r>
          </m:e>
          <m:sub>
            <m:r>
              <m:t xml:space="preserve">k</m:t>
            </m:r>
          </m:sub>
        </m:sSub>
        <m:r>
          <m:t xml:space="preserve">+</m:t>
        </m:r>
        <m:sSub>
          <m:e>
            <m:r>
              <m:t xml:space="preserve">τ</m:t>
            </m:r>
          </m:e>
          <m:sub>
            <m:r>
              <m:t xml:space="preserve">i</m:t>
            </m:r>
          </m:sub>
        </m:sSub>
        <m:r>
          <m:t xml:space="preserve">)</m:t>
        </m:r>
        <m:r>
          <m:t xml:space="preserve">)</m:t>
        </m:r>
        <m:r>
          <m:t xml:space="preserve">−</m:t>
        </m:r>
        <m:r>
          <m:rPr>
            <m:lit/>
            <m:nor/>
          </m:rPr>
          <m:t xml:space="preserve">ln</m:t>
        </m:r>
        <m:r>
          <m:t xml:space="preserve">(</m:t>
        </m:r>
        <m:r>
          <m:t xml:space="preserve">F</m:t>
        </m:r>
        <m:r>
          <m:t xml:space="preserve">(</m:t>
        </m:r>
        <m:sSub>
          <m:e>
            <m:r>
              <m:t xml:space="preserve">t</m:t>
            </m:r>
          </m:e>
          <m:sub>
            <m:r>
              <m:t xml:space="preserve">k</m:t>
            </m:r>
          </m:sub>
        </m:sSub>
        <m:r>
          <m:t xml:space="preserve">−</m:t>
        </m:r>
        <m:r>
          <m:t xml:space="preserve">Δt</m:t>
        </m:r>
        <m:r>
          <m:t xml:space="preserve">,</m:t>
        </m:r>
        <m:sSub>
          <m:e>
            <m:r>
              <m:t xml:space="preserve">t</m:t>
            </m:r>
          </m:e>
          <m:sub>
            <m:r>
              <m:t xml:space="preserve">k</m:t>
            </m:r>
          </m:sub>
        </m:sSub>
        <m:r>
          <m:t xml:space="preserve">−</m:t>
        </m:r>
        <m:r>
          <m:t xml:space="preserve">Δt</m:t>
        </m:r>
        <m:r>
          <m:t xml:space="preserve">+</m:t>
        </m:r>
        <m:sSub>
          <m:e>
            <m:r>
              <m:t xml:space="preserve">τ</m:t>
            </m:r>
          </m:e>
          <m:sub>
            <m:r>
              <m:t xml:space="preserve">i</m:t>
            </m:r>
          </m:sub>
        </m:sSub>
        <m:r>
          <m:t xml:space="preserve">)</m:t>
        </m:r>
        <m:r>
          <m:t xml:space="preserve">)</m:t>
        </m:r>
      </m:oMath>
    </w:p>
    <w:p>
      <w:pPr>
        <w:pStyle w:val="Normal"/>
        <w:rPr/>
      </w:pPr>
      <w:r>
        <w:rPr/>
      </w:r>
    </w:p>
    <w:p>
      <w:pPr>
        <w:pStyle w:val="Normal"/>
        <w:rPr/>
      </w:pPr>
      <w:r>
        <w:rPr/>
        <w:t xml:space="preserve">and where </w:t>
      </w:r>
      <w:r>
        <w:rPr>
          <w:sz w:val="20"/>
        </w:rPr>
      </w:r>
      <m:oMath xmlns:m="http://schemas.openxmlformats.org/officeDocument/2006/math">
        <m:sSub>
          <m:e>
            <m:acc>
              <m:accPr>
                <m:chr m:val="¯"/>
              </m:accPr>
              <m:e>
                <m:r>
                  <m:t xml:space="preserve">x</m:t>
                </m:r>
              </m:e>
            </m:acc>
          </m:e>
          <m:sub>
            <m:r>
              <m:t xml:space="preserve">i</m:t>
            </m:r>
          </m:sub>
        </m:sSub>
      </m:oMath>
      <w:r>
        <w:rPr/>
        <w:t xml:space="preserve">, </w:t>
      </w:r>
      <w:r>
        <w:rPr>
          <w:sz w:val="20"/>
        </w:rPr>
      </w:r>
      <m:oMath xmlns:m="http://schemas.openxmlformats.org/officeDocument/2006/math">
        <m:sSub>
          <m:e>
            <m:acc>
              <m:accPr>
                <m:chr m:val="¯"/>
              </m:accPr>
              <m:e>
                <m:r>
                  <m:t xml:space="preserve">x</m:t>
                </m:r>
              </m:e>
            </m:acc>
          </m:e>
          <m:sub>
            <m:r>
              <m:t xml:space="preserve">j</m:t>
            </m:r>
          </m:sub>
        </m:sSub>
      </m:oMath>
      <w:r>
        <w:rPr/>
        <w:t xml:space="preserve"> are the sample means.  The time interval </w:t>
      </w:r>
      <w:r>
        <w:rPr>
          <w:rFonts w:cs="Symbol" w:ascii="Symbol" w:hAnsi="Symbol"/>
        </w:rPr>
        <w:sym w:font="Symbol" w:char="f044"/>
      </w:r>
      <w:r>
        <w:rPr>
          <w:i/>
        </w:rPr>
        <w:t>t</w:t>
      </w:r>
      <w:r>
        <w:rPr/>
        <w:t xml:space="preserve"> is one day in our example.  Table 2 shows the results for the first and last four contract months</w:t>
      </w:r>
    </w:p>
    <w:p>
      <w:pPr>
        <w:pStyle w:val="Normal"/>
        <w:rPr/>
      </w:pPr>
      <w:r>
        <w:rPr/>
      </w:r>
    </w:p>
    <w:p>
      <w:pPr>
        <w:pStyle w:val="Normal"/>
        <w:jc w:val="center"/>
        <w:rPr/>
      </w:pPr>
      <w:r>
        <w:rPr/>
        <w:t>Table 2: Covariance Matrix For NYMEX Crude Oil Futures</w:t>
      </w:r>
    </w:p>
    <w:tbl>
      <w:tblPr>
        <w:tblW w:w="8789" w:type="dxa"/>
        <w:jc w:val="start"/>
        <w:tblInd w:w="250" w:type="dxa"/>
        <w:tblLayout w:type="fixed"/>
        <w:tblCellMar>
          <w:top w:w="0" w:type="dxa"/>
          <w:start w:w="108" w:type="dxa"/>
          <w:bottom w:w="0" w:type="dxa"/>
          <w:end w:w="108" w:type="dxa"/>
        </w:tblCellMar>
      </w:tblPr>
      <w:tblGrid>
        <w:gridCol w:w="992"/>
        <w:gridCol w:w="850"/>
        <w:gridCol w:w="851"/>
        <w:gridCol w:w="850"/>
        <w:gridCol w:w="851"/>
        <w:gridCol w:w="426"/>
        <w:gridCol w:w="992"/>
        <w:gridCol w:w="992"/>
        <w:gridCol w:w="992"/>
        <w:gridCol w:w="993"/>
      </w:tblGrid>
      <w:tr>
        <w:trPr/>
        <w:tc>
          <w:tcPr>
            <w:tcW w:w="992" w:type="dxa"/>
            <w:tcBorders>
              <w:top w:val="single" w:sz="6" w:space="0" w:color="000000"/>
              <w:start w:val="single" w:sz="6" w:space="0" w:color="000000"/>
              <w:bottom w:val="single" w:sz="6" w:space="0" w:color="000000"/>
              <w:end w:val="single" w:sz="6" w:space="0" w:color="000000"/>
            </w:tcBorders>
          </w:tcPr>
          <w:p>
            <w:pPr>
              <w:pStyle w:val="Normal"/>
              <w:snapToGrid w:val="false"/>
              <w:spacing w:lineRule="auto" w:line="240"/>
              <w:jc w:val="center"/>
              <w:rPr>
                <w:b/>
                <w:sz w:val="20"/>
              </w:rPr>
            </w:pPr>
            <w:r>
              <w:rPr>
                <w:b/>
                <w:sz w:val="20"/>
              </w:rPr>
            </w:r>
          </w:p>
        </w:tc>
        <w:tc>
          <w:tcPr>
            <w:tcW w:w="850"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b/>
                <w:sz w:val="20"/>
              </w:rPr>
            </w:pPr>
            <w:r>
              <w:rPr>
                <w:b/>
                <w:sz w:val="20"/>
              </w:rPr>
              <w:t>F(1m)</w:t>
            </w:r>
          </w:p>
        </w:tc>
        <w:tc>
          <w:tcPr>
            <w:tcW w:w="851"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b/>
                <w:sz w:val="20"/>
              </w:rPr>
            </w:pPr>
            <w:r>
              <w:rPr>
                <w:b/>
                <w:sz w:val="20"/>
              </w:rPr>
              <w:t>F(2m)</w:t>
            </w:r>
          </w:p>
        </w:tc>
        <w:tc>
          <w:tcPr>
            <w:tcW w:w="850"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b/>
                <w:sz w:val="20"/>
              </w:rPr>
            </w:pPr>
            <w:r>
              <w:rPr>
                <w:b/>
                <w:sz w:val="20"/>
              </w:rPr>
              <w:t>F(3m)</w:t>
            </w:r>
          </w:p>
        </w:tc>
        <w:tc>
          <w:tcPr>
            <w:tcW w:w="851"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b/>
                <w:sz w:val="20"/>
              </w:rPr>
            </w:pPr>
            <w:r>
              <w:rPr>
                <w:b/>
                <w:sz w:val="20"/>
              </w:rPr>
              <w:t>F(4m)</w:t>
            </w:r>
          </w:p>
        </w:tc>
        <w:tc>
          <w:tcPr>
            <w:tcW w:w="426"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b/>
                <w:sz w:val="20"/>
              </w:rPr>
            </w:pPr>
            <w:r>
              <w:rPr>
                <w:b/>
                <w:sz w:val="20"/>
              </w:rPr>
              <w:t>…</w:t>
            </w:r>
          </w:p>
        </w:tc>
        <w:tc>
          <w:tcPr>
            <w:tcW w:w="992"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b/>
                <w:sz w:val="20"/>
              </w:rPr>
            </w:pPr>
            <w:r>
              <w:rPr>
                <w:b/>
                <w:sz w:val="20"/>
              </w:rPr>
              <w:t>F(21m)</w:t>
            </w:r>
          </w:p>
        </w:tc>
        <w:tc>
          <w:tcPr>
            <w:tcW w:w="992"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b/>
                <w:sz w:val="20"/>
              </w:rPr>
            </w:pPr>
            <w:r>
              <w:rPr>
                <w:b/>
                <w:sz w:val="20"/>
              </w:rPr>
              <w:t>F(22m)</w:t>
            </w:r>
          </w:p>
        </w:tc>
        <w:tc>
          <w:tcPr>
            <w:tcW w:w="992"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b/>
                <w:sz w:val="20"/>
              </w:rPr>
            </w:pPr>
            <w:r>
              <w:rPr>
                <w:b/>
                <w:sz w:val="20"/>
              </w:rPr>
              <w:t>F(23m)</w:t>
            </w:r>
          </w:p>
        </w:tc>
        <w:tc>
          <w:tcPr>
            <w:tcW w:w="993"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b/>
                <w:sz w:val="20"/>
              </w:rPr>
            </w:pPr>
            <w:r>
              <w:rPr>
                <w:b/>
                <w:sz w:val="20"/>
              </w:rPr>
              <w:t>F(24m)</w:t>
            </w:r>
          </w:p>
        </w:tc>
      </w:tr>
      <w:tr>
        <w:trPr/>
        <w:tc>
          <w:tcPr>
            <w:tcW w:w="992"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b/>
                <w:sz w:val="20"/>
              </w:rPr>
            </w:pPr>
            <w:r>
              <w:rPr>
                <w:b/>
                <w:sz w:val="20"/>
              </w:rPr>
              <w:t>F(1m)</w:t>
            </w:r>
          </w:p>
        </w:tc>
        <w:tc>
          <w:tcPr>
            <w:tcW w:w="850" w:type="dxa"/>
            <w:tcBorders>
              <w:top w:val="single" w:sz="6" w:space="0" w:color="000000"/>
              <w:start w:val="single" w:sz="6" w:space="0" w:color="000000"/>
              <w:bottom w:val="single" w:sz="6" w:space="0" w:color="000000"/>
              <w:end w:val="single" w:sz="6" w:space="0" w:color="000000"/>
            </w:tcBorders>
          </w:tcPr>
          <w:p>
            <w:pPr>
              <w:pStyle w:val="Normal"/>
              <w:spacing w:lineRule="auto" w:line="240"/>
              <w:rPr>
                <w:sz w:val="20"/>
              </w:rPr>
            </w:pPr>
            <w:r>
              <w:rPr>
                <w:sz w:val="20"/>
              </w:rPr>
              <w:t>0.1356</w:t>
            </w:r>
          </w:p>
        </w:tc>
        <w:tc>
          <w:tcPr>
            <w:tcW w:w="851" w:type="dxa"/>
            <w:tcBorders>
              <w:top w:val="single" w:sz="6" w:space="0" w:color="000000"/>
              <w:start w:val="single" w:sz="6" w:space="0" w:color="000000"/>
              <w:bottom w:val="single" w:sz="6" w:space="0" w:color="000000"/>
              <w:end w:val="single" w:sz="6" w:space="0" w:color="000000"/>
            </w:tcBorders>
          </w:tcPr>
          <w:p>
            <w:pPr>
              <w:pStyle w:val="Normal"/>
              <w:spacing w:lineRule="auto" w:line="240"/>
              <w:rPr>
                <w:sz w:val="20"/>
              </w:rPr>
            </w:pPr>
            <w:r>
              <w:rPr>
                <w:sz w:val="20"/>
              </w:rPr>
              <w:t>0.1153</w:t>
            </w:r>
          </w:p>
        </w:tc>
        <w:tc>
          <w:tcPr>
            <w:tcW w:w="850" w:type="dxa"/>
            <w:tcBorders>
              <w:top w:val="single" w:sz="6" w:space="0" w:color="000000"/>
              <w:start w:val="single" w:sz="6" w:space="0" w:color="000000"/>
              <w:bottom w:val="single" w:sz="6" w:space="0" w:color="000000"/>
              <w:end w:val="single" w:sz="6" w:space="0" w:color="000000"/>
            </w:tcBorders>
          </w:tcPr>
          <w:p>
            <w:pPr>
              <w:pStyle w:val="Normal"/>
              <w:spacing w:lineRule="auto" w:line="240"/>
              <w:rPr>
                <w:sz w:val="20"/>
              </w:rPr>
            </w:pPr>
            <w:r>
              <w:rPr>
                <w:sz w:val="20"/>
              </w:rPr>
              <w:t>0.1042</w:t>
            </w:r>
          </w:p>
        </w:tc>
        <w:tc>
          <w:tcPr>
            <w:tcW w:w="851" w:type="dxa"/>
            <w:tcBorders>
              <w:top w:val="single" w:sz="6" w:space="0" w:color="000000"/>
              <w:start w:val="single" w:sz="6" w:space="0" w:color="000000"/>
              <w:bottom w:val="single" w:sz="6" w:space="0" w:color="000000"/>
              <w:end w:val="single" w:sz="6" w:space="0" w:color="000000"/>
            </w:tcBorders>
          </w:tcPr>
          <w:p>
            <w:pPr>
              <w:pStyle w:val="Normal"/>
              <w:spacing w:lineRule="auto" w:line="240"/>
              <w:rPr>
                <w:sz w:val="20"/>
              </w:rPr>
            </w:pPr>
            <w:r>
              <w:rPr>
                <w:sz w:val="20"/>
              </w:rPr>
              <w:t>0.0959</w:t>
            </w:r>
          </w:p>
        </w:tc>
        <w:tc>
          <w:tcPr>
            <w:tcW w:w="426"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w:t>
            </w:r>
          </w:p>
        </w:tc>
        <w:tc>
          <w:tcPr>
            <w:tcW w:w="992"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0.0494</w:t>
            </w:r>
          </w:p>
        </w:tc>
        <w:tc>
          <w:tcPr>
            <w:tcW w:w="992"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0.0486</w:t>
            </w:r>
          </w:p>
        </w:tc>
        <w:tc>
          <w:tcPr>
            <w:tcW w:w="992"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0.0464</w:t>
            </w:r>
          </w:p>
        </w:tc>
        <w:tc>
          <w:tcPr>
            <w:tcW w:w="993"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0.0466</w:t>
            </w:r>
          </w:p>
        </w:tc>
      </w:tr>
      <w:tr>
        <w:trPr/>
        <w:tc>
          <w:tcPr>
            <w:tcW w:w="992"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b/>
                <w:sz w:val="20"/>
              </w:rPr>
            </w:pPr>
            <w:r>
              <w:rPr>
                <w:b/>
                <w:sz w:val="20"/>
              </w:rPr>
              <w:t>F(2m)</w:t>
            </w:r>
          </w:p>
        </w:tc>
        <w:tc>
          <w:tcPr>
            <w:tcW w:w="850" w:type="dxa"/>
            <w:tcBorders>
              <w:top w:val="single" w:sz="6" w:space="0" w:color="000000"/>
              <w:start w:val="single" w:sz="6" w:space="0" w:color="000000"/>
              <w:bottom w:val="single" w:sz="6" w:space="0" w:color="000000"/>
              <w:end w:val="single" w:sz="6" w:space="0" w:color="000000"/>
            </w:tcBorders>
          </w:tcPr>
          <w:p>
            <w:pPr>
              <w:pStyle w:val="Normal"/>
              <w:spacing w:lineRule="auto" w:line="240"/>
              <w:rPr>
                <w:sz w:val="20"/>
              </w:rPr>
            </w:pPr>
            <w:r>
              <w:rPr>
                <w:sz w:val="20"/>
              </w:rPr>
              <w:t>0.1153</w:t>
            </w:r>
          </w:p>
        </w:tc>
        <w:tc>
          <w:tcPr>
            <w:tcW w:w="851" w:type="dxa"/>
            <w:tcBorders>
              <w:top w:val="single" w:sz="6" w:space="0" w:color="000000"/>
              <w:start w:val="single" w:sz="6" w:space="0" w:color="000000"/>
              <w:bottom w:val="single" w:sz="6" w:space="0" w:color="000000"/>
              <w:end w:val="single" w:sz="6" w:space="0" w:color="000000"/>
            </w:tcBorders>
          </w:tcPr>
          <w:p>
            <w:pPr>
              <w:pStyle w:val="Normal"/>
              <w:spacing w:lineRule="auto" w:line="240"/>
              <w:rPr>
                <w:sz w:val="20"/>
              </w:rPr>
            </w:pPr>
            <w:r>
              <w:rPr>
                <w:sz w:val="20"/>
              </w:rPr>
              <w:t>0.1068</w:t>
            </w:r>
          </w:p>
        </w:tc>
        <w:tc>
          <w:tcPr>
            <w:tcW w:w="850" w:type="dxa"/>
            <w:tcBorders>
              <w:top w:val="single" w:sz="6" w:space="0" w:color="000000"/>
              <w:start w:val="single" w:sz="6" w:space="0" w:color="000000"/>
              <w:bottom w:val="single" w:sz="6" w:space="0" w:color="000000"/>
              <w:end w:val="single" w:sz="6" w:space="0" w:color="000000"/>
            </w:tcBorders>
          </w:tcPr>
          <w:p>
            <w:pPr>
              <w:pStyle w:val="Normal"/>
              <w:spacing w:lineRule="auto" w:line="240"/>
              <w:rPr>
                <w:sz w:val="20"/>
              </w:rPr>
            </w:pPr>
            <w:r>
              <w:rPr>
                <w:sz w:val="20"/>
              </w:rPr>
              <w:t>0.0975</w:t>
            </w:r>
          </w:p>
        </w:tc>
        <w:tc>
          <w:tcPr>
            <w:tcW w:w="851" w:type="dxa"/>
            <w:tcBorders>
              <w:top w:val="single" w:sz="6" w:space="0" w:color="000000"/>
              <w:start w:val="single" w:sz="6" w:space="0" w:color="000000"/>
              <w:bottom w:val="single" w:sz="6" w:space="0" w:color="000000"/>
              <w:end w:val="single" w:sz="6" w:space="0" w:color="000000"/>
            </w:tcBorders>
          </w:tcPr>
          <w:p>
            <w:pPr>
              <w:pStyle w:val="Normal"/>
              <w:spacing w:lineRule="auto" w:line="240"/>
              <w:rPr>
                <w:sz w:val="20"/>
              </w:rPr>
            </w:pPr>
            <w:r>
              <w:rPr>
                <w:sz w:val="20"/>
              </w:rPr>
              <w:t>0.0901</w:t>
            </w:r>
          </w:p>
        </w:tc>
        <w:tc>
          <w:tcPr>
            <w:tcW w:w="426"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w:t>
            </w:r>
          </w:p>
        </w:tc>
        <w:tc>
          <w:tcPr>
            <w:tcW w:w="992"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0.0486</w:t>
            </w:r>
          </w:p>
        </w:tc>
        <w:tc>
          <w:tcPr>
            <w:tcW w:w="992"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0.0478</w:t>
            </w:r>
          </w:p>
        </w:tc>
        <w:tc>
          <w:tcPr>
            <w:tcW w:w="992"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0.0457</w:t>
            </w:r>
          </w:p>
        </w:tc>
        <w:tc>
          <w:tcPr>
            <w:tcW w:w="993"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0.0457</w:t>
            </w:r>
          </w:p>
        </w:tc>
      </w:tr>
      <w:tr>
        <w:trPr/>
        <w:tc>
          <w:tcPr>
            <w:tcW w:w="992"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b/>
                <w:sz w:val="20"/>
              </w:rPr>
            </w:pPr>
            <w:r>
              <w:rPr>
                <w:b/>
                <w:sz w:val="20"/>
              </w:rPr>
              <w:t>F(3m)</w:t>
            </w:r>
          </w:p>
        </w:tc>
        <w:tc>
          <w:tcPr>
            <w:tcW w:w="850" w:type="dxa"/>
            <w:tcBorders>
              <w:top w:val="single" w:sz="6" w:space="0" w:color="000000"/>
              <w:start w:val="single" w:sz="6" w:space="0" w:color="000000"/>
              <w:bottom w:val="single" w:sz="6" w:space="0" w:color="000000"/>
              <w:end w:val="single" w:sz="6" w:space="0" w:color="000000"/>
            </w:tcBorders>
          </w:tcPr>
          <w:p>
            <w:pPr>
              <w:pStyle w:val="Normal"/>
              <w:spacing w:lineRule="auto" w:line="240"/>
              <w:rPr>
                <w:sz w:val="20"/>
              </w:rPr>
            </w:pPr>
            <w:r>
              <w:rPr>
                <w:sz w:val="20"/>
              </w:rPr>
              <w:t>0.1042</w:t>
            </w:r>
          </w:p>
        </w:tc>
        <w:tc>
          <w:tcPr>
            <w:tcW w:w="851" w:type="dxa"/>
            <w:tcBorders>
              <w:top w:val="single" w:sz="6" w:space="0" w:color="000000"/>
              <w:start w:val="single" w:sz="6" w:space="0" w:color="000000"/>
              <w:bottom w:val="single" w:sz="6" w:space="0" w:color="000000"/>
              <w:end w:val="single" w:sz="6" w:space="0" w:color="000000"/>
            </w:tcBorders>
          </w:tcPr>
          <w:p>
            <w:pPr>
              <w:pStyle w:val="Normal"/>
              <w:spacing w:lineRule="auto" w:line="240"/>
              <w:rPr>
                <w:sz w:val="20"/>
              </w:rPr>
            </w:pPr>
            <w:r>
              <w:rPr>
                <w:sz w:val="20"/>
              </w:rPr>
              <w:t>0.0975</w:t>
            </w:r>
          </w:p>
        </w:tc>
        <w:tc>
          <w:tcPr>
            <w:tcW w:w="850" w:type="dxa"/>
            <w:tcBorders>
              <w:top w:val="single" w:sz="6" w:space="0" w:color="000000"/>
              <w:start w:val="single" w:sz="6" w:space="0" w:color="000000"/>
              <w:bottom w:val="single" w:sz="6" w:space="0" w:color="000000"/>
              <w:end w:val="single" w:sz="6" w:space="0" w:color="000000"/>
            </w:tcBorders>
          </w:tcPr>
          <w:p>
            <w:pPr>
              <w:pStyle w:val="Normal"/>
              <w:spacing w:lineRule="auto" w:line="240"/>
              <w:rPr>
                <w:sz w:val="20"/>
              </w:rPr>
            </w:pPr>
            <w:r>
              <w:rPr>
                <w:sz w:val="20"/>
              </w:rPr>
              <w:t>0.0904</w:t>
            </w:r>
          </w:p>
        </w:tc>
        <w:tc>
          <w:tcPr>
            <w:tcW w:w="851" w:type="dxa"/>
            <w:tcBorders>
              <w:top w:val="single" w:sz="6" w:space="0" w:color="000000"/>
              <w:start w:val="single" w:sz="6" w:space="0" w:color="000000"/>
              <w:bottom w:val="single" w:sz="6" w:space="0" w:color="000000"/>
              <w:end w:val="single" w:sz="6" w:space="0" w:color="000000"/>
            </w:tcBorders>
          </w:tcPr>
          <w:p>
            <w:pPr>
              <w:pStyle w:val="Normal"/>
              <w:spacing w:lineRule="auto" w:line="240"/>
              <w:rPr>
                <w:sz w:val="20"/>
              </w:rPr>
            </w:pPr>
            <w:r>
              <w:rPr>
                <w:sz w:val="20"/>
              </w:rPr>
              <w:t>0.0834</w:t>
            </w:r>
          </w:p>
        </w:tc>
        <w:tc>
          <w:tcPr>
            <w:tcW w:w="426"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w:t>
            </w:r>
          </w:p>
        </w:tc>
        <w:tc>
          <w:tcPr>
            <w:tcW w:w="992"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0.0471</w:t>
            </w:r>
          </w:p>
        </w:tc>
        <w:tc>
          <w:tcPr>
            <w:tcW w:w="992"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0.0464</w:t>
            </w:r>
          </w:p>
        </w:tc>
        <w:tc>
          <w:tcPr>
            <w:tcW w:w="992"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0.0445</w:t>
            </w:r>
          </w:p>
        </w:tc>
        <w:tc>
          <w:tcPr>
            <w:tcW w:w="993"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0.0437</w:t>
            </w:r>
          </w:p>
        </w:tc>
      </w:tr>
      <w:tr>
        <w:trPr/>
        <w:tc>
          <w:tcPr>
            <w:tcW w:w="992"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b/>
                <w:sz w:val="20"/>
              </w:rPr>
            </w:pPr>
            <w:r>
              <w:rPr>
                <w:b/>
                <w:sz w:val="20"/>
              </w:rPr>
              <w:t>F(4m)</w:t>
            </w:r>
          </w:p>
        </w:tc>
        <w:tc>
          <w:tcPr>
            <w:tcW w:w="850" w:type="dxa"/>
            <w:tcBorders>
              <w:top w:val="single" w:sz="6" w:space="0" w:color="000000"/>
              <w:start w:val="single" w:sz="6" w:space="0" w:color="000000"/>
              <w:bottom w:val="single" w:sz="6" w:space="0" w:color="000000"/>
              <w:end w:val="single" w:sz="6" w:space="0" w:color="000000"/>
            </w:tcBorders>
          </w:tcPr>
          <w:p>
            <w:pPr>
              <w:pStyle w:val="Normal"/>
              <w:spacing w:lineRule="auto" w:line="240"/>
              <w:rPr>
                <w:sz w:val="20"/>
              </w:rPr>
            </w:pPr>
            <w:r>
              <w:rPr>
                <w:sz w:val="20"/>
              </w:rPr>
              <w:t>0.0959</w:t>
            </w:r>
          </w:p>
        </w:tc>
        <w:tc>
          <w:tcPr>
            <w:tcW w:w="851" w:type="dxa"/>
            <w:tcBorders>
              <w:top w:val="single" w:sz="6" w:space="0" w:color="000000"/>
              <w:start w:val="single" w:sz="6" w:space="0" w:color="000000"/>
              <w:bottom w:val="single" w:sz="6" w:space="0" w:color="000000"/>
              <w:end w:val="single" w:sz="6" w:space="0" w:color="000000"/>
            </w:tcBorders>
          </w:tcPr>
          <w:p>
            <w:pPr>
              <w:pStyle w:val="Normal"/>
              <w:spacing w:lineRule="auto" w:line="240"/>
              <w:rPr>
                <w:sz w:val="20"/>
              </w:rPr>
            </w:pPr>
            <w:r>
              <w:rPr>
                <w:sz w:val="20"/>
              </w:rPr>
              <w:t>0.0901</w:t>
            </w:r>
          </w:p>
        </w:tc>
        <w:tc>
          <w:tcPr>
            <w:tcW w:w="850" w:type="dxa"/>
            <w:tcBorders>
              <w:top w:val="single" w:sz="6" w:space="0" w:color="000000"/>
              <w:start w:val="single" w:sz="6" w:space="0" w:color="000000"/>
              <w:bottom w:val="single" w:sz="6" w:space="0" w:color="000000"/>
              <w:end w:val="single" w:sz="6" w:space="0" w:color="000000"/>
            </w:tcBorders>
          </w:tcPr>
          <w:p>
            <w:pPr>
              <w:pStyle w:val="Normal"/>
              <w:spacing w:lineRule="auto" w:line="240"/>
              <w:rPr>
                <w:sz w:val="20"/>
              </w:rPr>
            </w:pPr>
            <w:r>
              <w:rPr>
                <w:sz w:val="20"/>
              </w:rPr>
              <w:t>0.0834</w:t>
            </w:r>
          </w:p>
        </w:tc>
        <w:tc>
          <w:tcPr>
            <w:tcW w:w="851" w:type="dxa"/>
            <w:tcBorders>
              <w:top w:val="single" w:sz="6" w:space="0" w:color="000000"/>
              <w:start w:val="single" w:sz="6" w:space="0" w:color="000000"/>
              <w:bottom w:val="single" w:sz="6" w:space="0" w:color="000000"/>
              <w:end w:val="single" w:sz="6" w:space="0" w:color="000000"/>
            </w:tcBorders>
          </w:tcPr>
          <w:p>
            <w:pPr>
              <w:pStyle w:val="Normal"/>
              <w:spacing w:lineRule="auto" w:line="240"/>
              <w:rPr>
                <w:sz w:val="20"/>
              </w:rPr>
            </w:pPr>
            <w:r>
              <w:rPr>
                <w:sz w:val="20"/>
              </w:rPr>
              <w:t>0.0783</w:t>
            </w:r>
          </w:p>
        </w:tc>
        <w:tc>
          <w:tcPr>
            <w:tcW w:w="426"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w:t>
            </w:r>
          </w:p>
        </w:tc>
        <w:tc>
          <w:tcPr>
            <w:tcW w:w="992"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0.0453</w:t>
            </w:r>
          </w:p>
        </w:tc>
        <w:tc>
          <w:tcPr>
            <w:tcW w:w="992"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0.0446</w:t>
            </w:r>
          </w:p>
        </w:tc>
        <w:tc>
          <w:tcPr>
            <w:tcW w:w="992"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0.0428</w:t>
            </w:r>
          </w:p>
        </w:tc>
        <w:tc>
          <w:tcPr>
            <w:tcW w:w="993"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0.0436</w:t>
            </w:r>
          </w:p>
        </w:tc>
      </w:tr>
      <w:tr>
        <w:trPr/>
        <w:tc>
          <w:tcPr>
            <w:tcW w:w="992"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b/>
                <w:sz w:val="20"/>
              </w:rPr>
            </w:pPr>
            <w:r>
              <w:rPr>
                <w:b/>
                <w:sz w:val="20"/>
              </w:rPr>
              <w:t>…</w:t>
            </w:r>
          </w:p>
        </w:tc>
        <w:tc>
          <w:tcPr>
            <w:tcW w:w="850"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w:t>
            </w:r>
          </w:p>
        </w:tc>
        <w:tc>
          <w:tcPr>
            <w:tcW w:w="851"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w:t>
            </w:r>
          </w:p>
        </w:tc>
        <w:tc>
          <w:tcPr>
            <w:tcW w:w="850"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w:t>
            </w:r>
          </w:p>
        </w:tc>
        <w:tc>
          <w:tcPr>
            <w:tcW w:w="851"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w:t>
            </w:r>
          </w:p>
        </w:tc>
        <w:tc>
          <w:tcPr>
            <w:tcW w:w="426"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w:t>
            </w:r>
          </w:p>
        </w:tc>
        <w:tc>
          <w:tcPr>
            <w:tcW w:w="992"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w:t>
            </w:r>
          </w:p>
        </w:tc>
        <w:tc>
          <w:tcPr>
            <w:tcW w:w="992"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w:t>
            </w:r>
          </w:p>
        </w:tc>
        <w:tc>
          <w:tcPr>
            <w:tcW w:w="992"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w:t>
            </w:r>
          </w:p>
        </w:tc>
        <w:tc>
          <w:tcPr>
            <w:tcW w:w="993"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w:t>
            </w:r>
          </w:p>
        </w:tc>
      </w:tr>
      <w:tr>
        <w:trPr/>
        <w:tc>
          <w:tcPr>
            <w:tcW w:w="992"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b/>
                <w:sz w:val="20"/>
              </w:rPr>
            </w:pPr>
            <w:r>
              <w:rPr>
                <w:b/>
                <w:sz w:val="20"/>
              </w:rPr>
              <w:t>F(21m)</w:t>
            </w:r>
          </w:p>
        </w:tc>
        <w:tc>
          <w:tcPr>
            <w:tcW w:w="850"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0.0494</w:t>
            </w:r>
          </w:p>
        </w:tc>
        <w:tc>
          <w:tcPr>
            <w:tcW w:w="851"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0.0486</w:t>
            </w:r>
          </w:p>
        </w:tc>
        <w:tc>
          <w:tcPr>
            <w:tcW w:w="850"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0.0471</w:t>
            </w:r>
          </w:p>
        </w:tc>
        <w:tc>
          <w:tcPr>
            <w:tcW w:w="851"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0.0453</w:t>
            </w:r>
          </w:p>
        </w:tc>
        <w:tc>
          <w:tcPr>
            <w:tcW w:w="426"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w:t>
            </w:r>
          </w:p>
        </w:tc>
        <w:tc>
          <w:tcPr>
            <w:tcW w:w="992"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0.0384</w:t>
            </w:r>
          </w:p>
        </w:tc>
        <w:tc>
          <w:tcPr>
            <w:tcW w:w="992"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0.0381</w:t>
            </w:r>
          </w:p>
        </w:tc>
        <w:tc>
          <w:tcPr>
            <w:tcW w:w="992"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0.0369</w:t>
            </w:r>
          </w:p>
        </w:tc>
        <w:tc>
          <w:tcPr>
            <w:tcW w:w="993"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0.0367</w:t>
            </w:r>
          </w:p>
        </w:tc>
      </w:tr>
      <w:tr>
        <w:trPr/>
        <w:tc>
          <w:tcPr>
            <w:tcW w:w="992"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b/>
                <w:sz w:val="20"/>
              </w:rPr>
            </w:pPr>
            <w:r>
              <w:rPr>
                <w:b/>
                <w:sz w:val="20"/>
              </w:rPr>
              <w:t>F(22m)</w:t>
            </w:r>
          </w:p>
        </w:tc>
        <w:tc>
          <w:tcPr>
            <w:tcW w:w="850"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0.0486</w:t>
            </w:r>
          </w:p>
        </w:tc>
        <w:tc>
          <w:tcPr>
            <w:tcW w:w="851"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0.0478</w:t>
            </w:r>
          </w:p>
        </w:tc>
        <w:tc>
          <w:tcPr>
            <w:tcW w:w="850"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0.0464</w:t>
            </w:r>
          </w:p>
        </w:tc>
        <w:tc>
          <w:tcPr>
            <w:tcW w:w="851"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0.0446</w:t>
            </w:r>
          </w:p>
        </w:tc>
        <w:tc>
          <w:tcPr>
            <w:tcW w:w="426"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w:t>
            </w:r>
          </w:p>
        </w:tc>
        <w:tc>
          <w:tcPr>
            <w:tcW w:w="992"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0.0381</w:t>
            </w:r>
          </w:p>
        </w:tc>
        <w:tc>
          <w:tcPr>
            <w:tcW w:w="992"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0.0381</w:t>
            </w:r>
          </w:p>
        </w:tc>
        <w:tc>
          <w:tcPr>
            <w:tcW w:w="992"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0.0367</w:t>
            </w:r>
          </w:p>
        </w:tc>
        <w:tc>
          <w:tcPr>
            <w:tcW w:w="993"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0.0367</w:t>
            </w:r>
          </w:p>
        </w:tc>
      </w:tr>
      <w:tr>
        <w:trPr/>
        <w:tc>
          <w:tcPr>
            <w:tcW w:w="992"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b/>
                <w:sz w:val="20"/>
              </w:rPr>
            </w:pPr>
            <w:r>
              <w:rPr>
                <w:b/>
                <w:sz w:val="20"/>
              </w:rPr>
              <w:t>F(23m)</w:t>
            </w:r>
          </w:p>
        </w:tc>
        <w:tc>
          <w:tcPr>
            <w:tcW w:w="850"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0.0464</w:t>
            </w:r>
          </w:p>
        </w:tc>
        <w:tc>
          <w:tcPr>
            <w:tcW w:w="851"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0.0457</w:t>
            </w:r>
          </w:p>
        </w:tc>
        <w:tc>
          <w:tcPr>
            <w:tcW w:w="850"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0.0445</w:t>
            </w:r>
          </w:p>
        </w:tc>
        <w:tc>
          <w:tcPr>
            <w:tcW w:w="851"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0.0428</w:t>
            </w:r>
          </w:p>
        </w:tc>
        <w:tc>
          <w:tcPr>
            <w:tcW w:w="426"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w:t>
            </w:r>
          </w:p>
        </w:tc>
        <w:tc>
          <w:tcPr>
            <w:tcW w:w="992"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0.0369</w:t>
            </w:r>
          </w:p>
        </w:tc>
        <w:tc>
          <w:tcPr>
            <w:tcW w:w="992"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0.0367</w:t>
            </w:r>
          </w:p>
        </w:tc>
        <w:tc>
          <w:tcPr>
            <w:tcW w:w="992"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0.0399</w:t>
            </w:r>
          </w:p>
        </w:tc>
        <w:tc>
          <w:tcPr>
            <w:tcW w:w="993"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0.0358</w:t>
            </w:r>
          </w:p>
        </w:tc>
      </w:tr>
      <w:tr>
        <w:trPr/>
        <w:tc>
          <w:tcPr>
            <w:tcW w:w="992"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b/>
                <w:sz w:val="20"/>
              </w:rPr>
            </w:pPr>
            <w:r>
              <w:rPr>
                <w:b/>
                <w:sz w:val="20"/>
              </w:rPr>
              <w:t>F(24m)</w:t>
            </w:r>
          </w:p>
        </w:tc>
        <w:tc>
          <w:tcPr>
            <w:tcW w:w="850"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0.0466</w:t>
            </w:r>
          </w:p>
        </w:tc>
        <w:tc>
          <w:tcPr>
            <w:tcW w:w="851"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0.0457</w:t>
            </w:r>
          </w:p>
        </w:tc>
        <w:tc>
          <w:tcPr>
            <w:tcW w:w="850"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0.0437</w:t>
            </w:r>
          </w:p>
        </w:tc>
        <w:tc>
          <w:tcPr>
            <w:tcW w:w="851"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0.0436</w:t>
            </w:r>
          </w:p>
        </w:tc>
        <w:tc>
          <w:tcPr>
            <w:tcW w:w="426"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w:t>
            </w:r>
          </w:p>
        </w:tc>
        <w:tc>
          <w:tcPr>
            <w:tcW w:w="992"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0.0367</w:t>
            </w:r>
          </w:p>
        </w:tc>
        <w:tc>
          <w:tcPr>
            <w:tcW w:w="992"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0.0367</w:t>
            </w:r>
          </w:p>
        </w:tc>
        <w:tc>
          <w:tcPr>
            <w:tcW w:w="992"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0.0358</w:t>
            </w:r>
          </w:p>
        </w:tc>
        <w:tc>
          <w:tcPr>
            <w:tcW w:w="993"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0.0392</w:t>
            </w:r>
          </w:p>
        </w:tc>
      </w:tr>
    </w:tbl>
    <w:p>
      <w:pPr>
        <w:pStyle w:val="Normal"/>
        <w:rPr/>
      </w:pPr>
      <w:r>
        <w:rPr/>
      </w:r>
    </w:p>
    <w:p>
      <w:pPr>
        <w:pStyle w:val="Normal"/>
        <w:rPr/>
      </w:pPr>
      <w:r>
        <w:rPr/>
        <w:t xml:space="preserve">The discretized volatility functions, </w:t>
      </w:r>
      <w:r>
        <w:rPr>
          <w:sz w:val="20"/>
        </w:rPr>
      </w:r>
      <m:oMath xmlns:m="http://schemas.openxmlformats.org/officeDocument/2006/math">
        <m:sSub>
          <m:e>
            <m:r>
              <m:t xml:space="preserve">σ</m:t>
            </m:r>
          </m:e>
          <m:sub>
            <m:r>
              <m:t xml:space="preserve">i</m:t>
            </m:r>
          </m:sub>
        </m:sSub>
        <m:r>
          <m:t xml:space="preserve">(</m:t>
        </m:r>
        <m:r>
          <m:t xml:space="preserve">t</m:t>
        </m:r>
        <m:r>
          <m:t xml:space="preserve">,</m:t>
        </m:r>
        <m:r>
          <m:t xml:space="preserve">t</m:t>
        </m:r>
        <m:r>
          <m:t xml:space="preserve">+</m:t>
        </m:r>
        <m:sSub>
          <m:e>
            <m:r>
              <m:t xml:space="preserve">τ</m:t>
            </m:r>
          </m:e>
          <m:sub>
            <m:r>
              <m:t xml:space="preserve">j</m:t>
            </m:r>
          </m:sub>
        </m:sSub>
        <m:r>
          <m:t xml:space="preserve">)</m:t>
        </m:r>
      </m:oMath>
      <w:r>
        <w:rPr/>
        <w:t xml:space="preserve">; </w:t>
      </w:r>
      <w:r>
        <w:rPr>
          <w:i/>
        </w:rPr>
        <w:t>i</w:t>
      </w:r>
      <w:r>
        <w:rPr/>
        <w:t xml:space="preserve"> = 1,…, </w:t>
      </w:r>
      <w:r>
        <w:rPr>
          <w:i/>
        </w:rPr>
        <w:t>n</w:t>
      </w:r>
      <w:r>
        <w:rPr/>
        <w:t xml:space="preserve"> and </w:t>
      </w:r>
      <w:r>
        <w:rPr>
          <w:i/>
        </w:rPr>
        <w:t>j</w:t>
      </w:r>
      <w:r>
        <w:rPr/>
        <w:t xml:space="preserve"> = 1,…, </w:t>
      </w:r>
      <w:r>
        <w:rPr>
          <w:i/>
        </w:rPr>
        <w:t xml:space="preserve">m, </w:t>
      </w:r>
      <w:r>
        <w:rPr/>
        <w:t xml:space="preserve">are recovered by eigenvector decomposition of this covariance matrix.  The decomposition yields the set of independent factors which drive the evolution of the variables underlying the covariance matrix.  It decomposes the covariance matrix, which we denote by </w:t>
      </w:r>
      <w:r>
        <w:rPr>
          <w:rFonts w:cs="Symbol" w:ascii="Symbol" w:hAnsi="Symbol"/>
        </w:rPr>
        <w:sym w:font="Symbol" w:char="f053"/>
        <w:sym w:font="Symbol" w:char="f02c"/>
      </w:r>
      <w:r>
        <w:rPr/>
        <w:t xml:space="preserve"> into </w:t>
      </w:r>
      <w:r>
        <w:rPr>
          <w:i/>
        </w:rPr>
        <w:t>n</w:t>
      </w:r>
      <w:r>
        <w:rPr/>
        <w:t xml:space="preserve"> eigenvectors </w:t>
      </w:r>
      <w:r>
        <w:rPr>
          <w:sz w:val="20"/>
        </w:rPr>
      </w:r>
      <m:oMath xmlns:m="http://schemas.openxmlformats.org/officeDocument/2006/math">
        <m:sSub>
          <m:e>
            <m:bar>
              <m:barPr>
                <m:pos m:val="bot"/>
              </m:barPr>
              <m:e>
                <m:r>
                  <m:t xml:space="preserve">v</m:t>
                </m:r>
              </m:e>
            </m:bar>
          </m:e>
          <m:sub>
            <m:r>
              <m:t xml:space="preserve">i</m:t>
            </m:r>
          </m:sub>
        </m:sSub>
      </m:oMath>
      <w:r>
        <w:rPr/>
        <w:t xml:space="preserve"> and associated eigenvalues </w:t>
      </w:r>
      <w:r>
        <w:rPr>
          <w:sz w:val="20"/>
        </w:rPr>
      </w:r>
      <m:oMath xmlns:m="http://schemas.openxmlformats.org/officeDocument/2006/math">
        <m:sSub>
          <m:e>
            <m:r>
              <m:t xml:space="preserve">λ</m:t>
            </m:r>
          </m:e>
          <m:sub>
            <m:r>
              <m:t xml:space="preserve">i</m:t>
            </m:r>
          </m:sub>
        </m:sSub>
      </m:oMath>
      <w:r>
        <w:rPr/>
        <w:t xml:space="preserve"> such that</w:t>
      </w:r>
    </w:p>
    <w:p>
      <w:pPr>
        <w:pStyle w:val="Normal"/>
        <w:rPr/>
      </w:pPr>
      <w:r>
        <w:rPr/>
      </w:r>
    </w:p>
    <w:p>
      <w:pPr>
        <w:pStyle w:val="Equation"/>
        <w:jc w:val="center"/>
        <w:rPr/>
      </w:pPr>
      <w:r>
        <w:rPr/>
      </w:r>
      <m:oMathPara xmlns:m="http://schemas.openxmlformats.org/officeDocument/2006/math">
        <m:oMathParaPr>
          <m:jc m:val="center"/>
        </m:oMathParaPr>
        <m:oMath>
          <m:r>
            <m:t xml:space="preserve">Σ</m:t>
          </m:r>
          <m:r>
            <m:t xml:space="preserve">=</m:t>
          </m:r>
          <m:sSup>
            <m:e>
              <m:r>
                <m:rPr>
                  <m:lit/>
                  <m:nor/>
                </m:rPr>
                <m:t xml:space="preserve">ΓΛΓ</m:t>
              </m:r>
            </m:e>
            <m:sup>
              <m:r>
                <m:t xml:space="preserve">T</m:t>
              </m:r>
            </m:sup>
          </m:sSup>
        </m:oMath>
      </m:oMathPara>
    </w:p>
    <w:p>
      <w:pPr>
        <w:pStyle w:val="Normal"/>
        <w:rPr/>
      </w:pPr>
      <w:r>
        <w:rPr/>
        <w:t>where</w:t>
      </w:r>
    </w:p>
    <w:p>
      <w:pPr>
        <w:pStyle w:val="Normal"/>
        <w:jc w:val="center"/>
        <w:rPr/>
      </w:pPr>
      <w:r>
        <w:rPr>
          <w:sz w:val="20"/>
        </w:rPr>
      </w:r>
      <m:oMath xmlns:m="http://schemas.openxmlformats.org/officeDocument/2006/math">
        <m:r>
          <m:t xml:space="preserve">Γ</m:t>
        </m:r>
        <m:r>
          <m:t xml:space="preserve">=</m:t>
        </m:r>
        <m:d>
          <m:dPr>
            <m:begChr m:val="|"/>
            <m:endChr m:val="|"/>
          </m:dPr>
          <m:e>
            <m:m>
              <m:mr>
                <m:e>
                  <m:sSub>
                    <m:e>
                      <m:r>
                        <m:t xml:space="preserve">v</m:t>
                      </m:r>
                    </m:e>
                    <m:sub>
                      <m:r>
                        <m:rPr>
                          <m:lit/>
                          <m:nor/>
                        </m:rPr>
                        <m:t xml:space="preserve">11</m:t>
                      </m:r>
                    </m:sub>
                  </m:sSub>
                </m:e>
                <m:e>
                  <m:sSub>
                    <m:e>
                      <m:r>
                        <m:t xml:space="preserve">v</m:t>
                      </m:r>
                    </m:e>
                    <m:sub>
                      <m:r>
                        <m:rPr>
                          <m:lit/>
                          <m:nor/>
                        </m:rPr>
                        <m:t xml:space="preserve">12</m:t>
                      </m:r>
                    </m:sub>
                  </m:sSub>
                </m:e>
                <m:e>
                  <m:r>
                    <m:rPr>
                      <m:lit/>
                      <m:nor/>
                    </m:rPr>
                    <m:t xml:space="preserve">.</m:t>
                  </m:r>
                  <m:r>
                    <m:rPr>
                      <m:lit/>
                      <m:nor/>
                    </m:rPr>
                    <m:t xml:space="preserve">.</m:t>
                  </m:r>
                  <m:r>
                    <m:rPr>
                      <m:lit/>
                      <m:nor/>
                    </m:rPr>
                    <m:t xml:space="preserve">.</m:t>
                  </m:r>
                </m:e>
                <m:e>
                  <m:sSub>
                    <m:e>
                      <m:r>
                        <m:t xml:space="preserve">v</m:t>
                      </m:r>
                    </m:e>
                    <m:sub>
                      <m:r>
                        <m:t xml:space="preserve">1</m:t>
                      </m:r>
                      <m:r>
                        <m:t xml:space="preserve">n</m:t>
                      </m:r>
                    </m:sub>
                  </m:sSub>
                </m:e>
              </m:mr>
              <m:mr>
                <m:e>
                  <m:sSub>
                    <m:e>
                      <m:r>
                        <m:t xml:space="preserve">v</m:t>
                      </m:r>
                    </m:e>
                    <m:sub>
                      <m:r>
                        <m:rPr>
                          <m:lit/>
                          <m:nor/>
                        </m:rPr>
                        <m:t xml:space="preserve">21</m:t>
                      </m:r>
                    </m:sub>
                  </m:sSub>
                </m:e>
                <m:e>
                  <m:sSub>
                    <m:e>
                      <m:r>
                        <m:t xml:space="preserve">v</m:t>
                      </m:r>
                    </m:e>
                    <m:sub>
                      <m:r>
                        <m:rPr>
                          <m:lit/>
                          <m:nor/>
                        </m:rPr>
                        <m:t xml:space="preserve">22</m:t>
                      </m:r>
                    </m:sub>
                  </m:sSub>
                </m:e>
                <m:e>
                  <m:r>
                    <m:rPr>
                      <m:lit/>
                      <m:nor/>
                    </m:rPr>
                    <m:t xml:space="preserve">.</m:t>
                  </m:r>
                  <m:r>
                    <m:rPr>
                      <m:lit/>
                      <m:nor/>
                    </m:rPr>
                    <m:t xml:space="preserve">.</m:t>
                  </m:r>
                  <m:r>
                    <m:rPr>
                      <m:lit/>
                      <m:nor/>
                    </m:rPr>
                    <m:t xml:space="preserve">.</m:t>
                  </m:r>
                </m:e>
                <m:e>
                  <m:sSub>
                    <m:e>
                      <m:r>
                        <m:t xml:space="preserve">v</m:t>
                      </m:r>
                    </m:e>
                    <m:sub>
                      <m:r>
                        <m:t xml:space="preserve">2</m:t>
                      </m:r>
                      <m:r>
                        <m:t xml:space="preserve">n</m:t>
                      </m:r>
                    </m:sub>
                  </m:sSub>
                </m:e>
              </m:mr>
              <m:mr>
                <m:e>
                  <m:r>
                    <m:rPr>
                      <m:lit/>
                      <m:nor/>
                    </m:rPr>
                    <m:t xml:space="preserve">.</m:t>
                  </m:r>
                  <m:r>
                    <m:rPr>
                      <m:lit/>
                      <m:nor/>
                    </m:rPr>
                    <m:t xml:space="preserve">.</m:t>
                  </m:r>
                  <m:r>
                    <m:rPr>
                      <m:lit/>
                      <m:nor/>
                    </m:rPr>
                    <m:t xml:space="preserve">.</m:t>
                  </m:r>
                </m:e>
                <m:e>
                  <m:r>
                    <m:rPr>
                      <m:lit/>
                      <m:nor/>
                    </m:rPr>
                    <m:t xml:space="preserve">.</m:t>
                  </m:r>
                  <m:r>
                    <m:rPr>
                      <m:lit/>
                      <m:nor/>
                    </m:rPr>
                    <m:t xml:space="preserve">.</m:t>
                  </m:r>
                  <m:r>
                    <m:rPr>
                      <m:lit/>
                      <m:nor/>
                    </m:rPr>
                    <m:t xml:space="preserve">.</m:t>
                  </m:r>
                </m:e>
                <m:e>
                  <m:r>
                    <m:rPr>
                      <m:lit/>
                      <m:nor/>
                    </m:rPr>
                    <m:t xml:space="preserve">.</m:t>
                  </m:r>
                  <m:r>
                    <m:rPr>
                      <m:lit/>
                      <m:nor/>
                    </m:rPr>
                    <m:t xml:space="preserve">.</m:t>
                  </m:r>
                  <m:r>
                    <m:rPr>
                      <m:lit/>
                      <m:nor/>
                    </m:rPr>
                    <m:t xml:space="preserve">.</m:t>
                  </m:r>
                </m:e>
                <m:e>
                  <m:r>
                    <m:rPr>
                      <m:lit/>
                      <m:nor/>
                    </m:rPr>
                    <m:t xml:space="preserve">.</m:t>
                  </m:r>
                  <m:r>
                    <m:rPr>
                      <m:lit/>
                      <m:nor/>
                    </m:rPr>
                    <m:t xml:space="preserve">.</m:t>
                  </m:r>
                  <m:r>
                    <m:rPr>
                      <m:lit/>
                      <m:nor/>
                    </m:rPr>
                    <m:t xml:space="preserve">.</m:t>
                  </m:r>
                </m:e>
              </m:mr>
              <m:mr>
                <m:e>
                  <m:sSub>
                    <m:e>
                      <m:r>
                        <m:t xml:space="preserve">v</m:t>
                      </m:r>
                    </m:e>
                    <m:sub>
                      <m:r>
                        <m:t xml:space="preserve">n</m:t>
                      </m:r>
                      <m:r>
                        <m:t xml:space="preserve">1</m:t>
                      </m:r>
                    </m:sub>
                  </m:sSub>
                </m:e>
                <m:e>
                  <m:sSub>
                    <m:e>
                      <m:r>
                        <m:t xml:space="preserve">v</m:t>
                      </m:r>
                    </m:e>
                    <m:sub>
                      <m:r>
                        <m:t xml:space="preserve">n</m:t>
                      </m:r>
                      <m:r>
                        <m:t xml:space="preserve">2</m:t>
                      </m:r>
                    </m:sub>
                  </m:sSub>
                </m:e>
                <m:e>
                  <m:r>
                    <m:rPr>
                      <m:lit/>
                      <m:nor/>
                    </m:rPr>
                    <m:t xml:space="preserve">.</m:t>
                  </m:r>
                  <m:r>
                    <m:rPr>
                      <m:lit/>
                      <m:nor/>
                    </m:rPr>
                    <m:t xml:space="preserve">.</m:t>
                  </m:r>
                  <m:r>
                    <m:rPr>
                      <m:lit/>
                      <m:nor/>
                    </m:rPr>
                    <m:t xml:space="preserve">.</m:t>
                  </m:r>
                </m:e>
                <m:e>
                  <m:sSub>
                    <m:e>
                      <m:r>
                        <m:t xml:space="preserve">v</m:t>
                      </m:r>
                    </m:e>
                    <m:sub>
                      <m:r>
                        <m:rPr>
                          <m:lit/>
                          <m:nor/>
                        </m:rPr>
                        <m:t xml:space="preserve">nn</m:t>
                      </m:r>
                    </m:sub>
                  </m:sSub>
                </m:e>
              </m:mr>
            </m:m>
          </m:e>
        </m:d>
      </m:oMath>
      <w:r>
        <w:rPr/>
        <w:t xml:space="preserve"> </w:t>
      </w:r>
      <w:r>
        <w:rPr/>
        <w:t xml:space="preserve">and </w:t>
      </w:r>
      <w:r>
        <w:rPr>
          <w:sz w:val="20"/>
        </w:rPr>
      </w:r>
      <m:oMath xmlns:m="http://schemas.openxmlformats.org/officeDocument/2006/math">
        <m:r>
          <m:t xml:space="preserve">Λ</m:t>
        </m:r>
        <m:r>
          <m:t xml:space="preserve">=</m:t>
        </m:r>
        <m:d>
          <m:dPr>
            <m:begChr m:val="|"/>
            <m:endChr m:val="|"/>
          </m:dPr>
          <m:e>
            <m:m>
              <m:mr>
                <m:e>
                  <m:sSub>
                    <m:e>
                      <m:r>
                        <m:t xml:space="preserve">λ</m:t>
                      </m:r>
                    </m:e>
                    <m:sub>
                      <m:r>
                        <m:t xml:space="preserve">1</m:t>
                      </m:r>
                    </m:sub>
                  </m:sSub>
                </m:e>
                <m:e>
                  <m:r>
                    <m:t xml:space="preserve">0</m:t>
                  </m:r>
                </m:e>
                <m:e>
                  <m:r>
                    <m:t xml:space="preserve">0</m:t>
                  </m:r>
                </m:e>
                <m:e>
                  <m:r>
                    <m:t xml:space="preserve">0</m:t>
                  </m:r>
                </m:e>
              </m:mr>
              <m:mr>
                <m:e>
                  <m:r>
                    <m:t xml:space="preserve">0</m:t>
                  </m:r>
                </m:e>
                <m:e>
                  <m:sSub>
                    <m:e>
                      <m:r>
                        <m:t xml:space="preserve">λ</m:t>
                      </m:r>
                    </m:e>
                    <m:sub>
                      <m:r>
                        <m:t xml:space="preserve">2</m:t>
                      </m:r>
                    </m:sub>
                  </m:sSub>
                </m:e>
                <m:e>
                  <m:r>
                    <m:t xml:space="preserve">0</m:t>
                  </m:r>
                </m:e>
                <m:e>
                  <m:r>
                    <m:t xml:space="preserve">0</m:t>
                  </m:r>
                </m:e>
              </m:mr>
              <m:mr>
                <m:e>
                  <m:r>
                    <m:t xml:space="preserve">0</m:t>
                  </m:r>
                </m:e>
                <m:e>
                  <m:r>
                    <m:t xml:space="preserve">0</m:t>
                  </m:r>
                </m:e>
                <m:e>
                  <m:r>
                    <m:rPr>
                      <m:lit/>
                      <m:nor/>
                    </m:rPr>
                    <m:t xml:space="preserve">.</m:t>
                  </m:r>
                  <m:r>
                    <m:rPr>
                      <m:lit/>
                      <m:nor/>
                    </m:rPr>
                    <m:t xml:space="preserve">.</m:t>
                  </m:r>
                  <m:r>
                    <m:rPr>
                      <m:lit/>
                      <m:nor/>
                    </m:rPr>
                    <m:t xml:space="preserve">.</m:t>
                  </m:r>
                </m:e>
                <m:e>
                  <m:r>
                    <m:t xml:space="preserve">0</m:t>
                  </m:r>
                </m:e>
              </m:mr>
              <m:mr>
                <m:e>
                  <m:r>
                    <m:t xml:space="preserve">0</m:t>
                  </m:r>
                </m:e>
                <m:e>
                  <m:r>
                    <m:t xml:space="preserve">0</m:t>
                  </m:r>
                </m:e>
                <m:e>
                  <m:r>
                    <m:t xml:space="preserve">0</m:t>
                  </m:r>
                </m:e>
                <m:e>
                  <m:sSub>
                    <m:e>
                      <m:r>
                        <m:t xml:space="preserve">λ</m:t>
                      </m:r>
                    </m:e>
                    <m:sub>
                      <m:r>
                        <m:t xml:space="preserve">n</m:t>
                      </m:r>
                    </m:sub>
                  </m:sSub>
                </m:e>
              </m:mr>
            </m:m>
          </m:e>
        </m:d>
      </m:oMath>
    </w:p>
    <w:p>
      <w:pPr>
        <w:pStyle w:val="Normal"/>
        <w:rPr/>
      </w:pPr>
      <w:r>
        <w:rPr/>
      </w:r>
    </w:p>
    <w:p>
      <w:pPr>
        <w:pStyle w:val="Normal"/>
        <w:rPr/>
      </w:pPr>
      <w:r>
        <w:rPr/>
        <w:t xml:space="preserve">and where </w:t>
      </w:r>
      <w:r>
        <w:rPr>
          <w:i/>
          <w:iCs/>
        </w:rPr>
        <w:t>T</w:t>
      </w:r>
      <w:r>
        <w:rPr/>
        <w:t xml:space="preserve"> here denotes transpose.  The columns of </w:t>
      </w:r>
      <w:r>
        <w:rPr>
          <w:rFonts w:cs="Symbol" w:ascii="Symbol" w:hAnsi="Symbol"/>
        </w:rPr>
        <w:sym w:font="Symbol" w:char="f047"/>
      </w:r>
      <w:r>
        <w:rPr/>
        <w:t xml:space="preserve"> are the eigenvectors.  The eigenvalues represent the variances of the independent “factors” which drive the forward points in proportions determined by the eigenvectors.  The volatility functions are then obtained as </w:t>
      </w:r>
      <w:r>
        <w:rPr>
          <w:sz w:val="20"/>
        </w:rPr>
      </w:r>
      <m:oMath xmlns:m="http://schemas.openxmlformats.org/officeDocument/2006/math">
        <m:sSub>
          <m:e>
            <m:r>
              <m:t xml:space="preserve">σ</m:t>
            </m:r>
          </m:e>
          <m:sub>
            <m:r>
              <m:t xml:space="preserve">i</m:t>
            </m:r>
          </m:sub>
        </m:sSub>
        <m:r>
          <m:t xml:space="preserve">(</m:t>
        </m:r>
        <m:r>
          <m:t xml:space="preserve">t</m:t>
        </m:r>
        <m:r>
          <m:t xml:space="preserve">,</m:t>
        </m:r>
        <m:r>
          <m:t xml:space="preserve">t</m:t>
        </m:r>
        <m:r>
          <m:t xml:space="preserve">+</m:t>
        </m:r>
        <m:sSub>
          <m:e>
            <m:r>
              <m:t xml:space="preserve">τ</m:t>
            </m:r>
          </m:e>
          <m:sub>
            <m:r>
              <m:t xml:space="preserve">j</m:t>
            </m:r>
          </m:sub>
        </m:sSub>
        <m:r>
          <m:t xml:space="preserve">)</m:t>
        </m:r>
      </m:oMath>
      <w:r>
        <w:rPr/>
        <w:t xml:space="preserve"> </w:t>
      </w:r>
      <w:r>
        <w:rPr>
          <w:sz w:val="20"/>
        </w:rPr>
      </w:r>
      <m:oMath xmlns:m="http://schemas.openxmlformats.org/officeDocument/2006/math">
        <m:r>
          <m:t xml:space="preserve">=</m:t>
        </m:r>
        <m:sSub>
          <m:e>
            <m:r>
              <m:t xml:space="preserve">v</m:t>
            </m:r>
          </m:e>
          <m:sub>
            <m:r>
              <m:rPr>
                <m:lit/>
                <m:nor/>
              </m:rPr>
              <m:t xml:space="preserve">ji</m:t>
            </m:r>
          </m:sub>
        </m:sSub>
        <m:rad>
          <m:radPr>
            <m:degHide m:val="1"/>
          </m:radPr>
          <m:deg/>
          <m:e>
            <m:sSub>
              <m:e>
                <m:r>
                  <m:t xml:space="preserve">λ</m:t>
                </m:r>
              </m:e>
              <m:sub>
                <m:r>
                  <m:t xml:space="preserve">i</m:t>
                </m:r>
              </m:sub>
            </m:sSub>
          </m:e>
        </m:rad>
      </m:oMath>
      <w:r>
        <w:rPr/>
        <w:t>.</w:t>
      </w:r>
    </w:p>
    <w:p>
      <w:pPr>
        <w:pStyle w:val="Normal"/>
        <w:rPr/>
      </w:pPr>
      <w:r>
        <w:rPr/>
      </w:r>
    </w:p>
    <w:p>
      <w:pPr>
        <w:pStyle w:val="Normal"/>
        <w:rPr/>
      </w:pPr>
      <w:r>
        <w:rPr/>
        <w:t xml:space="preserve">Table 3 summarises the results of the eigenvector decomposition.  The first 24 columns of the data, “fn 01”, …, “fn 24”, represent the eigenvectors, with the last column, headed </w:t>
      </w:r>
      <w:r>
        <w:rPr>
          <w:rFonts w:eastAsia="Symbol" w:cs="Symbol" w:ascii="Symbol" w:hAnsi="Symbol"/>
        </w:rPr>
        <w:sym w:font="Symbol" w:char="f06c"/>
      </w:r>
      <w:r>
        <w:rPr/>
        <w:t>, containing the eigenvalues.  Each row (excluding the last column) corresponds to the indicated forward price describing how much that particular forward is influenced by the factor associated with each column.</w:t>
      </w:r>
    </w:p>
    <w:p>
      <w:pPr>
        <w:pStyle w:val="Normal"/>
        <w:rPr/>
      </w:pPr>
      <w:r>
        <w:rPr/>
      </w:r>
    </w:p>
    <w:p>
      <w:pPr>
        <w:pStyle w:val="Normal"/>
        <w:jc w:val="center"/>
        <w:rPr/>
      </w:pPr>
      <w:r>
        <w:rPr/>
        <w:t>Table 3: Eigenvector Decomposition for NYMEX Crude Oil Futures</w:t>
      </w:r>
    </w:p>
    <w:tbl>
      <w:tblPr>
        <w:tblW w:w="8789" w:type="dxa"/>
        <w:jc w:val="start"/>
        <w:tblInd w:w="172" w:type="dxa"/>
        <w:tblLayout w:type="fixed"/>
        <w:tblCellMar>
          <w:top w:w="0" w:type="dxa"/>
          <w:start w:w="30" w:type="dxa"/>
          <w:bottom w:w="0" w:type="dxa"/>
          <w:end w:w="30" w:type="dxa"/>
        </w:tblCellMar>
      </w:tblPr>
      <w:tblGrid>
        <w:gridCol w:w="799"/>
        <w:gridCol w:w="799"/>
        <w:gridCol w:w="799"/>
        <w:gridCol w:w="799"/>
        <w:gridCol w:w="799"/>
        <w:gridCol w:w="799"/>
        <w:gridCol w:w="799"/>
        <w:gridCol w:w="799"/>
        <w:gridCol w:w="799"/>
        <w:gridCol w:w="799"/>
        <w:gridCol w:w="799"/>
      </w:tblGrid>
      <w:tr>
        <w:trPr>
          <w:trHeight w:val="247" w:hRule="atLeast"/>
        </w:trPr>
        <w:tc>
          <w:tcPr>
            <w:tcW w:w="799" w:type="dxa"/>
            <w:tcBorders>
              <w:top w:val="single" w:sz="6" w:space="0" w:color="000000"/>
              <w:start w:val="single" w:sz="6" w:space="0" w:color="000000"/>
              <w:bottom w:val="single" w:sz="6" w:space="0" w:color="000000"/>
              <w:end w:val="single" w:sz="6" w:space="0" w:color="000000"/>
            </w:tcBorders>
          </w:tcPr>
          <w:p>
            <w:pPr>
              <w:pStyle w:val="Normal"/>
              <w:snapToGrid w:val="false"/>
              <w:spacing w:lineRule="auto" w:line="240"/>
              <w:jc w:val="end"/>
              <w:rPr>
                <w:b/>
                <w:sz w:val="20"/>
                <w:lang w:val="en-AU"/>
              </w:rPr>
            </w:pPr>
            <w:r>
              <w:rPr>
                <w:b/>
                <w:sz w:val="20"/>
                <w:lang w:val="en-AU"/>
              </w:rPr>
            </w:r>
          </w:p>
        </w:tc>
        <w:tc>
          <w:tcPr>
            <w:tcW w:w="799" w:type="dxa"/>
            <w:tcBorders>
              <w:top w:val="single" w:sz="6" w:space="0" w:color="000000"/>
              <w:start w:val="single" w:sz="6" w:space="0" w:color="000000"/>
              <w:bottom w:val="single" w:sz="6" w:space="0" w:color="000000"/>
              <w:end w:val="single" w:sz="6" w:space="0" w:color="000000"/>
            </w:tcBorders>
            <w:vAlign w:val="bottom"/>
          </w:tcPr>
          <w:p>
            <w:pPr>
              <w:pStyle w:val="Normal"/>
              <w:jc w:val="center"/>
              <w:rPr>
                <w:rFonts w:eastAsia="Arial Unicode MS"/>
                <w:b/>
                <w:bCs/>
                <w:sz w:val="20"/>
              </w:rPr>
            </w:pPr>
            <w:r>
              <w:rPr>
                <w:b/>
                <w:bCs/>
                <w:sz w:val="20"/>
              </w:rPr>
              <w:t>fn 01</w:t>
            </w:r>
          </w:p>
        </w:tc>
        <w:tc>
          <w:tcPr>
            <w:tcW w:w="799" w:type="dxa"/>
            <w:tcBorders>
              <w:top w:val="single" w:sz="6" w:space="0" w:color="000000"/>
              <w:start w:val="single" w:sz="6" w:space="0" w:color="000000"/>
              <w:bottom w:val="single" w:sz="6" w:space="0" w:color="000000"/>
              <w:end w:val="single" w:sz="6" w:space="0" w:color="000000"/>
            </w:tcBorders>
            <w:vAlign w:val="bottom"/>
          </w:tcPr>
          <w:p>
            <w:pPr>
              <w:pStyle w:val="Normal"/>
              <w:jc w:val="center"/>
              <w:rPr>
                <w:rFonts w:eastAsia="Arial Unicode MS"/>
                <w:b/>
                <w:bCs/>
                <w:sz w:val="20"/>
              </w:rPr>
            </w:pPr>
            <w:r>
              <w:rPr>
                <w:b/>
                <w:bCs/>
                <w:sz w:val="20"/>
              </w:rPr>
              <w:t>fn 02</w:t>
            </w:r>
          </w:p>
        </w:tc>
        <w:tc>
          <w:tcPr>
            <w:tcW w:w="799" w:type="dxa"/>
            <w:tcBorders>
              <w:top w:val="single" w:sz="6" w:space="0" w:color="000000"/>
              <w:start w:val="single" w:sz="6" w:space="0" w:color="000000"/>
              <w:bottom w:val="single" w:sz="6" w:space="0" w:color="000000"/>
              <w:end w:val="single" w:sz="6" w:space="0" w:color="000000"/>
            </w:tcBorders>
            <w:vAlign w:val="bottom"/>
          </w:tcPr>
          <w:p>
            <w:pPr>
              <w:pStyle w:val="Normal"/>
              <w:jc w:val="center"/>
              <w:rPr>
                <w:rFonts w:eastAsia="Arial Unicode MS"/>
                <w:b/>
                <w:bCs/>
                <w:sz w:val="20"/>
              </w:rPr>
            </w:pPr>
            <w:r>
              <w:rPr>
                <w:b/>
                <w:bCs/>
                <w:sz w:val="20"/>
              </w:rPr>
              <w:t>fn 03</w:t>
            </w:r>
          </w:p>
        </w:tc>
        <w:tc>
          <w:tcPr>
            <w:tcW w:w="799" w:type="dxa"/>
            <w:tcBorders>
              <w:top w:val="single" w:sz="6" w:space="0" w:color="000000"/>
              <w:start w:val="single" w:sz="6" w:space="0" w:color="000000"/>
              <w:bottom w:val="single" w:sz="6" w:space="0" w:color="000000"/>
              <w:end w:val="single" w:sz="6" w:space="0" w:color="000000"/>
            </w:tcBorders>
            <w:vAlign w:val="bottom"/>
          </w:tcPr>
          <w:p>
            <w:pPr>
              <w:pStyle w:val="Normal"/>
              <w:jc w:val="center"/>
              <w:rPr>
                <w:rFonts w:eastAsia="Arial Unicode MS"/>
                <w:b/>
                <w:bCs/>
                <w:sz w:val="20"/>
              </w:rPr>
            </w:pPr>
            <w:r>
              <w:rPr>
                <w:b/>
                <w:bCs/>
                <w:sz w:val="20"/>
              </w:rPr>
              <w:t>fn 04</w:t>
            </w:r>
          </w:p>
        </w:tc>
        <w:tc>
          <w:tcPr>
            <w:tcW w:w="799" w:type="dxa"/>
            <w:tcBorders>
              <w:top w:val="single" w:sz="6" w:space="0" w:color="000000"/>
              <w:start w:val="single" w:sz="6" w:space="0" w:color="000000"/>
              <w:bottom w:val="single" w:sz="6" w:space="0" w:color="000000"/>
              <w:end w:val="single" w:sz="6" w:space="0" w:color="000000"/>
            </w:tcBorders>
          </w:tcPr>
          <w:p>
            <w:pPr>
              <w:pStyle w:val="Normal"/>
              <w:snapToGrid w:val="false"/>
              <w:spacing w:lineRule="auto" w:line="240"/>
              <w:jc w:val="center"/>
              <w:rPr>
                <w:rFonts w:eastAsia="Arial Unicode MS"/>
                <w:b/>
                <w:bCs/>
                <w:sz w:val="20"/>
                <w:lang w:val="en-AU"/>
              </w:rPr>
            </w:pPr>
            <w:r>
              <w:rPr>
                <w:rFonts w:eastAsia="Arial Unicode MS"/>
                <w:b/>
                <w:bCs/>
                <w:sz w:val="20"/>
                <w:lang w:val="en-AU"/>
              </w:rPr>
            </w:r>
          </w:p>
        </w:tc>
        <w:tc>
          <w:tcPr>
            <w:tcW w:w="799" w:type="dxa"/>
            <w:tcBorders>
              <w:top w:val="single" w:sz="6" w:space="0" w:color="000000"/>
              <w:start w:val="single" w:sz="6" w:space="0" w:color="000000"/>
              <w:bottom w:val="single" w:sz="6" w:space="0" w:color="000000"/>
              <w:end w:val="single" w:sz="6" w:space="0" w:color="000000"/>
            </w:tcBorders>
            <w:vAlign w:val="bottom"/>
          </w:tcPr>
          <w:p>
            <w:pPr>
              <w:pStyle w:val="Normal"/>
              <w:jc w:val="center"/>
              <w:rPr>
                <w:rFonts w:eastAsia="Arial Unicode MS"/>
                <w:b/>
                <w:bCs/>
                <w:sz w:val="20"/>
              </w:rPr>
            </w:pPr>
            <w:r>
              <w:rPr>
                <w:b/>
                <w:bCs/>
                <w:sz w:val="20"/>
              </w:rPr>
              <w:t>fn 21</w:t>
            </w:r>
          </w:p>
        </w:tc>
        <w:tc>
          <w:tcPr>
            <w:tcW w:w="799" w:type="dxa"/>
            <w:tcBorders>
              <w:top w:val="single" w:sz="6" w:space="0" w:color="000000"/>
              <w:start w:val="single" w:sz="6" w:space="0" w:color="000000"/>
              <w:bottom w:val="single" w:sz="6" w:space="0" w:color="000000"/>
              <w:end w:val="single" w:sz="6" w:space="0" w:color="000000"/>
            </w:tcBorders>
            <w:vAlign w:val="bottom"/>
          </w:tcPr>
          <w:p>
            <w:pPr>
              <w:pStyle w:val="Normal"/>
              <w:jc w:val="center"/>
              <w:rPr>
                <w:rFonts w:eastAsia="Arial Unicode MS"/>
                <w:b/>
                <w:bCs/>
                <w:sz w:val="20"/>
              </w:rPr>
            </w:pPr>
            <w:r>
              <w:rPr>
                <w:b/>
                <w:bCs/>
                <w:sz w:val="20"/>
              </w:rPr>
              <w:t>fn 22</w:t>
            </w:r>
          </w:p>
        </w:tc>
        <w:tc>
          <w:tcPr>
            <w:tcW w:w="799" w:type="dxa"/>
            <w:tcBorders>
              <w:top w:val="single" w:sz="6" w:space="0" w:color="000000"/>
              <w:start w:val="single" w:sz="6" w:space="0" w:color="000000"/>
              <w:bottom w:val="single" w:sz="6" w:space="0" w:color="000000"/>
              <w:end w:val="single" w:sz="6" w:space="0" w:color="000000"/>
            </w:tcBorders>
            <w:vAlign w:val="bottom"/>
          </w:tcPr>
          <w:p>
            <w:pPr>
              <w:pStyle w:val="Normal"/>
              <w:jc w:val="center"/>
              <w:rPr>
                <w:rFonts w:eastAsia="Arial Unicode MS"/>
                <w:b/>
                <w:bCs/>
                <w:sz w:val="20"/>
              </w:rPr>
            </w:pPr>
            <w:r>
              <w:rPr>
                <w:b/>
                <w:bCs/>
                <w:sz w:val="20"/>
              </w:rPr>
              <w:t>fn 23</w:t>
            </w:r>
          </w:p>
        </w:tc>
        <w:tc>
          <w:tcPr>
            <w:tcW w:w="799" w:type="dxa"/>
            <w:tcBorders>
              <w:top w:val="single" w:sz="6" w:space="0" w:color="000000"/>
              <w:start w:val="single" w:sz="6" w:space="0" w:color="000000"/>
              <w:bottom w:val="single" w:sz="6" w:space="0" w:color="000000"/>
              <w:end w:val="single" w:sz="6" w:space="0" w:color="000000"/>
            </w:tcBorders>
            <w:vAlign w:val="bottom"/>
          </w:tcPr>
          <w:p>
            <w:pPr>
              <w:pStyle w:val="Normal"/>
              <w:jc w:val="center"/>
              <w:rPr>
                <w:rFonts w:eastAsia="Arial Unicode MS"/>
                <w:b/>
                <w:bCs/>
                <w:sz w:val="20"/>
              </w:rPr>
            </w:pPr>
            <w:r>
              <w:rPr>
                <w:b/>
                <w:bCs/>
                <w:sz w:val="20"/>
              </w:rPr>
              <w:t>fn 24</w:t>
            </w:r>
          </w:p>
        </w:tc>
        <w:tc>
          <w:tcPr>
            <w:tcW w:w="799"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b/>
                <w:sz w:val="20"/>
                <w:lang w:val="en-AU"/>
              </w:rPr>
            </w:pPr>
            <w:r>
              <w:rPr>
                <w:rFonts w:eastAsia="Symbol" w:cs="Symbol" w:ascii="Symbol" w:hAnsi="Symbol"/>
                <w:b/>
                <w:sz w:val="20"/>
                <w:lang w:val="en-AU"/>
              </w:rPr>
              <w:sym w:font="Symbol" w:char="f06c"/>
            </w:r>
          </w:p>
        </w:tc>
      </w:tr>
      <w:tr>
        <w:trPr>
          <w:trHeight w:val="247" w:hRule="atLeast"/>
        </w:trPr>
        <w:tc>
          <w:tcPr>
            <w:tcW w:w="799"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b/>
                <w:sz w:val="20"/>
              </w:rPr>
            </w:pPr>
            <w:r>
              <w:rPr>
                <w:b/>
                <w:sz w:val="20"/>
              </w:rPr>
              <w:t>F(1m)</w:t>
            </w:r>
          </w:p>
        </w:tc>
        <w:tc>
          <w:tcPr>
            <w:tcW w:w="799"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0.2926</w:t>
            </w:r>
          </w:p>
        </w:tc>
        <w:tc>
          <w:tcPr>
            <w:tcW w:w="799"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-0.5138</w:t>
            </w:r>
          </w:p>
        </w:tc>
        <w:tc>
          <w:tcPr>
            <w:tcW w:w="799"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-0.7253</w:t>
            </w:r>
          </w:p>
        </w:tc>
        <w:tc>
          <w:tcPr>
            <w:tcW w:w="799"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-0.1404</w:t>
            </w:r>
          </w:p>
        </w:tc>
        <w:tc>
          <w:tcPr>
            <w:tcW w:w="799"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lang w:val="en-AU"/>
              </w:rPr>
            </w:pPr>
            <w:r>
              <w:rPr>
                <w:sz w:val="20"/>
                <w:lang w:val="en-AU"/>
              </w:rPr>
              <w:t>…</w:t>
            </w:r>
          </w:p>
        </w:tc>
        <w:tc>
          <w:tcPr>
            <w:tcW w:w="799"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-0.0060</w:t>
            </w:r>
          </w:p>
        </w:tc>
        <w:tc>
          <w:tcPr>
            <w:tcW w:w="799"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-0.0048</w:t>
            </w:r>
          </w:p>
        </w:tc>
        <w:tc>
          <w:tcPr>
            <w:tcW w:w="799"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-0.0036</w:t>
            </w:r>
          </w:p>
        </w:tc>
        <w:tc>
          <w:tcPr>
            <w:tcW w:w="799"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0.0033</w:t>
            </w:r>
          </w:p>
        </w:tc>
        <w:tc>
          <w:tcPr>
            <w:tcW w:w="799"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1.2388</w:t>
            </w:r>
          </w:p>
        </w:tc>
      </w:tr>
      <w:tr>
        <w:trPr>
          <w:trHeight w:val="247" w:hRule="atLeast"/>
        </w:trPr>
        <w:tc>
          <w:tcPr>
            <w:tcW w:w="799"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b/>
                <w:sz w:val="20"/>
              </w:rPr>
            </w:pPr>
            <w:r>
              <w:rPr>
                <w:b/>
                <w:sz w:val="20"/>
              </w:rPr>
              <w:t>F(2m)</w:t>
            </w:r>
          </w:p>
        </w:tc>
        <w:tc>
          <w:tcPr>
            <w:tcW w:w="799"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0.2764</w:t>
            </w:r>
          </w:p>
        </w:tc>
        <w:tc>
          <w:tcPr>
            <w:tcW w:w="799"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-0.3545</w:t>
            </w:r>
          </w:p>
        </w:tc>
        <w:tc>
          <w:tcPr>
            <w:tcW w:w="799"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0.0605</w:t>
            </w:r>
          </w:p>
        </w:tc>
        <w:tc>
          <w:tcPr>
            <w:tcW w:w="799"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0.1155</w:t>
            </w:r>
          </w:p>
        </w:tc>
        <w:tc>
          <w:tcPr>
            <w:tcW w:w="799"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lang w:val="en-AU"/>
              </w:rPr>
            </w:pPr>
            <w:r>
              <w:rPr>
                <w:sz w:val="20"/>
                <w:lang w:val="en-AU"/>
              </w:rPr>
              <w:t>…</w:t>
            </w:r>
          </w:p>
        </w:tc>
        <w:tc>
          <w:tcPr>
            <w:tcW w:w="799"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0.1435</w:t>
            </w:r>
          </w:p>
        </w:tc>
        <w:tc>
          <w:tcPr>
            <w:tcW w:w="799"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0.1755</w:t>
            </w:r>
          </w:p>
        </w:tc>
        <w:tc>
          <w:tcPr>
            <w:tcW w:w="799"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0.0194</w:t>
            </w:r>
          </w:p>
        </w:tc>
        <w:tc>
          <w:tcPr>
            <w:tcW w:w="799"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-0.0191</w:t>
            </w:r>
          </w:p>
        </w:tc>
        <w:tc>
          <w:tcPr>
            <w:tcW w:w="799"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0.0888</w:t>
            </w:r>
          </w:p>
        </w:tc>
      </w:tr>
      <w:tr>
        <w:trPr>
          <w:trHeight w:val="247" w:hRule="atLeast"/>
        </w:trPr>
        <w:tc>
          <w:tcPr>
            <w:tcW w:w="799"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b/>
                <w:sz w:val="20"/>
              </w:rPr>
            </w:pPr>
            <w:r>
              <w:rPr>
                <w:b/>
                <w:sz w:val="20"/>
              </w:rPr>
              <w:t>F(3m)</w:t>
            </w:r>
          </w:p>
        </w:tc>
        <w:tc>
          <w:tcPr>
            <w:tcW w:w="799"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0.2592</w:t>
            </w:r>
          </w:p>
        </w:tc>
        <w:tc>
          <w:tcPr>
            <w:tcW w:w="799"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-0.2612</w:t>
            </w:r>
          </w:p>
        </w:tc>
        <w:tc>
          <w:tcPr>
            <w:tcW w:w="799"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0.1739</w:t>
            </w:r>
          </w:p>
        </w:tc>
        <w:tc>
          <w:tcPr>
            <w:tcW w:w="799"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0.2544</w:t>
            </w:r>
          </w:p>
        </w:tc>
        <w:tc>
          <w:tcPr>
            <w:tcW w:w="799"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lang w:val="en-AU"/>
              </w:rPr>
            </w:pPr>
            <w:r>
              <w:rPr>
                <w:sz w:val="20"/>
                <w:lang w:val="en-AU"/>
              </w:rPr>
              <w:t>…</w:t>
            </w:r>
          </w:p>
        </w:tc>
        <w:tc>
          <w:tcPr>
            <w:tcW w:w="799"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-0.3941</w:t>
            </w:r>
          </w:p>
        </w:tc>
        <w:tc>
          <w:tcPr>
            <w:tcW w:w="799"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-0.4317</w:t>
            </w:r>
          </w:p>
        </w:tc>
        <w:tc>
          <w:tcPr>
            <w:tcW w:w="799"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-0.1889</w:t>
            </w:r>
          </w:p>
        </w:tc>
        <w:tc>
          <w:tcPr>
            <w:tcW w:w="799"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0.1656</w:t>
            </w:r>
          </w:p>
        </w:tc>
        <w:tc>
          <w:tcPr>
            <w:tcW w:w="799"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0.0107</w:t>
            </w:r>
          </w:p>
        </w:tc>
      </w:tr>
      <w:tr>
        <w:trPr>
          <w:trHeight w:val="247" w:hRule="atLeast"/>
        </w:trPr>
        <w:tc>
          <w:tcPr>
            <w:tcW w:w="799"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b/>
                <w:sz w:val="20"/>
              </w:rPr>
            </w:pPr>
            <w:r>
              <w:rPr>
                <w:b/>
                <w:sz w:val="20"/>
              </w:rPr>
              <w:t>F(4m)</w:t>
            </w:r>
          </w:p>
        </w:tc>
        <w:tc>
          <w:tcPr>
            <w:tcW w:w="799"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0.2452</w:t>
            </w:r>
          </w:p>
        </w:tc>
        <w:tc>
          <w:tcPr>
            <w:tcW w:w="799"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-0.1860</w:t>
            </w:r>
          </w:p>
        </w:tc>
        <w:tc>
          <w:tcPr>
            <w:tcW w:w="799"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0.1627</w:t>
            </w:r>
          </w:p>
        </w:tc>
        <w:tc>
          <w:tcPr>
            <w:tcW w:w="799"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-0.0388</w:t>
            </w:r>
          </w:p>
        </w:tc>
        <w:tc>
          <w:tcPr>
            <w:tcW w:w="799"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lang w:val="en-AU"/>
              </w:rPr>
            </w:pPr>
            <w:r>
              <w:rPr>
                <w:sz w:val="20"/>
                <w:lang w:val="en-AU"/>
              </w:rPr>
              <w:t>…</w:t>
            </w:r>
          </w:p>
        </w:tc>
        <w:tc>
          <w:tcPr>
            <w:tcW w:w="799"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0.1060</w:t>
            </w:r>
          </w:p>
        </w:tc>
        <w:tc>
          <w:tcPr>
            <w:tcW w:w="799"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0.0955</w:t>
            </w:r>
          </w:p>
        </w:tc>
        <w:tc>
          <w:tcPr>
            <w:tcW w:w="799"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0.5185</w:t>
            </w:r>
          </w:p>
        </w:tc>
        <w:tc>
          <w:tcPr>
            <w:tcW w:w="799"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-0.4368</w:t>
            </w:r>
          </w:p>
        </w:tc>
        <w:tc>
          <w:tcPr>
            <w:tcW w:w="799"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0.0060</w:t>
            </w:r>
          </w:p>
        </w:tc>
      </w:tr>
      <w:tr>
        <w:trPr>
          <w:trHeight w:val="247" w:hRule="atLeast"/>
        </w:trPr>
        <w:tc>
          <w:tcPr>
            <w:tcW w:w="799"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b/>
                <w:sz w:val="20"/>
              </w:rPr>
            </w:pPr>
            <w:r>
              <w:rPr>
                <w:b/>
                <w:sz w:val="20"/>
              </w:rPr>
              <w:t>…</w:t>
            </w:r>
          </w:p>
        </w:tc>
        <w:tc>
          <w:tcPr>
            <w:tcW w:w="799"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lang w:val="en-AU"/>
              </w:rPr>
            </w:pPr>
            <w:r>
              <w:rPr>
                <w:sz w:val="20"/>
                <w:lang w:val="en-AU"/>
              </w:rPr>
              <w:t>…</w:t>
            </w:r>
          </w:p>
        </w:tc>
        <w:tc>
          <w:tcPr>
            <w:tcW w:w="799"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lang w:val="en-AU"/>
              </w:rPr>
            </w:pPr>
            <w:r>
              <w:rPr>
                <w:sz w:val="20"/>
                <w:lang w:val="en-AU"/>
              </w:rPr>
              <w:t>…</w:t>
            </w:r>
          </w:p>
        </w:tc>
        <w:tc>
          <w:tcPr>
            <w:tcW w:w="799"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lang w:val="en-AU"/>
              </w:rPr>
            </w:pPr>
            <w:r>
              <w:rPr>
                <w:sz w:val="20"/>
                <w:lang w:val="en-AU"/>
              </w:rPr>
              <w:t>…</w:t>
            </w:r>
          </w:p>
        </w:tc>
        <w:tc>
          <w:tcPr>
            <w:tcW w:w="799"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lang w:val="en-AU"/>
              </w:rPr>
            </w:pPr>
            <w:r>
              <w:rPr>
                <w:sz w:val="20"/>
                <w:lang w:val="en-AU"/>
              </w:rPr>
              <w:t>…</w:t>
            </w:r>
          </w:p>
        </w:tc>
        <w:tc>
          <w:tcPr>
            <w:tcW w:w="799"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lang w:val="en-AU"/>
              </w:rPr>
            </w:pPr>
            <w:r>
              <w:rPr>
                <w:sz w:val="20"/>
                <w:lang w:val="en-AU"/>
              </w:rPr>
              <w:t>…</w:t>
            </w:r>
          </w:p>
        </w:tc>
        <w:tc>
          <w:tcPr>
            <w:tcW w:w="799"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lang w:val="en-AU"/>
              </w:rPr>
            </w:pPr>
            <w:r>
              <w:rPr>
                <w:sz w:val="20"/>
                <w:lang w:val="en-AU"/>
              </w:rPr>
              <w:t>…</w:t>
            </w:r>
          </w:p>
        </w:tc>
        <w:tc>
          <w:tcPr>
            <w:tcW w:w="799"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lang w:val="en-AU"/>
              </w:rPr>
            </w:pPr>
            <w:r>
              <w:rPr>
                <w:sz w:val="20"/>
                <w:lang w:val="en-AU"/>
              </w:rPr>
              <w:t>…</w:t>
            </w:r>
          </w:p>
        </w:tc>
        <w:tc>
          <w:tcPr>
            <w:tcW w:w="799"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lang w:val="en-AU"/>
              </w:rPr>
            </w:pPr>
            <w:r>
              <w:rPr>
                <w:sz w:val="20"/>
                <w:lang w:val="en-AU"/>
              </w:rPr>
              <w:t>…</w:t>
            </w:r>
          </w:p>
        </w:tc>
        <w:tc>
          <w:tcPr>
            <w:tcW w:w="799"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lang w:val="en-AU"/>
              </w:rPr>
            </w:pPr>
            <w:r>
              <w:rPr>
                <w:sz w:val="20"/>
                <w:lang w:val="en-AU"/>
              </w:rPr>
              <w:t>…</w:t>
            </w:r>
          </w:p>
        </w:tc>
        <w:tc>
          <w:tcPr>
            <w:tcW w:w="799"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lang w:val="en-AU"/>
              </w:rPr>
            </w:pPr>
            <w:r>
              <w:rPr>
                <w:sz w:val="20"/>
                <w:lang w:val="en-AU"/>
              </w:rPr>
              <w:t>…</w:t>
            </w:r>
          </w:p>
        </w:tc>
      </w:tr>
      <w:tr>
        <w:trPr>
          <w:trHeight w:val="247" w:hRule="atLeast"/>
        </w:trPr>
        <w:tc>
          <w:tcPr>
            <w:tcW w:w="799"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b/>
                <w:sz w:val="20"/>
              </w:rPr>
            </w:pPr>
            <w:r>
              <w:rPr>
                <w:b/>
                <w:sz w:val="20"/>
              </w:rPr>
              <w:t>F(21m)</w:t>
            </w:r>
          </w:p>
        </w:tc>
        <w:tc>
          <w:tcPr>
            <w:tcW w:w="799"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0.1625</w:t>
            </w:r>
          </w:p>
        </w:tc>
        <w:tc>
          <w:tcPr>
            <w:tcW w:w="799"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0.2257</w:t>
            </w:r>
          </w:p>
        </w:tc>
        <w:tc>
          <w:tcPr>
            <w:tcW w:w="799"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-0.1309</w:t>
            </w:r>
          </w:p>
        </w:tc>
        <w:tc>
          <w:tcPr>
            <w:tcW w:w="799"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0.2140</w:t>
            </w:r>
          </w:p>
        </w:tc>
        <w:tc>
          <w:tcPr>
            <w:tcW w:w="799"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lang w:val="en-AU"/>
              </w:rPr>
            </w:pPr>
            <w:r>
              <w:rPr>
                <w:sz w:val="20"/>
                <w:lang w:val="en-AU"/>
              </w:rPr>
              <w:t>…</w:t>
            </w:r>
          </w:p>
        </w:tc>
        <w:tc>
          <w:tcPr>
            <w:tcW w:w="799"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0.0047</w:t>
            </w:r>
          </w:p>
        </w:tc>
        <w:tc>
          <w:tcPr>
            <w:tcW w:w="799"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0.3128</w:t>
            </w:r>
          </w:p>
        </w:tc>
        <w:tc>
          <w:tcPr>
            <w:tcW w:w="799"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-0.0050</w:t>
            </w:r>
          </w:p>
        </w:tc>
        <w:tc>
          <w:tcPr>
            <w:tcW w:w="799"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0.0706</w:t>
            </w:r>
          </w:p>
        </w:tc>
        <w:tc>
          <w:tcPr>
            <w:tcW w:w="799"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0.0001</w:t>
            </w:r>
          </w:p>
        </w:tc>
      </w:tr>
      <w:tr>
        <w:trPr>
          <w:trHeight w:val="247" w:hRule="atLeast"/>
        </w:trPr>
        <w:tc>
          <w:tcPr>
            <w:tcW w:w="799"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b/>
                <w:sz w:val="20"/>
              </w:rPr>
            </w:pPr>
            <w:r>
              <w:rPr>
                <w:b/>
                <w:sz w:val="20"/>
              </w:rPr>
              <w:t>F(22m)</w:t>
            </w:r>
          </w:p>
        </w:tc>
        <w:tc>
          <w:tcPr>
            <w:tcW w:w="799"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0.1609</w:t>
            </w:r>
          </w:p>
        </w:tc>
        <w:tc>
          <w:tcPr>
            <w:tcW w:w="799"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0.2346</w:t>
            </w:r>
          </w:p>
        </w:tc>
        <w:tc>
          <w:tcPr>
            <w:tcW w:w="799"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-0.1511</w:t>
            </w:r>
          </w:p>
        </w:tc>
        <w:tc>
          <w:tcPr>
            <w:tcW w:w="799"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0.2075</w:t>
            </w:r>
          </w:p>
        </w:tc>
        <w:tc>
          <w:tcPr>
            <w:tcW w:w="799"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lang w:val="en-AU"/>
              </w:rPr>
            </w:pPr>
            <w:r>
              <w:rPr>
                <w:sz w:val="20"/>
                <w:lang w:val="en-AU"/>
              </w:rPr>
              <w:t>…</w:t>
            </w:r>
          </w:p>
        </w:tc>
        <w:tc>
          <w:tcPr>
            <w:tcW w:w="799"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0.0317</w:t>
            </w:r>
          </w:p>
        </w:tc>
        <w:tc>
          <w:tcPr>
            <w:tcW w:w="799"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-0.2012</w:t>
            </w:r>
          </w:p>
        </w:tc>
        <w:tc>
          <w:tcPr>
            <w:tcW w:w="799"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0.0110</w:t>
            </w:r>
          </w:p>
        </w:tc>
        <w:tc>
          <w:tcPr>
            <w:tcW w:w="799"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-0.0214</w:t>
            </w:r>
          </w:p>
        </w:tc>
        <w:tc>
          <w:tcPr>
            <w:tcW w:w="799"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0.0001</w:t>
            </w:r>
          </w:p>
        </w:tc>
      </w:tr>
      <w:tr>
        <w:trPr>
          <w:trHeight w:val="247" w:hRule="atLeast"/>
        </w:trPr>
        <w:tc>
          <w:tcPr>
            <w:tcW w:w="799"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b/>
                <w:sz w:val="20"/>
              </w:rPr>
            </w:pPr>
            <w:r>
              <w:rPr>
                <w:b/>
                <w:sz w:val="20"/>
              </w:rPr>
              <w:t>F(23m)</w:t>
            </w:r>
          </w:p>
        </w:tc>
        <w:tc>
          <w:tcPr>
            <w:tcW w:w="799"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0.1554</w:t>
            </w:r>
          </w:p>
        </w:tc>
        <w:tc>
          <w:tcPr>
            <w:tcW w:w="799"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0.2476</w:t>
            </w:r>
          </w:p>
        </w:tc>
        <w:tc>
          <w:tcPr>
            <w:tcW w:w="799"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-0.2672</w:t>
            </w:r>
          </w:p>
        </w:tc>
        <w:tc>
          <w:tcPr>
            <w:tcW w:w="799"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0.6795</w:t>
            </w:r>
          </w:p>
        </w:tc>
        <w:tc>
          <w:tcPr>
            <w:tcW w:w="799"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lang w:val="en-AU"/>
              </w:rPr>
            </w:pPr>
            <w:r>
              <w:rPr>
                <w:sz w:val="20"/>
                <w:lang w:val="en-AU"/>
              </w:rPr>
              <w:t>…</w:t>
            </w:r>
          </w:p>
        </w:tc>
        <w:tc>
          <w:tcPr>
            <w:tcW w:w="799"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-0.0467</w:t>
            </w:r>
          </w:p>
        </w:tc>
        <w:tc>
          <w:tcPr>
            <w:tcW w:w="799"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0.0475</w:t>
            </w:r>
          </w:p>
        </w:tc>
        <w:tc>
          <w:tcPr>
            <w:tcW w:w="799"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-0.0099</w:t>
            </w:r>
          </w:p>
        </w:tc>
        <w:tc>
          <w:tcPr>
            <w:tcW w:w="799"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0.0050</w:t>
            </w:r>
          </w:p>
        </w:tc>
        <w:tc>
          <w:tcPr>
            <w:tcW w:w="799"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0.0000</w:t>
            </w:r>
          </w:p>
        </w:tc>
      </w:tr>
      <w:tr>
        <w:trPr>
          <w:trHeight w:val="247" w:hRule="atLeast"/>
        </w:trPr>
        <w:tc>
          <w:tcPr>
            <w:tcW w:w="799"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b/>
                <w:sz w:val="20"/>
              </w:rPr>
            </w:pPr>
            <w:r>
              <w:rPr>
                <w:b/>
                <w:sz w:val="20"/>
              </w:rPr>
              <w:t>F(24m)</w:t>
            </w:r>
          </w:p>
        </w:tc>
        <w:tc>
          <w:tcPr>
            <w:tcW w:w="799"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0.1568</w:t>
            </w:r>
          </w:p>
        </w:tc>
        <w:tc>
          <w:tcPr>
            <w:tcW w:w="799"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0.2601</w:t>
            </w:r>
          </w:p>
        </w:tc>
        <w:tc>
          <w:tcPr>
            <w:tcW w:w="799"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-0.2419</w:t>
            </w:r>
          </w:p>
        </w:tc>
        <w:tc>
          <w:tcPr>
            <w:tcW w:w="799"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-0.2925</w:t>
            </w:r>
          </w:p>
        </w:tc>
        <w:tc>
          <w:tcPr>
            <w:tcW w:w="799"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lang w:val="en-AU"/>
              </w:rPr>
            </w:pPr>
            <w:r>
              <w:rPr>
                <w:sz w:val="20"/>
                <w:lang w:val="en-AU"/>
              </w:rPr>
              <w:t>…</w:t>
            </w:r>
          </w:p>
        </w:tc>
        <w:tc>
          <w:tcPr>
            <w:tcW w:w="799"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-0.0026</w:t>
            </w:r>
          </w:p>
        </w:tc>
        <w:tc>
          <w:tcPr>
            <w:tcW w:w="799"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-0.1135</w:t>
            </w:r>
          </w:p>
        </w:tc>
        <w:tc>
          <w:tcPr>
            <w:tcW w:w="799"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0.0033</w:t>
            </w:r>
          </w:p>
        </w:tc>
        <w:tc>
          <w:tcPr>
            <w:tcW w:w="799"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-0.0341</w:t>
            </w:r>
          </w:p>
        </w:tc>
        <w:tc>
          <w:tcPr>
            <w:tcW w:w="799"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0.0000</w:t>
            </w:r>
          </w:p>
        </w:tc>
      </w:tr>
    </w:tbl>
    <w:p>
      <w:pPr>
        <w:pStyle w:val="Normal"/>
        <w:rPr/>
      </w:pPr>
      <w:r>
        <w:rPr/>
      </w:r>
    </w:p>
    <w:p>
      <w:pPr>
        <w:pStyle w:val="Normal"/>
        <w:rPr/>
      </w:pPr>
      <w:r>
        <w:rPr/>
        <w:t>By multiplying the eigenvectors by the square root of the eigenvalue we obtain the resulting volatility functions.  The columns of table 4 contain the result of this calculation.</w:t>
      </w:r>
    </w:p>
    <w:p>
      <w:pPr>
        <w:pStyle w:val="Normal"/>
        <w:rPr/>
      </w:pPr>
      <w:r>
        <w:rPr/>
      </w:r>
    </w:p>
    <w:p>
      <w:pPr>
        <w:pStyle w:val="Header"/>
        <w:jc w:val="center"/>
        <w:rPr/>
      </w:pPr>
      <w:r>
        <w:rPr/>
        <w:t>Table 4: Volatility Functions for NYMEX Crude Oil Futures</w:t>
      </w:r>
    </w:p>
    <w:tbl>
      <w:tblPr>
        <w:tblW w:w="7996" w:type="dxa"/>
        <w:jc w:val="start"/>
        <w:tblInd w:w="314" w:type="dxa"/>
        <w:tblLayout w:type="fixed"/>
        <w:tblCellMar>
          <w:top w:w="0" w:type="dxa"/>
          <w:start w:w="30" w:type="dxa"/>
          <w:bottom w:w="0" w:type="dxa"/>
          <w:end w:w="30" w:type="dxa"/>
        </w:tblCellMar>
      </w:tblPr>
      <w:tblGrid>
        <w:gridCol w:w="850"/>
        <w:gridCol w:w="794"/>
        <w:gridCol w:w="794"/>
        <w:gridCol w:w="794"/>
        <w:gridCol w:w="794"/>
        <w:gridCol w:w="794"/>
        <w:gridCol w:w="794"/>
        <w:gridCol w:w="794"/>
        <w:gridCol w:w="794"/>
        <w:gridCol w:w="794"/>
      </w:tblGrid>
      <w:tr>
        <w:trPr>
          <w:trHeight w:val="247" w:hRule="atLeast"/>
        </w:trPr>
        <w:tc>
          <w:tcPr>
            <w:tcW w:w="8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auto" w:line="240"/>
              <w:jc w:val="end"/>
              <w:rPr>
                <w:sz w:val="20"/>
                <w:lang w:val="en-AU"/>
              </w:rPr>
            </w:pPr>
            <w:r>
              <w:rPr>
                <w:sz w:val="20"/>
                <w:lang w:val="en-AU"/>
              </w:rPr>
            </w:r>
          </w:p>
        </w:tc>
        <w:tc>
          <w:tcPr>
            <w:tcW w:w="794"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b/>
                <w:bCs/>
                <w:sz w:val="20"/>
              </w:rPr>
            </w:pPr>
            <w:r>
              <w:rPr>
                <w:b/>
                <w:bCs/>
                <w:sz w:val="20"/>
              </w:rPr>
              <w:t>fn 01</w:t>
            </w:r>
          </w:p>
        </w:tc>
        <w:tc>
          <w:tcPr>
            <w:tcW w:w="794"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b/>
                <w:bCs/>
                <w:sz w:val="20"/>
              </w:rPr>
            </w:pPr>
            <w:r>
              <w:rPr>
                <w:b/>
                <w:bCs/>
                <w:sz w:val="20"/>
              </w:rPr>
              <w:t>fn 02</w:t>
            </w:r>
          </w:p>
        </w:tc>
        <w:tc>
          <w:tcPr>
            <w:tcW w:w="794"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b/>
                <w:bCs/>
                <w:sz w:val="20"/>
              </w:rPr>
            </w:pPr>
            <w:r>
              <w:rPr>
                <w:b/>
                <w:bCs/>
                <w:sz w:val="20"/>
              </w:rPr>
              <w:t>fn 03</w:t>
            </w:r>
          </w:p>
        </w:tc>
        <w:tc>
          <w:tcPr>
            <w:tcW w:w="794"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b/>
                <w:bCs/>
                <w:sz w:val="20"/>
              </w:rPr>
            </w:pPr>
            <w:r>
              <w:rPr>
                <w:b/>
                <w:bCs/>
                <w:sz w:val="20"/>
              </w:rPr>
              <w:t>fn 04</w:t>
            </w:r>
          </w:p>
        </w:tc>
        <w:tc>
          <w:tcPr>
            <w:tcW w:w="794" w:type="dxa"/>
            <w:tcBorders>
              <w:top w:val="single" w:sz="6" w:space="0" w:color="000000"/>
              <w:start w:val="single" w:sz="6" w:space="0" w:color="000000"/>
              <w:bottom w:val="single" w:sz="6" w:space="0" w:color="000000"/>
              <w:end w:val="single" w:sz="6" w:space="0" w:color="000000"/>
            </w:tcBorders>
          </w:tcPr>
          <w:p>
            <w:pPr>
              <w:pStyle w:val="Normal"/>
              <w:snapToGrid w:val="false"/>
              <w:spacing w:lineRule="auto" w:line="240"/>
              <w:jc w:val="center"/>
              <w:rPr>
                <w:rFonts w:eastAsia="Arial Unicode MS"/>
                <w:b/>
                <w:bCs/>
                <w:sz w:val="20"/>
                <w:lang w:val="en-AU"/>
              </w:rPr>
            </w:pPr>
            <w:r>
              <w:rPr>
                <w:rFonts w:eastAsia="Arial Unicode MS"/>
                <w:b/>
                <w:bCs/>
                <w:sz w:val="20"/>
                <w:lang w:val="en-AU"/>
              </w:rPr>
            </w:r>
          </w:p>
        </w:tc>
        <w:tc>
          <w:tcPr>
            <w:tcW w:w="794"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b/>
                <w:bCs/>
                <w:sz w:val="20"/>
              </w:rPr>
            </w:pPr>
            <w:r>
              <w:rPr>
                <w:b/>
                <w:bCs/>
                <w:sz w:val="20"/>
              </w:rPr>
              <w:t>fn 21</w:t>
            </w:r>
          </w:p>
        </w:tc>
        <w:tc>
          <w:tcPr>
            <w:tcW w:w="794"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b/>
                <w:bCs/>
                <w:sz w:val="20"/>
              </w:rPr>
            </w:pPr>
            <w:r>
              <w:rPr>
                <w:b/>
                <w:bCs/>
                <w:sz w:val="20"/>
              </w:rPr>
              <w:t>fn 22</w:t>
            </w:r>
          </w:p>
        </w:tc>
        <w:tc>
          <w:tcPr>
            <w:tcW w:w="794"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b/>
                <w:bCs/>
                <w:sz w:val="20"/>
              </w:rPr>
            </w:pPr>
            <w:r>
              <w:rPr>
                <w:b/>
                <w:bCs/>
                <w:sz w:val="20"/>
              </w:rPr>
              <w:t>fn 23</w:t>
            </w:r>
          </w:p>
        </w:tc>
        <w:tc>
          <w:tcPr>
            <w:tcW w:w="794"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b/>
                <w:bCs/>
                <w:sz w:val="20"/>
              </w:rPr>
            </w:pPr>
            <w:r>
              <w:rPr>
                <w:b/>
                <w:bCs/>
                <w:sz w:val="20"/>
              </w:rPr>
              <w:t>fn 24</w:t>
            </w:r>
          </w:p>
        </w:tc>
      </w:tr>
      <w:tr>
        <w:trPr>
          <w:trHeight w:val="247" w:hRule="atLeast"/>
        </w:trPr>
        <w:tc>
          <w:tcPr>
            <w:tcW w:w="850"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b/>
                <w:sz w:val="20"/>
              </w:rPr>
            </w:pPr>
            <w:r>
              <w:rPr>
                <w:b/>
                <w:sz w:val="20"/>
              </w:rPr>
              <w:t>F(1m)</w:t>
            </w:r>
          </w:p>
        </w:tc>
        <w:tc>
          <w:tcPr>
            <w:tcW w:w="794"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0.3257</w:t>
            </w:r>
          </w:p>
        </w:tc>
        <w:tc>
          <w:tcPr>
            <w:tcW w:w="794"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-0.1531</w:t>
            </w:r>
          </w:p>
        </w:tc>
        <w:tc>
          <w:tcPr>
            <w:tcW w:w="794"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-0.0751</w:t>
            </w:r>
          </w:p>
        </w:tc>
        <w:tc>
          <w:tcPr>
            <w:tcW w:w="794"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-0.0109</w:t>
            </w:r>
          </w:p>
        </w:tc>
        <w:tc>
          <w:tcPr>
            <w:tcW w:w="794"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lang w:val="en-AU"/>
              </w:rPr>
            </w:pPr>
            <w:r>
              <w:rPr>
                <w:sz w:val="20"/>
                <w:lang w:val="en-AU"/>
              </w:rPr>
              <w:t>…</w:t>
            </w:r>
          </w:p>
        </w:tc>
        <w:tc>
          <w:tcPr>
            <w:tcW w:w="794"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0.0000</w:t>
            </w:r>
          </w:p>
        </w:tc>
        <w:tc>
          <w:tcPr>
            <w:tcW w:w="794"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0.0000</w:t>
            </w:r>
          </w:p>
        </w:tc>
        <w:tc>
          <w:tcPr>
            <w:tcW w:w="794"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0.0000</w:t>
            </w:r>
          </w:p>
        </w:tc>
        <w:tc>
          <w:tcPr>
            <w:tcW w:w="794"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0.0000</w:t>
            </w:r>
          </w:p>
        </w:tc>
      </w:tr>
      <w:tr>
        <w:trPr>
          <w:trHeight w:val="247" w:hRule="atLeast"/>
        </w:trPr>
        <w:tc>
          <w:tcPr>
            <w:tcW w:w="850"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b/>
                <w:sz w:val="20"/>
              </w:rPr>
            </w:pPr>
            <w:r>
              <w:rPr>
                <w:b/>
                <w:sz w:val="20"/>
              </w:rPr>
              <w:t>F(2m)</w:t>
            </w:r>
          </w:p>
        </w:tc>
        <w:tc>
          <w:tcPr>
            <w:tcW w:w="794"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0.3076</w:t>
            </w:r>
          </w:p>
        </w:tc>
        <w:tc>
          <w:tcPr>
            <w:tcW w:w="794"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-0.1056</w:t>
            </w:r>
          </w:p>
        </w:tc>
        <w:tc>
          <w:tcPr>
            <w:tcW w:w="794"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0.0063</w:t>
            </w:r>
          </w:p>
        </w:tc>
        <w:tc>
          <w:tcPr>
            <w:tcW w:w="794"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0.0089</w:t>
            </w:r>
          </w:p>
        </w:tc>
        <w:tc>
          <w:tcPr>
            <w:tcW w:w="794"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lang w:val="en-AU"/>
              </w:rPr>
            </w:pPr>
            <w:r>
              <w:rPr>
                <w:sz w:val="20"/>
                <w:lang w:val="en-AU"/>
              </w:rPr>
              <w:t>…</w:t>
            </w:r>
          </w:p>
        </w:tc>
        <w:tc>
          <w:tcPr>
            <w:tcW w:w="794"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0.0011</w:t>
            </w:r>
          </w:p>
        </w:tc>
        <w:tc>
          <w:tcPr>
            <w:tcW w:w="794"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0.0013</w:t>
            </w:r>
          </w:p>
        </w:tc>
        <w:tc>
          <w:tcPr>
            <w:tcW w:w="794"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0.0001</w:t>
            </w:r>
          </w:p>
        </w:tc>
        <w:tc>
          <w:tcPr>
            <w:tcW w:w="794"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-0.0001</w:t>
            </w:r>
          </w:p>
        </w:tc>
      </w:tr>
      <w:tr>
        <w:trPr>
          <w:trHeight w:val="247" w:hRule="atLeast"/>
        </w:trPr>
        <w:tc>
          <w:tcPr>
            <w:tcW w:w="850"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b/>
                <w:sz w:val="20"/>
              </w:rPr>
            </w:pPr>
            <w:r>
              <w:rPr>
                <w:b/>
                <w:sz w:val="20"/>
              </w:rPr>
              <w:t>F(3m)</w:t>
            </w:r>
          </w:p>
        </w:tc>
        <w:tc>
          <w:tcPr>
            <w:tcW w:w="794"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0.2885</w:t>
            </w:r>
          </w:p>
        </w:tc>
        <w:tc>
          <w:tcPr>
            <w:tcW w:w="794"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-0.0778</w:t>
            </w:r>
          </w:p>
        </w:tc>
        <w:tc>
          <w:tcPr>
            <w:tcW w:w="794"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0.0180</w:t>
            </w:r>
          </w:p>
        </w:tc>
        <w:tc>
          <w:tcPr>
            <w:tcW w:w="794"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0.0197</w:t>
            </w:r>
          </w:p>
        </w:tc>
        <w:tc>
          <w:tcPr>
            <w:tcW w:w="794"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lang w:val="en-AU"/>
              </w:rPr>
            </w:pPr>
            <w:r>
              <w:rPr>
                <w:sz w:val="20"/>
                <w:lang w:val="en-AU"/>
              </w:rPr>
              <w:t>…</w:t>
            </w:r>
          </w:p>
        </w:tc>
        <w:tc>
          <w:tcPr>
            <w:tcW w:w="794"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-0.0030</w:t>
            </w:r>
          </w:p>
        </w:tc>
        <w:tc>
          <w:tcPr>
            <w:tcW w:w="794"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-0.0031</w:t>
            </w:r>
          </w:p>
        </w:tc>
        <w:tc>
          <w:tcPr>
            <w:tcW w:w="794"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-0.0008</w:t>
            </w:r>
          </w:p>
        </w:tc>
        <w:tc>
          <w:tcPr>
            <w:tcW w:w="794"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0.0006</w:t>
            </w:r>
          </w:p>
        </w:tc>
      </w:tr>
      <w:tr>
        <w:trPr>
          <w:trHeight w:val="247" w:hRule="atLeast"/>
        </w:trPr>
        <w:tc>
          <w:tcPr>
            <w:tcW w:w="850"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b/>
                <w:sz w:val="20"/>
              </w:rPr>
            </w:pPr>
            <w:r>
              <w:rPr>
                <w:b/>
                <w:sz w:val="20"/>
              </w:rPr>
              <w:t>F(4m)</w:t>
            </w:r>
          </w:p>
        </w:tc>
        <w:tc>
          <w:tcPr>
            <w:tcW w:w="794"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0.2729</w:t>
            </w:r>
          </w:p>
        </w:tc>
        <w:tc>
          <w:tcPr>
            <w:tcW w:w="794"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-0.0554</w:t>
            </w:r>
          </w:p>
        </w:tc>
        <w:tc>
          <w:tcPr>
            <w:tcW w:w="794"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0.0169</w:t>
            </w:r>
          </w:p>
        </w:tc>
        <w:tc>
          <w:tcPr>
            <w:tcW w:w="794"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-0.0030</w:t>
            </w:r>
          </w:p>
        </w:tc>
        <w:tc>
          <w:tcPr>
            <w:tcW w:w="794"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lang w:val="en-AU"/>
              </w:rPr>
            </w:pPr>
            <w:r>
              <w:rPr>
                <w:sz w:val="20"/>
                <w:lang w:val="en-AU"/>
              </w:rPr>
              <w:t>…</w:t>
            </w:r>
          </w:p>
        </w:tc>
        <w:tc>
          <w:tcPr>
            <w:tcW w:w="794"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0.0008</w:t>
            </w:r>
          </w:p>
        </w:tc>
        <w:tc>
          <w:tcPr>
            <w:tcW w:w="794"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0.0007</w:t>
            </w:r>
          </w:p>
        </w:tc>
        <w:tc>
          <w:tcPr>
            <w:tcW w:w="794"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0.0022</w:t>
            </w:r>
          </w:p>
        </w:tc>
        <w:tc>
          <w:tcPr>
            <w:tcW w:w="794"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-0.0015</w:t>
            </w:r>
          </w:p>
        </w:tc>
      </w:tr>
      <w:tr>
        <w:trPr>
          <w:trHeight w:val="247" w:hRule="atLeast"/>
        </w:trPr>
        <w:tc>
          <w:tcPr>
            <w:tcW w:w="850"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b/>
                <w:sz w:val="20"/>
              </w:rPr>
            </w:pPr>
            <w:r>
              <w:rPr>
                <w:b/>
                <w:sz w:val="20"/>
              </w:rPr>
              <w:t>…</w:t>
            </w:r>
          </w:p>
        </w:tc>
        <w:tc>
          <w:tcPr>
            <w:tcW w:w="794"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lang w:val="en-AU"/>
              </w:rPr>
            </w:pPr>
            <w:r>
              <w:rPr>
                <w:sz w:val="20"/>
                <w:lang w:val="en-AU"/>
              </w:rPr>
              <w:t>…</w:t>
            </w:r>
          </w:p>
        </w:tc>
        <w:tc>
          <w:tcPr>
            <w:tcW w:w="794"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lang w:val="en-AU"/>
              </w:rPr>
            </w:pPr>
            <w:r>
              <w:rPr>
                <w:sz w:val="20"/>
                <w:lang w:val="en-AU"/>
              </w:rPr>
              <w:t>…</w:t>
            </w:r>
          </w:p>
        </w:tc>
        <w:tc>
          <w:tcPr>
            <w:tcW w:w="794"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lang w:val="en-AU"/>
              </w:rPr>
            </w:pPr>
            <w:r>
              <w:rPr>
                <w:sz w:val="20"/>
                <w:lang w:val="en-AU"/>
              </w:rPr>
              <w:t>…</w:t>
            </w:r>
          </w:p>
        </w:tc>
        <w:tc>
          <w:tcPr>
            <w:tcW w:w="794"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lang w:val="en-AU"/>
              </w:rPr>
            </w:pPr>
            <w:r>
              <w:rPr>
                <w:sz w:val="20"/>
                <w:lang w:val="en-AU"/>
              </w:rPr>
              <w:t>…</w:t>
            </w:r>
          </w:p>
        </w:tc>
        <w:tc>
          <w:tcPr>
            <w:tcW w:w="794"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lang w:val="en-AU"/>
              </w:rPr>
            </w:pPr>
            <w:r>
              <w:rPr>
                <w:sz w:val="20"/>
                <w:lang w:val="en-AU"/>
              </w:rPr>
              <w:t>…</w:t>
            </w:r>
          </w:p>
        </w:tc>
        <w:tc>
          <w:tcPr>
            <w:tcW w:w="794"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lang w:val="en-AU"/>
              </w:rPr>
            </w:pPr>
            <w:r>
              <w:rPr>
                <w:sz w:val="20"/>
                <w:lang w:val="en-AU"/>
              </w:rPr>
              <w:t>…</w:t>
            </w:r>
          </w:p>
        </w:tc>
        <w:tc>
          <w:tcPr>
            <w:tcW w:w="794"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lang w:val="en-AU"/>
              </w:rPr>
            </w:pPr>
            <w:r>
              <w:rPr>
                <w:sz w:val="20"/>
                <w:lang w:val="en-AU"/>
              </w:rPr>
              <w:t>…</w:t>
            </w:r>
          </w:p>
        </w:tc>
        <w:tc>
          <w:tcPr>
            <w:tcW w:w="794"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lang w:val="en-AU"/>
              </w:rPr>
            </w:pPr>
            <w:r>
              <w:rPr>
                <w:sz w:val="20"/>
                <w:lang w:val="en-AU"/>
              </w:rPr>
              <w:t>…</w:t>
            </w:r>
          </w:p>
        </w:tc>
        <w:tc>
          <w:tcPr>
            <w:tcW w:w="794"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lang w:val="en-AU"/>
              </w:rPr>
            </w:pPr>
            <w:r>
              <w:rPr>
                <w:sz w:val="20"/>
                <w:lang w:val="en-AU"/>
              </w:rPr>
              <w:t>…</w:t>
            </w:r>
          </w:p>
        </w:tc>
      </w:tr>
      <w:tr>
        <w:trPr>
          <w:trHeight w:val="247" w:hRule="atLeast"/>
        </w:trPr>
        <w:tc>
          <w:tcPr>
            <w:tcW w:w="850"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b/>
                <w:sz w:val="20"/>
              </w:rPr>
            </w:pPr>
            <w:r>
              <w:rPr>
                <w:b/>
                <w:sz w:val="20"/>
              </w:rPr>
              <w:t>F(21m)</w:t>
            </w:r>
          </w:p>
        </w:tc>
        <w:tc>
          <w:tcPr>
            <w:tcW w:w="794"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0.1808</w:t>
            </w:r>
          </w:p>
        </w:tc>
        <w:tc>
          <w:tcPr>
            <w:tcW w:w="794"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0.0673</w:t>
            </w:r>
          </w:p>
        </w:tc>
        <w:tc>
          <w:tcPr>
            <w:tcW w:w="794"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-0.0136</w:t>
            </w:r>
          </w:p>
        </w:tc>
        <w:tc>
          <w:tcPr>
            <w:tcW w:w="794"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0.0166</w:t>
            </w:r>
          </w:p>
        </w:tc>
        <w:tc>
          <w:tcPr>
            <w:tcW w:w="794"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lang w:val="en-AU"/>
              </w:rPr>
            </w:pPr>
            <w:r>
              <w:rPr>
                <w:sz w:val="20"/>
                <w:lang w:val="en-AU"/>
              </w:rPr>
              <w:t>…</w:t>
            </w:r>
          </w:p>
        </w:tc>
        <w:tc>
          <w:tcPr>
            <w:tcW w:w="794"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0.0000</w:t>
            </w:r>
          </w:p>
        </w:tc>
        <w:tc>
          <w:tcPr>
            <w:tcW w:w="794"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0.0022</w:t>
            </w:r>
          </w:p>
        </w:tc>
        <w:tc>
          <w:tcPr>
            <w:tcW w:w="794"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0.0000</w:t>
            </w:r>
          </w:p>
        </w:tc>
        <w:tc>
          <w:tcPr>
            <w:tcW w:w="794"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0.0002</w:t>
            </w:r>
          </w:p>
        </w:tc>
      </w:tr>
      <w:tr>
        <w:trPr>
          <w:trHeight w:val="247" w:hRule="atLeast"/>
        </w:trPr>
        <w:tc>
          <w:tcPr>
            <w:tcW w:w="850"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b/>
                <w:sz w:val="20"/>
              </w:rPr>
            </w:pPr>
            <w:r>
              <w:rPr>
                <w:b/>
                <w:sz w:val="20"/>
              </w:rPr>
              <w:t>F(22m)</w:t>
            </w:r>
          </w:p>
        </w:tc>
        <w:tc>
          <w:tcPr>
            <w:tcW w:w="794"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0.1791</w:t>
            </w:r>
          </w:p>
        </w:tc>
        <w:tc>
          <w:tcPr>
            <w:tcW w:w="794"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0.0699</w:t>
            </w:r>
          </w:p>
        </w:tc>
        <w:tc>
          <w:tcPr>
            <w:tcW w:w="794"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-0.0157</w:t>
            </w:r>
          </w:p>
        </w:tc>
        <w:tc>
          <w:tcPr>
            <w:tcW w:w="794"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0.0161</w:t>
            </w:r>
          </w:p>
        </w:tc>
        <w:tc>
          <w:tcPr>
            <w:tcW w:w="794"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lang w:val="en-AU"/>
              </w:rPr>
            </w:pPr>
            <w:r>
              <w:rPr>
                <w:sz w:val="20"/>
                <w:lang w:val="en-AU"/>
              </w:rPr>
              <w:t>…</w:t>
            </w:r>
          </w:p>
        </w:tc>
        <w:tc>
          <w:tcPr>
            <w:tcW w:w="794"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0.0002</w:t>
            </w:r>
          </w:p>
        </w:tc>
        <w:tc>
          <w:tcPr>
            <w:tcW w:w="794"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-0.0014</w:t>
            </w:r>
          </w:p>
        </w:tc>
        <w:tc>
          <w:tcPr>
            <w:tcW w:w="794"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0.0000</w:t>
            </w:r>
          </w:p>
        </w:tc>
        <w:tc>
          <w:tcPr>
            <w:tcW w:w="794"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-0.0001</w:t>
            </w:r>
          </w:p>
        </w:tc>
      </w:tr>
      <w:tr>
        <w:trPr>
          <w:trHeight w:val="247" w:hRule="atLeast"/>
        </w:trPr>
        <w:tc>
          <w:tcPr>
            <w:tcW w:w="850"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b/>
                <w:sz w:val="20"/>
              </w:rPr>
            </w:pPr>
            <w:r>
              <w:rPr>
                <w:b/>
                <w:sz w:val="20"/>
              </w:rPr>
              <w:t>F(23m)</w:t>
            </w:r>
          </w:p>
        </w:tc>
        <w:tc>
          <w:tcPr>
            <w:tcW w:w="794"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0.1729</w:t>
            </w:r>
          </w:p>
        </w:tc>
        <w:tc>
          <w:tcPr>
            <w:tcW w:w="794"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0.0738</w:t>
            </w:r>
          </w:p>
        </w:tc>
        <w:tc>
          <w:tcPr>
            <w:tcW w:w="794"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-0.0277</w:t>
            </w:r>
          </w:p>
        </w:tc>
        <w:tc>
          <w:tcPr>
            <w:tcW w:w="794"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0.0526</w:t>
            </w:r>
          </w:p>
        </w:tc>
        <w:tc>
          <w:tcPr>
            <w:tcW w:w="794"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lang w:val="en-AU"/>
              </w:rPr>
            </w:pPr>
            <w:r>
              <w:rPr>
                <w:sz w:val="20"/>
                <w:lang w:val="en-AU"/>
              </w:rPr>
              <w:t>…</w:t>
            </w:r>
          </w:p>
        </w:tc>
        <w:tc>
          <w:tcPr>
            <w:tcW w:w="794"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-0.0004</w:t>
            </w:r>
          </w:p>
        </w:tc>
        <w:tc>
          <w:tcPr>
            <w:tcW w:w="794"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0.0003</w:t>
            </w:r>
          </w:p>
        </w:tc>
        <w:tc>
          <w:tcPr>
            <w:tcW w:w="794"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0.0000</w:t>
            </w:r>
          </w:p>
        </w:tc>
        <w:tc>
          <w:tcPr>
            <w:tcW w:w="794"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0.0000</w:t>
            </w:r>
          </w:p>
        </w:tc>
      </w:tr>
      <w:tr>
        <w:trPr>
          <w:trHeight w:val="247" w:hRule="atLeast"/>
        </w:trPr>
        <w:tc>
          <w:tcPr>
            <w:tcW w:w="850"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b/>
                <w:sz w:val="20"/>
              </w:rPr>
            </w:pPr>
            <w:r>
              <w:rPr>
                <w:b/>
                <w:sz w:val="20"/>
              </w:rPr>
              <w:t>F(24m)</w:t>
            </w:r>
          </w:p>
        </w:tc>
        <w:tc>
          <w:tcPr>
            <w:tcW w:w="794"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0.1745</w:t>
            </w:r>
          </w:p>
        </w:tc>
        <w:tc>
          <w:tcPr>
            <w:tcW w:w="794"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0.0775</w:t>
            </w:r>
          </w:p>
        </w:tc>
        <w:tc>
          <w:tcPr>
            <w:tcW w:w="794"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-0.0251</w:t>
            </w:r>
          </w:p>
        </w:tc>
        <w:tc>
          <w:tcPr>
            <w:tcW w:w="794"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-0.0227</w:t>
            </w:r>
          </w:p>
        </w:tc>
        <w:tc>
          <w:tcPr>
            <w:tcW w:w="794"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lang w:val="en-AU"/>
              </w:rPr>
            </w:pPr>
            <w:r>
              <w:rPr>
                <w:sz w:val="20"/>
                <w:lang w:val="en-AU"/>
              </w:rPr>
              <w:t>…</w:t>
            </w:r>
          </w:p>
        </w:tc>
        <w:tc>
          <w:tcPr>
            <w:tcW w:w="794"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0.0000</w:t>
            </w:r>
          </w:p>
        </w:tc>
        <w:tc>
          <w:tcPr>
            <w:tcW w:w="794"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-0.0008</w:t>
            </w:r>
          </w:p>
        </w:tc>
        <w:tc>
          <w:tcPr>
            <w:tcW w:w="794"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0.0000</w:t>
            </w:r>
          </w:p>
        </w:tc>
        <w:tc>
          <w:tcPr>
            <w:tcW w:w="794" w:type="dxa"/>
            <w:tcBorders>
              <w:top w:val="single" w:sz="6" w:space="0" w:color="000000"/>
              <w:start w:val="single" w:sz="6" w:space="0" w:color="000000"/>
              <w:bottom w:val="single" w:sz="6" w:space="0" w:color="000000"/>
              <w:end w:val="single" w:sz="6" w:space="0" w:color="000000"/>
            </w:tcBorders>
            <w:vAlign w:val="bottom"/>
          </w:tcPr>
          <w:p>
            <w:pPr>
              <w:pStyle w:val="Normal"/>
              <w:spacing w:lineRule="auto" w:line="240"/>
              <w:jc w:val="center"/>
              <w:rPr>
                <w:rFonts w:eastAsia="Arial Unicode MS"/>
                <w:sz w:val="20"/>
              </w:rPr>
            </w:pPr>
            <w:r>
              <w:rPr>
                <w:sz w:val="20"/>
              </w:rPr>
              <w:t>-0.0001</w:t>
            </w:r>
          </w:p>
        </w:tc>
      </w:tr>
    </w:tbl>
    <w:p>
      <w:pPr>
        <w:pStyle w:val="Header"/>
        <w:rPr>
          <w:sz w:val="24"/>
        </w:rPr>
      </w:pPr>
      <w:r>
        <w:rPr>
          <w:sz w:val="24"/>
        </w:rPr>
      </w:r>
    </w:p>
    <w:p>
      <w:pPr>
        <w:pStyle w:val="Normal"/>
        <w:rPr/>
      </w:pPr>
      <w:r>
        <w:rPr/>
        <w:t>Figure 2 plots the first 3 columns of this table 4 which are the 3 volatility functions used for equation (1) estimated from the historical oil futures returns.</w:t>
      </w:r>
    </w:p>
    <w:p>
      <w:pPr>
        <w:pStyle w:val="Normal"/>
        <w:rPr/>
      </w:pPr>
      <w:r>
        <w:rPr/>
      </w:r>
      <w:r>
        <w:br w:type="page"/>
      </w:r>
    </w:p>
    <w:p>
      <w:pPr>
        <w:pStyle w:val="Heading4"/>
        <w:ind w:hanging="0" w:start="0"/>
        <w:jc w:val="center"/>
        <w:rPr/>
      </w:pPr>
      <w:r>
        <w:rPr/>
        <w:t>Figure 2: First 3 Volatility Functions for the NYMEX Oil Futures Data</w:t>
      </w:r>
    </w:p>
    <w:p>
      <w:pPr>
        <w:pStyle w:val="Normal"/>
        <w:rPr>
          <w:sz w:val="20"/>
          <w:lang w:val="en-CA" w:eastAsia="en-CA"/>
        </w:rPr>
      </w:pPr>
      <w:r>
        <w:rPr>
          <w:sz w:val="20"/>
          <w:lang w:val="en-CA" w:eastAsia="en-CA"/>
        </w:rPr>
        <w:drawing>
          <wp:anchor behindDoc="0" distT="0" distB="0" distL="114935" distR="114935" simplePos="0" locked="0" layoutInCell="0" allowOverlap="1" relativeHeight="33">
            <wp:simplePos x="0" y="0"/>
            <wp:positionH relativeFrom="column">
              <wp:posOffset>408305</wp:posOffset>
            </wp:positionH>
            <wp:positionV relativeFrom="paragraph">
              <wp:posOffset>89535</wp:posOffset>
            </wp:positionV>
            <wp:extent cx="4751705" cy="2919730"/>
            <wp:effectExtent l="0" t="0" r="0" b="0"/>
            <wp:wrapTopAndBottom/>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rcRect l="-4" t="-6" r="-4" b="-6"/>
                    <a:stretch>
                      <a:fillRect/>
                    </a:stretch>
                  </pic:blipFill>
                  <pic:spPr bwMode="auto">
                    <a:xfrm>
                      <a:off x="0" y="0"/>
                      <a:ext cx="4751705" cy="2919730"/>
                    </a:xfrm>
                    <a:prstGeom prst="rect">
                      <a:avLst/>
                    </a:prstGeom>
                    <a:noFill/>
                  </pic:spPr>
                </pic:pic>
              </a:graphicData>
            </a:graphic>
          </wp:anchor>
        </w:drawing>
      </w:r>
    </w:p>
    <w:p>
      <w:pPr>
        <w:pStyle w:val="Normal"/>
        <w:rPr/>
      </w:pPr>
      <w:r>
        <w:rPr/>
        <w:t>The eigenvalues resulting from the eigenvector decomposition tell us the importance of each eigenvector and hence the number of factors that we should typically be using in the general model.  The table shows that the first eigenvector (correspondingly volatility function) is the most important explaining 91.1% of the total variation in the evolution of the futures curve.  Together the first 2 factors explain 97.7% of the total variation with the first 3 factors explaining 98.4%.  Factors 4 and above are not significant and so a 3 factor model is sufficient to explain the evolution of the NYMEX oil data over this period.</w:t>
      </w:r>
    </w:p>
    <w:p>
      <w:pPr>
        <w:pStyle w:val="Normal"/>
        <w:rPr/>
      </w:pPr>
      <w:r>
        <w:rPr/>
      </w:r>
    </w:p>
    <w:p>
      <w:pPr>
        <w:pStyle w:val="Normal"/>
        <w:rPr/>
      </w:pPr>
      <w:r>
        <w:rPr/>
        <w:t>Figure 2 shows the typical pattern obtained from PCA - generally there are risk factors which act to “shift”, “tilt” and “bend” the forward curve.  The most important factor “fn 01”, is positive for all maturities, implying that a positive shock to the system causes all prices to “shift” up (although by slightly different amounts).  The second most important factor, “fn 02”, is a “tilt” factor which causes the short and long maturity end of the curve to move in opposite directions.  The third factor, “fn 03”, is a “bending” factor which causes the short and long ends to move in the opposite direction to the middle section.  The “overall” volatility, which is the combined effect of all the three factors, is also shown in figure 1.</w:t>
      </w:r>
    </w:p>
    <w:p>
      <w:pPr>
        <w:pStyle w:val="Normal"/>
        <w:rPr/>
      </w:pPr>
      <w:r>
        <w:rPr/>
      </w:r>
    </w:p>
    <w:p>
      <w:pPr>
        <w:pStyle w:val="Heading2"/>
        <w:ind w:hanging="0" w:start="0"/>
        <w:rPr>
          <w:sz w:val="24"/>
        </w:rPr>
      </w:pPr>
      <w:r>
        <w:rPr>
          <w:sz w:val="24"/>
        </w:rPr>
        <w:t>Incorporating Seasonality into the Volatility Functions</w:t>
      </w:r>
    </w:p>
    <w:p>
      <w:pPr>
        <w:pStyle w:val="Normal"/>
        <w:rPr>
          <w:sz w:val="24"/>
        </w:rPr>
      </w:pPr>
      <w:r>
        <w:rPr>
          <w:sz w:val="24"/>
        </w:rPr>
      </w:r>
    </w:p>
    <w:p>
      <w:pPr>
        <w:pStyle w:val="Normal"/>
        <w:rPr/>
      </w:pPr>
      <w:r>
        <w:rPr/>
        <w:t xml:space="preserve">For many energies, numerous examples are obvious in the natural gas and electricity markets, seasonality in the forward price volatilities is an important feature in the evolution of the forward curve.  We can adapt equation (1) to incorporate seasonality in the volatility functions by representing the </w:t>
      </w:r>
      <w:r>
        <w:rPr/>
      </w:r>
      <m:oMath xmlns:m="http://schemas.openxmlformats.org/officeDocument/2006/math">
        <m:sSub>
          <m:e>
            <m:r>
              <m:t xml:space="preserve">σ</m:t>
            </m:r>
          </m:e>
          <m:sub>
            <m:r>
              <m:t xml:space="preserve">i</m:t>
            </m:r>
          </m:sub>
        </m:sSub>
        <m:r>
          <m:t xml:space="preserve">'</m:t>
        </m:r>
        <m:r>
          <m:t xml:space="preserve">s</m:t>
        </m:r>
      </m:oMath>
      <w:r>
        <w:rPr/>
        <w:t>as the product of a time dependent spot volatility function and maturity dependent volatility functions.  The general equation (1) therefore becomes:</w:t>
      </w:r>
    </w:p>
    <w:p>
      <w:pPr>
        <w:pStyle w:val="Normal"/>
        <w:rPr/>
      </w:pPr>
      <w:r>
        <w:rPr/>
      </w:r>
    </w:p>
    <w:p>
      <w:pPr>
        <w:pStyle w:val="Equation"/>
        <w:rPr/>
      </w:pPr>
      <w:r>
        <w:rPr/>
        <w:tab/>
      </w:r>
      <w:r>
        <w:rPr>
          <w:sz w:val="20"/>
        </w:rPr>
      </w:r>
      <m:oMath xmlns:m="http://schemas.openxmlformats.org/officeDocument/2006/math">
        <m:f>
          <m:num>
            <m:r>
              <m:rPr>
                <m:lit/>
                <m:nor/>
              </m:rPr>
              <m:t xml:space="preserve">dF</m:t>
            </m:r>
            <m:r>
              <m:t xml:space="preserve">(</m:t>
            </m:r>
            <m:r>
              <m:t xml:space="preserve">t</m:t>
            </m:r>
            <m:r>
              <m:t xml:space="preserve">,</m:t>
            </m:r>
            <m:r>
              <m:t xml:space="preserve">T</m:t>
            </m:r>
            <m:r>
              <m:t xml:space="preserve">)</m:t>
            </m:r>
          </m:num>
          <m:den>
            <m:r>
              <m:t xml:space="preserve">F</m:t>
            </m:r>
            <m:r>
              <m:t xml:space="preserve">(</m:t>
            </m:r>
            <m:r>
              <m:t xml:space="preserve">t</m:t>
            </m:r>
            <m:r>
              <m:t xml:space="preserve">,</m:t>
            </m:r>
            <m:r>
              <m:t xml:space="preserve">T</m:t>
            </m:r>
            <m:r>
              <m:t xml:space="preserve">)</m:t>
            </m:r>
          </m:den>
        </m:f>
        <m:r>
          <m:t xml:space="preserve">=</m:t>
        </m:r>
        <m:sSub>
          <m:e>
            <m:r>
              <m:t xml:space="preserve">σ</m:t>
            </m:r>
          </m:e>
          <m:sub>
            <m:r>
              <m:t xml:space="preserve">S</m:t>
            </m:r>
          </m:sub>
        </m:sSub>
        <m:r>
          <m:t xml:space="preserve">(</m:t>
        </m:r>
        <m:r>
          <m:t xml:space="preserve">t</m:t>
        </m:r>
        <m:r>
          <m:t xml:space="preserve">)</m:t>
        </m:r>
        <m:nary>
          <m:naryPr>
            <m:chr m:val="∑"/>
          </m:naryPr>
          <m:sub>
            <m:r>
              <m:t xml:space="preserve">i</m:t>
            </m:r>
            <m:r>
              <m:t xml:space="preserve">=</m:t>
            </m:r>
            <m:r>
              <m:t xml:space="preserve">1</m:t>
            </m:r>
          </m:sub>
          <m:sup>
            <m:r>
              <m:t xml:space="preserve">n</m:t>
            </m:r>
          </m:sup>
          <m:e>
            <m:sSub>
              <m:e>
                <m:r>
                  <m:t xml:space="preserve">σ</m:t>
                </m:r>
              </m:e>
              <m:sub>
                <m:r>
                  <m:t xml:space="preserve">i</m:t>
                </m:r>
              </m:sub>
            </m:sSub>
            <m:r>
              <m:t xml:space="preserve">(</m:t>
            </m:r>
            <m:r>
              <m:t xml:space="preserve">T</m:t>
            </m:r>
            <m:r>
              <m:t xml:space="preserve">−</m:t>
            </m:r>
            <m:r>
              <m:t xml:space="preserve">t</m:t>
            </m:r>
            <m:r>
              <m:t xml:space="preserve">)</m:t>
            </m:r>
            <m:sSub>
              <m:e>
                <m:r>
                  <m:rPr>
                    <m:lit/>
                    <m:nor/>
                  </m:rPr>
                  <m:t xml:space="preserve">dz</m:t>
                </m:r>
              </m:e>
              <m:sub>
                <m:r>
                  <m:t xml:space="preserve">i</m:t>
                </m:r>
              </m:sub>
            </m:sSub>
            <m:r>
              <m:t xml:space="preserve">(</m:t>
            </m:r>
            <m:r>
              <m:t xml:space="preserve">t</m:t>
            </m:r>
            <m:r>
              <m:t xml:space="preserve">)</m:t>
            </m:r>
          </m:e>
        </m:nary>
      </m:oMath>
    </w:p>
    <w:p>
      <w:pPr>
        <w:pStyle w:val="Normal"/>
        <w:rPr/>
      </w:pPr>
      <w:r>
        <w:rPr/>
      </w:r>
    </w:p>
    <w:p>
      <w:pPr>
        <w:pStyle w:val="Normal"/>
        <w:rPr/>
      </w:pPr>
      <w:r>
        <w:rPr/>
        <w:t xml:space="preserve">where </w:t>
      </w:r>
      <w:r>
        <w:rPr>
          <w:sz w:val="20"/>
        </w:rPr>
      </w:r>
      <m:oMath xmlns:m="http://schemas.openxmlformats.org/officeDocument/2006/math">
        <m:sSub>
          <m:e>
            <m:r>
              <m:t xml:space="preserve">σ</m:t>
            </m:r>
          </m:e>
          <m:sub>
            <m:r>
              <m:t xml:space="preserve">S</m:t>
            </m:r>
          </m:sub>
        </m:sSub>
        <m:r>
          <m:t xml:space="preserve">(</m:t>
        </m:r>
        <m:r>
          <m:t xml:space="preserve">t</m:t>
        </m:r>
        <m:r>
          <m:t xml:space="preserve">)</m:t>
        </m:r>
      </m:oMath>
      <w:r>
        <w:rPr/>
        <w:t xml:space="preserve"> denotes the spot price volatility at time </w:t>
      </w:r>
      <w:r>
        <w:rPr>
          <w:i/>
          <w:iCs/>
        </w:rPr>
        <w:t>t</w:t>
      </w:r>
      <w:r>
        <w:rPr/>
        <w:t xml:space="preserve"> and </w:t>
      </w:r>
      <w:r>
        <w:rPr/>
      </w:r>
      <m:oMath xmlns:m="http://schemas.openxmlformats.org/officeDocument/2006/math">
        <m:sSub>
          <m:e>
            <m:r>
              <m:t xml:space="preserve">σ</m:t>
            </m:r>
          </m:e>
          <m:sub>
            <m:r>
              <m:t xml:space="preserve">i</m:t>
            </m:r>
          </m:sub>
        </m:sSub>
        <m:r>
          <m:t xml:space="preserve">(</m:t>
        </m:r>
        <m:r>
          <m:t xml:space="preserve">T</m:t>
        </m:r>
        <m:r>
          <m:t xml:space="preserve">−</m:t>
        </m:r>
        <m:r>
          <m:t xml:space="preserve">t</m:t>
        </m:r>
        <m:r>
          <m:t xml:space="preserve">)</m:t>
        </m:r>
      </m:oMath>
      <w:r>
        <w:rPr/>
        <w:t xml:space="preserve"> the </w:t>
      </w:r>
      <w:r>
        <w:rPr>
          <w:i/>
          <w:iCs/>
        </w:rPr>
        <w:t>n</w:t>
      </w:r>
      <w:r>
        <w:rPr/>
        <w:t xml:space="preserve"> maturity dependent volatility functions.  In this way, the maturity structure of the volatility functions is normalised by the spot volatility.  In order to estimate this model we first estimate the spot volatility, for example, by using a rolling 30 day sample standard deviation.  We then divide the daily forward price returns by the spot volatility estimate for that day – the calculations for the covariance matrix and the eigenvector decomposition are then obtained as before with this normalised set of returns.</w:t>
      </w:r>
    </w:p>
    <w:p>
      <w:pPr>
        <w:pStyle w:val="Normal"/>
        <w:rPr/>
      </w:pPr>
      <w:r>
        <w:rPr/>
      </w:r>
    </w:p>
    <w:p>
      <w:pPr>
        <w:pStyle w:val="Normal"/>
        <w:spacing w:lineRule="auto" w:line="240"/>
        <w:rPr>
          <w:b/>
          <w:sz w:val="20"/>
        </w:rPr>
      </w:pPr>
      <w:r>
        <w:rPr>
          <w:b/>
          <w:sz w:val="20"/>
        </w:rPr>
        <w:t>Les Clewlow and Chris Strickland are Principals of Lacima Group, and are affiliated to the School of Finance and Economics, University of Technology Sydney, Australia and the Financial Options Research Centre, Warwick Business School, University of Warwick, UK.</w:t>
      </w:r>
    </w:p>
    <w:p>
      <w:pPr>
        <w:pStyle w:val="Normal"/>
        <w:spacing w:lineRule="auto" w:line="240"/>
        <w:rPr>
          <w:b/>
          <w:sz w:val="20"/>
        </w:rPr>
      </w:pPr>
      <w:r>
        <w:rPr>
          <w:b/>
          <w:sz w:val="20"/>
        </w:rPr>
      </w:r>
    </w:p>
    <w:p>
      <w:pPr>
        <w:pStyle w:val="Normal"/>
        <w:spacing w:lineRule="auto" w:line="240"/>
        <w:rPr>
          <w:b/>
          <w:sz w:val="20"/>
        </w:rPr>
      </w:pPr>
      <w:r>
        <w:rPr>
          <w:b/>
          <w:sz w:val="20"/>
        </w:rPr>
        <w:t>Vince Kaminski is Managing Director and Head of Research for Enron Corp. based in Houston, Texas</w:t>
      </w:r>
    </w:p>
    <w:p>
      <w:pPr>
        <w:pStyle w:val="Normal"/>
        <w:spacing w:lineRule="auto" w:line="240"/>
        <w:rPr>
          <w:b/>
          <w:sz w:val="20"/>
        </w:rPr>
      </w:pPr>
      <w:r>
        <w:rPr>
          <w:b/>
          <w:sz w:val="20"/>
        </w:rPr>
      </w:r>
    </w:p>
    <w:p>
      <w:pPr>
        <w:pStyle w:val="Normal"/>
        <w:spacing w:lineRule="auto" w:line="240"/>
        <w:rPr>
          <w:b/>
          <w:sz w:val="20"/>
        </w:rPr>
      </w:pPr>
      <w:hyperlink r:id="rId4">
        <w:r>
          <w:rPr>
            <w:rStyle w:val="Hyperlink"/>
            <w:b/>
            <w:sz w:val="20"/>
          </w:rPr>
          <w:t>contact@lacimagroup.com</w:t>
        </w:r>
      </w:hyperlink>
    </w:p>
    <w:p>
      <w:pPr>
        <w:pStyle w:val="Normal"/>
        <w:spacing w:lineRule="auto" w:line="240"/>
        <w:rPr>
          <w:b/>
          <w:sz w:val="20"/>
        </w:rPr>
      </w:pPr>
      <w:hyperlink r:id="rId5">
        <w:r>
          <w:rPr>
            <w:rStyle w:val="Hyperlink"/>
            <w:b/>
            <w:sz w:val="20"/>
          </w:rPr>
          <w:t>www.lacimagroup.com</w:t>
        </w:r>
      </w:hyperlink>
    </w:p>
    <w:p>
      <w:pPr>
        <w:pStyle w:val="Normal"/>
        <w:rPr>
          <w:b/>
          <w:sz w:val="20"/>
        </w:rPr>
      </w:pPr>
      <w:r>
        <w:rPr>
          <w:b/>
          <w:sz w:val="20"/>
        </w:rPr>
      </w:r>
    </w:p>
    <w:p>
      <w:pPr>
        <w:pStyle w:val="Heading4"/>
        <w:ind w:hanging="0" w:start="0"/>
        <w:rPr>
          <w:bCs/>
        </w:rPr>
      </w:pPr>
      <w:r>
        <w:rPr>
          <w:bCs/>
        </w:rPr>
        <w:t>References</w:t>
      </w:r>
    </w:p>
    <w:p>
      <w:pPr>
        <w:pStyle w:val="TOC1"/>
        <w:spacing w:lineRule="auto" w:line="240"/>
        <w:rPr>
          <w:bCs/>
        </w:rPr>
      </w:pPr>
      <w:r>
        <w:rPr>
          <w:bCs/>
        </w:rPr>
      </w:r>
    </w:p>
    <w:p>
      <w:pPr>
        <w:pStyle w:val="Normal"/>
        <w:spacing w:lineRule="auto" w:line="240"/>
        <w:rPr/>
      </w:pPr>
      <w:r>
        <w:rPr/>
        <w:t>Clewlow, L, and C Strickland, 2000, “</w:t>
      </w:r>
      <w:r>
        <w:rPr>
          <w:i/>
          <w:iCs/>
        </w:rPr>
        <w:t>Energy Derivatives: Pricing and Risk Management</w:t>
      </w:r>
      <w:r>
        <w:rPr/>
        <w:t>”, Lacima Publications.</w:t>
      </w:r>
    </w:p>
    <w:p>
      <w:pPr>
        <w:pStyle w:val="Normal"/>
        <w:spacing w:lineRule="auto" w:line="240"/>
        <w:rPr/>
      </w:pPr>
      <w:r>
        <w:rPr/>
      </w:r>
    </w:p>
    <w:p>
      <w:pPr>
        <w:pStyle w:val="Normal"/>
        <w:spacing w:lineRule="auto" w:line="240"/>
        <w:rPr>
          <w:lang w:val="en-CA" w:eastAsia="en-CA"/>
        </w:rPr>
      </w:pPr>
      <w:r>
        <w:rPr>
          <w:lang w:val="en-CA" w:eastAsia="en-CA"/>
        </w:rPr>
      </w:r>
    </w:p>
    <w:sectPr>
      <w:headerReference w:type="default" r:id="rId6"/>
      <w:footerReference w:type="default" r:id="rId7"/>
      <w:footnotePr>
        <w:numFmt w:val="decimal"/>
      </w:footnotePr>
      <w:type w:val="nextPage"/>
      <w:pgSz w:w="11906" w:h="16838"/>
      <w:pgMar w:left="1418" w:right="1418" w:gutter="0" w:header="720" w:top="1418" w:footer="720" w:bottom="1418"/>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Palatino">
    <w:altName w:val="Book Antiqua"/>
    <w:charset w:val="00" w:characterSet="windows-1252"/>
    <w:family w:val="roman"/>
    <w:pitch w:val="variable"/>
  </w:font>
  <w:font w:name="palantino">
    <w:charset w:val="00" w:characterSet="windows-1252"/>
    <w:family w:val="roma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i/>
      </w:rPr>
      <w:fldChar w:fldCharType="begin"/>
    </w:r>
    <w:r>
      <w:rPr>
        <w:i/>
      </w:rPr>
      <w:instrText xml:space="preserve"> FILENAME </w:instrText>
    </w:r>
    <w:r>
      <w:rPr>
        <w:i/>
      </w:rPr>
      <w:fldChar w:fldCharType="separate"/>
    </w:r>
    <w:r>
      <w:rPr>
        <w:i/>
      </w:rPr>
      <w:t>EPRM_09_fwd_vol_estimation.doc</w:t>
    </w:r>
    <w:r>
      <w:rPr>
        <w:i/>
      </w:rPr>
      <w:fldChar w:fldCharType="end"/>
    </w:r>
    <w:r>
      <w:rPr>
        <w:i/>
      </w:rPr>
      <w:tab/>
      <w:t>copyright Les Clewlow, Chris Strickland and Vince Kaminski, 2000</w:t>
      <w:tab/>
    </w:r>
    <w:r>
      <mc:AlternateContent>
        <mc:Choice Requires="wps">
          <w:drawing>
            <wp:anchor behindDoc="0" distT="0" distB="0" distL="0" distR="0" simplePos="0" locked="0" layoutInCell="0" allowOverlap="1" relativeHeight="31">
              <wp:simplePos x="0" y="0"/>
              <wp:positionH relativeFrom="margin">
                <wp:align>right</wp:align>
              </wp:positionH>
              <wp:positionV relativeFrom="paragraph">
                <wp:posOffset>635</wp:posOffset>
              </wp:positionV>
              <wp:extent cx="58420" cy="134620"/>
              <wp:effectExtent l="0" t="0" r="0" b="0"/>
              <wp:wrapSquare wrapText="bothSides"/>
              <wp:docPr id="3" name="Frame1"/>
              <a:graphic xmlns:a="http://schemas.openxmlformats.org/drawingml/2006/main">
                <a:graphicData uri="http://schemas.microsoft.com/office/word/2010/wordprocessingShape">
                  <wps:wsp>
                    <wps:cNvSpPr txBox="1"/>
                    <wps:spPr>
                      <a:xfrm>
                        <a:off x="0" y="0"/>
                        <a:ext cx="58420" cy="134620"/>
                      </a:xfrm>
                      <a:prstGeom prst="rect"/>
                      <a:solidFill>
                        <a:srgbClr val="FFFFFF">
                          <a:alpha val="0"/>
                        </a:srgbClr>
                      </a:solidFill>
                    </wps:spPr>
                    <wps:txbx>
                      <w:txbxContent>
                        <w:p>
                          <w:pPr>
                            <w:pStyle w:val="Footer"/>
                            <w:rPr>
                              <w:rStyle w:val="PageNumber"/>
                              <w:i/>
                              <w:i/>
                            </w:rPr>
                          </w:pPr>
                          <w:r>
                            <w:rPr>
                              <w:rStyle w:val="PageNumber"/>
                              <w:i/>
                            </w:rPr>
                            <w:fldChar w:fldCharType="begin"/>
                          </w:r>
                          <w:r>
                            <w:rPr>
                              <w:rStyle w:val="PageNumber"/>
                              <w:i/>
                            </w:rPr>
                            <w:instrText xml:space="preserve"> PAGE </w:instrText>
                          </w:r>
                          <w:r>
                            <w:rPr>
                              <w:rStyle w:val="PageNumber"/>
                              <w:i/>
                            </w:rPr>
                            <w:fldChar w:fldCharType="separate"/>
                          </w:r>
                          <w:r>
                            <w:rPr>
                              <w:rStyle w:val="PageNumber"/>
                              <w:i/>
                            </w:rPr>
                            <w:t>7</w:t>
                          </w:r>
                          <w:r>
                            <w:rPr>
                              <w:rStyle w:val="PageNumber"/>
                              <w:i/>
                            </w:rPr>
                            <w:fldChar w:fldCharType="end"/>
                          </w:r>
                        </w:p>
                      </w:txbxContent>
                    </wps:txbx>
                    <wps:bodyPr anchor="t" lIns="0" tIns="0" rIns="0" bIns="0">
                      <a:noAutofit/>
                    </wps:bodyPr>
                  </wps:wsp>
                </a:graphicData>
              </a:graphic>
            </wp:anchor>
          </w:drawing>
        </mc:Choice>
        <mc:Fallback>
          <w:pict>
            <v:rect fillcolor="#FFFFFF" style="position:absolute;rotation:-0;width:4.6pt;height:10.6pt;mso-wrap-distance-left:0pt;mso-wrap-distance-right:0pt;mso-wrap-distance-top:0pt;mso-wrap-distance-bottom:0pt;margin-top:0.05pt;mso-position-vertical-relative:text;margin-left:448.9pt;mso-position-horizontal:right;mso-position-horizontal-relative:margin">
              <v:fill opacity="0f"/>
              <v:textbox inset="0in,0in,0in,0in">
                <w:txbxContent>
                  <w:p>
                    <w:pPr>
                      <w:pStyle w:val="Footer"/>
                      <w:rPr>
                        <w:rStyle w:val="PageNumber"/>
                        <w:i/>
                        <w:i/>
                      </w:rPr>
                    </w:pPr>
                    <w:r>
                      <w:rPr>
                        <w:rStyle w:val="PageNumber"/>
                        <w:i/>
                      </w:rPr>
                      <w:fldChar w:fldCharType="begin"/>
                    </w:r>
                    <w:r>
                      <w:rPr>
                        <w:rStyle w:val="PageNumber"/>
                        <w:i/>
                      </w:rPr>
                      <w:instrText xml:space="preserve"> PAGE </w:instrText>
                    </w:r>
                    <w:r>
                      <w:rPr>
                        <w:rStyle w:val="PageNumber"/>
                        <w:i/>
                      </w:rPr>
                      <w:fldChar w:fldCharType="separate"/>
                    </w:r>
                    <w:r>
                      <w:rPr>
                        <w:rStyle w:val="PageNumber"/>
                        <w:i/>
                      </w:rPr>
                      <w:t>7</w:t>
                    </w:r>
                    <w:r>
                      <w:rPr>
                        <w:rStyle w:val="PageNumber"/>
                        <w:i/>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lineRule="atLeast" w:line="240" w:before="120" w:after="0"/>
        <w:ind w:hanging="720" w:start="720" w:end="0"/>
        <w:rPr/>
      </w:pPr>
      <w:r>
        <w:rPr>
          <w:rStyle w:val="FootnoteCharacters"/>
        </w:rPr>
        <w:footnoteRef/>
      </w:r>
      <w:r>
        <w:rPr/>
        <w:t xml:space="preserve"> </w:t>
      </w:r>
      <w:r>
        <w:rPr/>
        <w:t>The material in this article is based on chapter 8 of Clewlow and Strickland [2000]</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2160" w:leader="none"/>
        <w:tab w:val="center" w:pos="4252" w:leader="none"/>
        <w:tab w:val="center" w:pos="4536" w:leader="none"/>
        <w:tab w:val="right" w:pos="8504" w:leader="none"/>
        <w:tab w:val="right" w:pos="8931" w:leader="none"/>
      </w:tabs>
      <w:rPr>
        <w:i/>
        <w:i/>
        <w:sz w:val="20"/>
      </w:rPr>
    </w:pPr>
    <w:r>
      <w:rPr>
        <w:i/>
        <w:sz w:val="20"/>
      </w:rPr>
      <w:t>Forward Vol Estimation</w:t>
      <w:tab/>
      <w:tab/>
      <w:tab/>
      <w:tab/>
      <w:t>Energy and Power Risk Management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49"/>
  <w:defaultTabStop w:val="720"/>
  <w:autoHyphenation w:val="true"/>
  <w:hyphenationZone w:val="0"/>
  <w:footnotePr>
    <w:numFmt w:val="decimal"/>
    <w:footnote w:id="0"/>
    <w:footnote w:id="1"/>
  </w:footnotePr>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uto" w:line="36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numPr>
        <w:ilvl w:val="0"/>
        <w:numId w:val="1"/>
      </w:numPr>
      <w:spacing w:before="240" w:after="0"/>
      <w:ind w:hanging="720" w:start="720" w:end="0"/>
      <w:outlineLvl w:val="0"/>
    </w:pPr>
    <w:rPr>
      <w:b/>
      <w:sz w:val="36"/>
    </w:rPr>
  </w:style>
  <w:style w:type="paragraph" w:styleId="Heading2">
    <w:name w:val="heading 2"/>
    <w:basedOn w:val="Normal"/>
    <w:next w:val="Normal"/>
    <w:qFormat/>
    <w:pPr>
      <w:numPr>
        <w:ilvl w:val="1"/>
        <w:numId w:val="1"/>
      </w:numPr>
      <w:spacing w:before="120" w:after="0"/>
      <w:outlineLvl w:val="1"/>
    </w:pPr>
    <w:rPr>
      <w:b/>
      <w:sz w:val="28"/>
    </w:rPr>
  </w:style>
  <w:style w:type="paragraph" w:styleId="Heading3">
    <w:name w:val="heading 3"/>
    <w:basedOn w:val="Normal"/>
    <w:next w:val="NormalIndent"/>
    <w:qFormat/>
    <w:pPr>
      <w:numPr>
        <w:ilvl w:val="2"/>
        <w:numId w:val="1"/>
      </w:numPr>
      <w:ind w:hanging="0" w:start="360" w:end="0"/>
      <w:outlineLvl w:val="2"/>
    </w:pPr>
    <w:rPr>
      <w:b/>
      <w:sz w:val="26"/>
    </w:rPr>
  </w:style>
  <w:style w:type="paragraph" w:styleId="Heading4">
    <w:name w:val="heading 4"/>
    <w:basedOn w:val="Normal"/>
    <w:next w:val="NormalIndent"/>
    <w:qFormat/>
    <w:pPr>
      <w:numPr>
        <w:ilvl w:val="3"/>
        <w:numId w:val="1"/>
      </w:numPr>
      <w:outlineLvl w:val="3"/>
    </w:pPr>
    <w:rPr>
      <w:b/>
    </w:rPr>
  </w:style>
  <w:style w:type="paragraph" w:styleId="Heading5">
    <w:name w:val="heading 5"/>
    <w:basedOn w:val="Normal"/>
    <w:next w:val="NormalIndent"/>
    <w:qFormat/>
    <w:pPr>
      <w:numPr>
        <w:ilvl w:val="4"/>
        <w:numId w:val="1"/>
      </w:numPr>
      <w:ind w:hanging="0" w:start="720" w:end="0"/>
      <w:outlineLvl w:val="4"/>
    </w:pPr>
    <w:rPr>
      <w:b/>
      <w:sz w:val="20"/>
    </w:rPr>
  </w:style>
  <w:style w:type="paragraph" w:styleId="Heading6">
    <w:name w:val="heading 6"/>
    <w:basedOn w:val="Normal"/>
    <w:next w:val="NormalIndent"/>
    <w:qFormat/>
    <w:pPr>
      <w:numPr>
        <w:ilvl w:val="5"/>
        <w:numId w:val="1"/>
      </w:numPr>
      <w:ind w:hanging="0" w:start="720" w:end="0"/>
      <w:outlineLvl w:val="5"/>
    </w:pPr>
    <w:rPr>
      <w:sz w:val="20"/>
      <w:u w:val="single"/>
    </w:rPr>
  </w:style>
  <w:style w:type="paragraph" w:styleId="Heading7">
    <w:name w:val="heading 7"/>
    <w:basedOn w:val="Normal"/>
    <w:next w:val="NormalIndent"/>
    <w:qFormat/>
    <w:pPr>
      <w:numPr>
        <w:ilvl w:val="6"/>
        <w:numId w:val="1"/>
      </w:numPr>
      <w:ind w:hanging="0" w:start="720" w:end="0"/>
      <w:outlineLvl w:val="6"/>
    </w:pPr>
    <w:rPr>
      <w:i/>
      <w:sz w:val="20"/>
    </w:rPr>
  </w:style>
  <w:style w:type="paragraph" w:styleId="Heading8">
    <w:name w:val="heading 8"/>
    <w:basedOn w:val="Normal"/>
    <w:next w:val="NormalIndent"/>
    <w:qFormat/>
    <w:pPr>
      <w:numPr>
        <w:ilvl w:val="7"/>
        <w:numId w:val="1"/>
      </w:numPr>
      <w:ind w:hanging="0" w:start="720" w:end="0"/>
      <w:outlineLvl w:val="7"/>
    </w:pPr>
    <w:rPr>
      <w:i/>
      <w:sz w:val="20"/>
    </w:rPr>
  </w:style>
  <w:style w:type="paragraph" w:styleId="Heading9">
    <w:name w:val="heading 9"/>
    <w:basedOn w:val="Normal"/>
    <w:next w:val="NormalIndent"/>
    <w:qFormat/>
    <w:pPr>
      <w:numPr>
        <w:ilvl w:val="8"/>
        <w:numId w:val="1"/>
      </w:numPr>
      <w:ind w:hanging="0" w:start="720" w:end="0"/>
      <w:outlineLvl w:val="8"/>
    </w:pPr>
    <w:rPr>
      <w:i/>
      <w:sz w:val="20"/>
    </w:rPr>
  </w:style>
  <w:style w:type="character" w:styleId="WW8Num4z0">
    <w:name w:val="WW8Num4z0"/>
    <w:qFormat/>
    <w:rPr/>
  </w:style>
  <w:style w:type="character" w:styleId="WW8Num5z0">
    <w:name w:val="WW8Num5z0"/>
    <w:qFormat/>
    <w:rPr>
      <w:b w:val="false"/>
      <w:i w:val="false"/>
      <w:color w:val="0000FF"/>
      <w:sz w:val="40"/>
    </w:rPr>
  </w:style>
  <w:style w:type="character" w:styleId="WW8Num6z0">
    <w:name w:val="WW8Num6z0"/>
    <w:qFormat/>
    <w:rPr/>
  </w:style>
  <w:style w:type="character" w:styleId="WW8Num7z0">
    <w:name w:val="WW8Num7z0"/>
    <w:qFormat/>
    <w:rPr>
      <w:rFonts w:ascii="Symbol" w:hAnsi="Symbol" w:cs="Symbol"/>
    </w:rPr>
  </w:style>
  <w:style w:type="character" w:styleId="WW8Num8z0">
    <w:name w:val="WW8Num8z0"/>
    <w:qFormat/>
    <w:rPr>
      <w:b w:val="false"/>
      <w:i w:val="false"/>
      <w:color w:val="0000FF"/>
      <w:sz w:val="40"/>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b w:val="false"/>
      <w:i w:val="false"/>
      <w:color w:val="0000FF"/>
      <w:sz w:val="40"/>
    </w:rPr>
  </w:style>
  <w:style w:type="character" w:styleId="WW8Num21z0">
    <w:name w:val="WW8Num21z0"/>
    <w:qFormat/>
    <w:rPr>
      <w:b w:val="false"/>
      <w:i w:val="false"/>
      <w:color w:val="0000FF"/>
      <w:sz w:val="40"/>
    </w:rPr>
  </w:style>
  <w:style w:type="character" w:styleId="WW8Num22z0">
    <w:name w:val="WW8Num22z0"/>
    <w:qFormat/>
    <w:rPr>
      <w:rFonts w:ascii="Times New Roman" w:hAnsi="Times New Roman" w:eastAsia="Times New Roman" w:cs="Times New Roman"/>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2z3">
    <w:name w:val="WW8Num22z3"/>
    <w:qFormat/>
    <w:rPr>
      <w:rFonts w:ascii="Symbol" w:hAnsi="Symbol" w:cs="Symbol"/>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St13z0">
    <w:name w:val="WW8NumSt13z0"/>
    <w:qFormat/>
    <w:rPr>
      <w:rFonts w:ascii="Symbol" w:hAnsi="Symbol" w:cs="Symbol"/>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character" w:styleId="Hyperlink">
    <w:name w:val="Hyperlink"/>
    <w:basedOn w:val="DefaultParagraphFont"/>
    <w:rPr>
      <w:color w:val="0000FF"/>
      <w:u w:val="single"/>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jc w:val="center"/>
    </w:pPr>
    <w:rPr>
      <w:b/>
      <w:sz w:val="30"/>
    </w:rPr>
  </w:style>
  <w:style w:type="paragraph" w:styleId="BodyText">
    <w:name w:val="Body Text"/>
    <w:basedOn w:val="Normal"/>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252" w:leader="none"/>
        <w:tab w:val="right" w:pos="8504" w:leader="none"/>
      </w:tabs>
    </w:pPr>
    <w:rPr>
      <w:sz w:val="18"/>
    </w:rPr>
  </w:style>
  <w:style w:type="paragraph" w:styleId="Header">
    <w:name w:val="header"/>
    <w:basedOn w:val="Normal"/>
    <w:pPr>
      <w:tabs>
        <w:tab w:val="clear" w:pos="720"/>
        <w:tab w:val="center" w:pos="2160" w:leader="none"/>
        <w:tab w:val="center" w:pos="4252" w:leader="none"/>
        <w:tab w:val="right" w:pos="8504" w:leader="none"/>
      </w:tabs>
    </w:pPr>
    <w:rPr>
      <w:sz w:val="18"/>
    </w:rPr>
  </w:style>
  <w:style w:type="paragraph" w:styleId="FootnoteText">
    <w:name w:val="footnote text"/>
    <w:basedOn w:val="Normal"/>
    <w:pPr>
      <w:spacing w:lineRule="atLeast" w:line="240" w:before="120" w:after="0"/>
      <w:ind w:hanging="720" w:start="720" w:end="0"/>
    </w:pPr>
    <w:rPr>
      <w:sz w:val="22"/>
      <w:lang w:val="en-GB"/>
    </w:rPr>
  </w:style>
  <w:style w:type="paragraph" w:styleId="STANDARDPARALEVEL">
    <w:name w:val="STANDARD PARA LEVEL"/>
    <w:qFormat/>
    <w:pPr>
      <w:widowControl/>
      <w:bidi w:val="0"/>
      <w:spacing w:lineRule="exact" w:line="240"/>
      <w:ind w:hanging="0" w:start="720" w:end="0"/>
    </w:pPr>
    <w:rPr>
      <w:rFonts w:ascii="Palatino;Book Antiqua" w:hAnsi="Palatino;Book Antiqua" w:eastAsia="Times New Roman" w:cs="Palatino;Book Antiqua"/>
      <w:color w:val="auto"/>
      <w:sz w:val="22"/>
      <w:szCs w:val="20"/>
      <w:lang w:val="en-GB" w:bidi="ar-SA" w:eastAsia="zh-CN"/>
    </w:rPr>
  </w:style>
  <w:style w:type="paragraph" w:styleId="P2">
    <w:name w:val="P2"/>
    <w:qFormat/>
    <w:pPr>
      <w:widowControl/>
      <w:bidi w:val="0"/>
      <w:spacing w:lineRule="atLeast" w:line="480"/>
      <w:ind w:hanging="0" w:start="1440" w:end="0"/>
    </w:pPr>
    <w:rPr>
      <w:rFonts w:ascii="Palatino;Book Antiqua" w:hAnsi="Palatino;Book Antiqua" w:eastAsia="Times New Roman" w:cs="Palatino;Book Antiqua"/>
      <w:color w:val="0000FF"/>
      <w:sz w:val="22"/>
      <w:szCs w:val="20"/>
      <w:lang w:val="en-GB" w:bidi="ar-SA" w:eastAsia="zh-CN"/>
    </w:rPr>
  </w:style>
  <w:style w:type="paragraph" w:styleId="P3">
    <w:name w:val="P3"/>
    <w:qFormat/>
    <w:pPr>
      <w:widowControl/>
      <w:bidi w:val="0"/>
      <w:spacing w:lineRule="atLeast" w:line="480"/>
      <w:ind w:hanging="0" w:start="2160" w:end="0"/>
    </w:pPr>
    <w:rPr>
      <w:rFonts w:ascii="Palatino;Book Antiqua" w:hAnsi="Palatino;Book Antiqua" w:eastAsia="Times New Roman" w:cs="Palatino;Book Antiqua"/>
      <w:color w:val="0000FF"/>
      <w:sz w:val="22"/>
      <w:szCs w:val="20"/>
      <w:lang w:val="en-GB" w:bidi="ar-SA" w:eastAsia="zh-CN"/>
    </w:rPr>
  </w:style>
  <w:style w:type="paragraph" w:styleId="P4">
    <w:name w:val="P4"/>
    <w:qFormat/>
    <w:pPr>
      <w:widowControl/>
      <w:bidi w:val="0"/>
      <w:spacing w:lineRule="atLeast" w:line="480"/>
      <w:ind w:hanging="0" w:start="2880" w:end="0"/>
    </w:pPr>
    <w:rPr>
      <w:rFonts w:ascii="Palatino;Book Antiqua" w:hAnsi="Palatino;Book Antiqua" w:eastAsia="Times New Roman" w:cs="Palatino;Book Antiqua"/>
      <w:color w:val="0000FF"/>
      <w:sz w:val="22"/>
      <w:szCs w:val="20"/>
      <w:lang w:val="en-GB" w:bidi="ar-SA" w:eastAsia="zh-CN"/>
    </w:rPr>
  </w:style>
  <w:style w:type="paragraph" w:styleId="P5">
    <w:name w:val="P5"/>
    <w:qFormat/>
    <w:pPr>
      <w:widowControl/>
      <w:bidi w:val="0"/>
      <w:spacing w:lineRule="atLeast" w:line="480"/>
      <w:ind w:hanging="0" w:start="3600" w:end="0"/>
    </w:pPr>
    <w:rPr>
      <w:rFonts w:ascii="Palatino;Book Antiqua" w:hAnsi="Palatino;Book Antiqua" w:eastAsia="Times New Roman" w:cs="Palatino;Book Antiqua"/>
      <w:color w:val="0000FF"/>
      <w:sz w:val="22"/>
      <w:szCs w:val="20"/>
      <w:lang w:val="en-GB" w:bidi="ar-SA" w:eastAsia="zh-CN"/>
    </w:rPr>
  </w:style>
  <w:style w:type="paragraph" w:styleId="O1">
    <w:name w:val="O1"/>
    <w:qFormat/>
    <w:pPr>
      <w:widowControl/>
      <w:bidi w:val="0"/>
      <w:spacing w:lineRule="atLeast" w:line="480"/>
      <w:ind w:hanging="720" w:start="720" w:end="0"/>
    </w:pPr>
    <w:rPr>
      <w:rFonts w:ascii="Palatino;Book Antiqua" w:hAnsi="Palatino;Book Antiqua" w:eastAsia="Times New Roman" w:cs="Palatino;Book Antiqua"/>
      <w:color w:val="0000FF"/>
      <w:sz w:val="22"/>
      <w:szCs w:val="20"/>
      <w:lang w:val="en-GB" w:bidi="ar-SA" w:eastAsia="zh-CN"/>
    </w:rPr>
  </w:style>
  <w:style w:type="paragraph" w:styleId="QuotationsPara">
    <w:name w:val="Quotations Para"/>
    <w:qFormat/>
    <w:pPr>
      <w:widowControl/>
      <w:bidi w:val="0"/>
      <w:spacing w:lineRule="atLeast" w:line="360"/>
      <w:ind w:hanging="0" w:start="720" w:end="1440"/>
      <w:jc w:val="both"/>
    </w:pPr>
    <w:rPr>
      <w:rFonts w:ascii="Palatino;Book Antiqua" w:hAnsi="Palatino;Book Antiqua" w:eastAsia="Times New Roman" w:cs="Palatino;Book Antiqua"/>
      <w:color w:val="FF00FF"/>
      <w:sz w:val="20"/>
      <w:szCs w:val="20"/>
      <w:lang w:val="en-GB" w:bidi="ar-SA" w:eastAsia="zh-CN"/>
    </w:rPr>
  </w:style>
  <w:style w:type="paragraph" w:styleId="RightFlushPara">
    <w:name w:val="Right Flush Para"/>
    <w:qFormat/>
    <w:pPr>
      <w:widowControl/>
      <w:bidi w:val="0"/>
      <w:spacing w:lineRule="atLeast" w:line="480"/>
      <w:jc w:val="end"/>
    </w:pPr>
    <w:rPr>
      <w:rFonts w:ascii="Palatino;Book Antiqua" w:hAnsi="Palatino;Book Antiqua" w:eastAsia="Times New Roman" w:cs="Palatino;Book Antiqua"/>
      <w:color w:val="0000FF"/>
      <w:sz w:val="22"/>
      <w:szCs w:val="20"/>
      <w:lang w:val="en-GB" w:bidi="ar-SA" w:eastAsia="zh-CN"/>
    </w:rPr>
  </w:style>
  <w:style w:type="paragraph" w:styleId="ReferencesPara">
    <w:name w:val="References Para"/>
    <w:qFormat/>
    <w:pPr>
      <w:widowControl/>
      <w:bidi w:val="0"/>
      <w:spacing w:lineRule="atLeast" w:line="360" w:before="120" w:after="0"/>
      <w:ind w:hanging="720" w:start="720" w:end="0"/>
    </w:pPr>
    <w:rPr>
      <w:rFonts w:ascii="Palatino;Book Antiqua" w:hAnsi="Palatino;Book Antiqua" w:eastAsia="Times New Roman" w:cs="Palatino;Book Antiqua"/>
      <w:color w:val="0000FF"/>
      <w:sz w:val="22"/>
      <w:szCs w:val="20"/>
      <w:lang w:val="en-GB" w:bidi="ar-SA" w:eastAsia="zh-CN"/>
    </w:rPr>
  </w:style>
  <w:style w:type="paragraph" w:styleId="TitleMainHeading">
    <w:name w:val="Title (Main Heading)"/>
    <w:qFormat/>
    <w:pPr>
      <w:widowControl/>
      <w:bidi w:val="0"/>
      <w:jc w:val="center"/>
    </w:pPr>
    <w:rPr>
      <w:rFonts w:ascii="Palatino;Book Antiqua" w:hAnsi="Palatino;Book Antiqua" w:eastAsia="Times New Roman" w:cs="Palatino;Book Antiqua"/>
      <w:b/>
      <w:i/>
      <w:color w:val="00FFFF"/>
      <w:sz w:val="44"/>
      <w:szCs w:val="20"/>
      <w:lang w:val="en-GB" w:bidi="ar-SA" w:eastAsia="zh-CN"/>
    </w:rPr>
  </w:style>
  <w:style w:type="paragraph" w:styleId="Sub-TitleSubheading">
    <w:name w:val="Sub-Title (Sub heading)"/>
    <w:qFormat/>
    <w:pPr>
      <w:widowControl/>
      <w:bidi w:val="0"/>
      <w:jc w:val="center"/>
    </w:pPr>
    <w:rPr>
      <w:rFonts w:ascii="Palatino;Book Antiqua" w:hAnsi="Palatino;Book Antiqua" w:eastAsia="Times New Roman" w:cs="Palatino;Book Antiqua"/>
      <w:i/>
      <w:color w:val="008080"/>
      <w:sz w:val="32"/>
      <w:szCs w:val="20"/>
      <w:lang w:val="en-GB" w:bidi="ar-SA" w:eastAsia="zh-CN"/>
    </w:rPr>
  </w:style>
  <w:style w:type="paragraph" w:styleId="Caption-FigrDgram">
    <w:name w:val="Caption - Figr/Dgram"/>
    <w:qFormat/>
    <w:pPr>
      <w:widowControl/>
      <w:bidi w:val="0"/>
      <w:spacing w:lineRule="atLeast" w:line="240"/>
      <w:jc w:val="center"/>
    </w:pPr>
    <w:rPr>
      <w:rFonts w:ascii="Palatino;Book Antiqua" w:hAnsi="Palatino;Book Antiqua" w:eastAsia="Times New Roman" w:cs="Palatino;Book Antiqua"/>
      <w:i/>
      <w:color w:val="008080"/>
      <w:sz w:val="18"/>
      <w:szCs w:val="20"/>
      <w:lang w:val="en-GB" w:bidi="ar-SA" w:eastAsia="zh-CN"/>
    </w:rPr>
  </w:style>
  <w:style w:type="paragraph" w:styleId="O2">
    <w:name w:val="O2"/>
    <w:qFormat/>
    <w:pPr>
      <w:widowControl/>
      <w:bidi w:val="0"/>
      <w:spacing w:lineRule="atLeast" w:line="480"/>
      <w:ind w:hanging="720" w:start="1440" w:end="0"/>
    </w:pPr>
    <w:rPr>
      <w:rFonts w:ascii="Palatino;Book Antiqua" w:hAnsi="Palatino;Book Antiqua" w:eastAsia="Times New Roman" w:cs="Palatino;Book Antiqua"/>
      <w:color w:val="0000FF"/>
      <w:sz w:val="22"/>
      <w:szCs w:val="20"/>
      <w:lang w:val="en-GB" w:bidi="ar-SA" w:eastAsia="zh-CN"/>
    </w:rPr>
  </w:style>
  <w:style w:type="paragraph" w:styleId="O3">
    <w:name w:val="O3"/>
    <w:qFormat/>
    <w:pPr>
      <w:widowControl/>
      <w:bidi w:val="0"/>
      <w:spacing w:lineRule="atLeast" w:line="480"/>
      <w:ind w:hanging="720" w:start="2160" w:end="0"/>
    </w:pPr>
    <w:rPr>
      <w:rFonts w:ascii="Palatino;Book Antiqua" w:hAnsi="Palatino;Book Antiqua" w:eastAsia="Times New Roman" w:cs="Palatino;Book Antiqua"/>
      <w:color w:val="0000FF"/>
      <w:sz w:val="22"/>
      <w:szCs w:val="20"/>
      <w:lang w:val="en-GB" w:bidi="ar-SA" w:eastAsia="zh-CN"/>
    </w:rPr>
  </w:style>
  <w:style w:type="paragraph" w:styleId="O4">
    <w:name w:val="O4"/>
    <w:qFormat/>
    <w:pPr>
      <w:widowControl/>
      <w:bidi w:val="0"/>
      <w:spacing w:lineRule="atLeast" w:line="480"/>
      <w:ind w:hanging="720" w:start="2880" w:end="0"/>
    </w:pPr>
    <w:rPr>
      <w:rFonts w:ascii="Palatino;Book Antiqua" w:hAnsi="Palatino;Book Antiqua" w:eastAsia="Times New Roman" w:cs="Palatino;Book Antiqua"/>
      <w:color w:val="0000FF"/>
      <w:sz w:val="22"/>
      <w:szCs w:val="20"/>
      <w:lang w:val="en-GB" w:bidi="ar-SA" w:eastAsia="zh-CN"/>
    </w:rPr>
  </w:style>
  <w:style w:type="paragraph" w:styleId="O5">
    <w:name w:val="O5"/>
    <w:qFormat/>
    <w:pPr>
      <w:widowControl/>
      <w:bidi w:val="0"/>
      <w:spacing w:lineRule="atLeast" w:line="480"/>
      <w:ind w:hanging="720" w:start="3600" w:end="0"/>
    </w:pPr>
    <w:rPr>
      <w:rFonts w:ascii="Palatino;Book Antiqua" w:hAnsi="Palatino;Book Antiqua" w:eastAsia="Times New Roman" w:cs="Palatino;Book Antiqua"/>
      <w:color w:val="0000FF"/>
      <w:sz w:val="22"/>
      <w:szCs w:val="20"/>
      <w:lang w:val="en-GB" w:bidi="ar-SA" w:eastAsia="zh-CN"/>
    </w:rPr>
  </w:style>
  <w:style w:type="paragraph" w:styleId="Equation">
    <w:name w:val="Equation"/>
    <w:basedOn w:val="Normal"/>
    <w:qFormat/>
    <w:pPr>
      <w:tabs>
        <w:tab w:val="clear" w:pos="720"/>
        <w:tab w:val="center" w:pos="4320" w:leader="none"/>
        <w:tab w:val="right" w:pos="8505" w:leader="none"/>
      </w:tabs>
      <w:ind w:hanging="0" w:start="567" w:end="0"/>
    </w:pPr>
    <w:rPr>
      <w:color w:val="000000"/>
      <w:lang w:val="en-GB"/>
    </w:rPr>
  </w:style>
  <w:style w:type="paragraph" w:styleId="TI">
    <w:name w:val="TI"/>
    <w:qFormat/>
    <w:pPr>
      <w:widowControl/>
      <w:bidi w:val="0"/>
      <w:jc w:val="center"/>
    </w:pPr>
    <w:rPr>
      <w:rFonts w:ascii="palantino" w:hAnsi="palantino" w:eastAsia="Times New Roman" w:cs="palantino"/>
      <w:b/>
      <w:i/>
      <w:color w:val="auto"/>
      <w:sz w:val="38"/>
      <w:szCs w:val="20"/>
      <w:lang w:val="en-US" w:bidi="ar-SA" w:eastAsia="zh-CN"/>
    </w:rPr>
  </w:style>
  <w:style w:type="paragraph" w:styleId="DocumentMap">
    <w:name w:val="Document Map"/>
    <w:basedOn w:val="Normal"/>
    <w:qFormat/>
    <w:pPr>
      <w:shd w:fill="000080" w:val="clear"/>
    </w:pPr>
    <w:rPr>
      <w:rFonts w:ascii="Tahoma" w:hAnsi="Tahoma" w:cs="Tahoma"/>
    </w:rPr>
  </w:style>
  <w:style w:type="paragraph" w:styleId="CommentText">
    <w:name w:val="Comment Text"/>
    <w:basedOn w:val="Normal"/>
    <w:qFormat/>
    <w:pPr>
      <w:spacing w:lineRule="auto" w:line="240"/>
    </w:pPr>
    <w:rPr>
      <w:sz w:val="20"/>
      <w:lang w:val="en-GB"/>
    </w:rPr>
  </w:style>
  <w:style w:type="paragraph" w:styleId="Pseudo-code">
    <w:name w:val="Pseudo-code"/>
    <w:basedOn w:val="Normal"/>
    <w:qFormat/>
    <w:pPr>
      <w:ind w:hanging="0" w:start="720" w:end="0"/>
    </w:pPr>
    <w:rPr>
      <w:rFonts w:ascii="Courier New" w:hAnsi="Courier New" w:cs="Courier New"/>
      <w:i/>
      <w:sz w:val="20"/>
      <w:lang w:val="en-GB"/>
    </w:rPr>
  </w:style>
  <w:style w:type="paragraph" w:styleId="BodyText2">
    <w:name w:val="Body Text 2"/>
    <w:basedOn w:val="Normal"/>
    <w:qFormat/>
    <w:pPr/>
    <w:rPr>
      <w:b/>
      <w:i/>
      <w:sz w:val="36"/>
    </w:rPr>
  </w:style>
  <w:style w:type="paragraph" w:styleId="BodyText3">
    <w:name w:val="Body Text 3"/>
    <w:basedOn w:val="Normal"/>
    <w:qFormat/>
    <w:pPr>
      <w:jc w:val="center"/>
    </w:pPr>
    <w:rPr>
      <w:b/>
    </w:rPr>
  </w:style>
  <w:style w:type="paragraph" w:styleId="TOC1">
    <w:name w:val="toc 1"/>
    <w:basedOn w:val="Normal"/>
    <w:next w:val="Normal"/>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Subtitle">
    <w:name w:val="Subtitle"/>
    <w:basedOn w:val="Normal"/>
    <w:next w:val="BodyText"/>
    <w:qFormat/>
    <w:pPr>
      <w:overflowPunct w:val="false"/>
      <w:autoSpaceDE w:val="false"/>
      <w:spacing w:lineRule="auto" w:line="240"/>
      <w:jc w:val="center"/>
      <w:textAlignment w:val="baseline"/>
    </w:pPr>
    <w:rPr>
      <w:b/>
      <w:lang w:val="en-G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hyperlink" Target="mailto:contact@lacimagroup.com" TargetMode="External"/><Relationship Id="rId5" Type="http://schemas.openxmlformats.org/officeDocument/2006/relationships/hyperlink" Target="http://www.lacima.co.uk/"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395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2001-02-10T18:13:00Z</dcterms:created>
  <dc:creator>Chris Strickland</dc:creator>
  <dc:description/>
  <dc:language>en-CA</dc:language>
  <cp:lastModifiedBy>Chris Strickland</cp:lastModifiedBy>
  <cp:lastPrinted>2001-03-13T15:55:00Z</cp:lastPrinted>
  <dcterms:modified xsi:type="dcterms:W3CDTF">2001-03-13T04:13:00Z</dcterms:modified>
  <cp:revision>25</cp:revision>
  <dc:subject/>
  <dc:title>3	Multi-Factor Versions of the HJM Approach</dc:title>
</cp:coreProperties>
</file>