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Simulating Mean Reversion Jump Diffusion Spot Price Processes for Pricing Energy Derivatives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In our last article (</w:t>
      </w:r>
      <w:r>
        <w:rPr>
          <w:i/>
          <w:iCs/>
        </w:rPr>
        <w:t>EPRM</w:t>
      </w:r>
      <w:r>
        <w:rPr/>
        <w:t xml:space="preserve"> Jan 2001) we discussed the use of Monte Carlo simulation as a numerical technique for the pricing of European style energy derivatives that involve path dependent payoffs, payoffs dependent on multiple energies, and other real world effects.  The model used as an illustration of the technique was a reasonably simple, single factor, mean reverting model.  However as we commented in our December 1999 </w:t>
      </w:r>
      <w:r>
        <w:rPr>
          <w:i/>
          <w:iCs/>
        </w:rPr>
        <w:t>EPRM</w:t>
      </w:r>
      <w:r>
        <w:rPr/>
        <w:t xml:space="preserve"> article, some energy prices, with electricity being the classic example, often exhibit sudden, unexpected and discontinuous changes and a model of this type struggles to capture this type of behaviour.  To illustrate, Figure 1 shows two time series for electricity prices.  The first (1a) is a plot of the Australian New South Wales (NSW) half hourly electricity pool price for 1999.  The second (1b) shows the daily average CalPX price for the same period.</w:t>
      </w:r>
    </w:p>
    <w:p>
      <w:pPr>
        <w:pStyle w:val="Normal"/>
        <w:rPr/>
      </w:pPr>
      <w:r>
        <w:rPr/>
      </w:r>
    </w:p>
    <w:p>
      <w:pPr>
        <w:pStyle w:val="Normal"/>
        <w:jc w:val="center"/>
        <w:rPr>
          <w:b/>
        </w:rPr>
      </w:pPr>
      <w:r>
        <w:rPr>
          <w:b/>
        </w:rPr>
        <w:t>Figure 1 (a) : Australian NSW Electricity Pool Prices for the Period for 2000</w:t>
      </w:r>
    </w:p>
    <w:p>
      <w:pPr>
        <w:pStyle w:val="Normal"/>
        <w:rPr>
          <w:b/>
        </w:rPr>
      </w:pPr>
      <w:r>
        <w:rPr>
          <w:b/>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482590" cy="37490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3749040"/>
                    </a:xfrm>
                    <a:prstGeom prst="rect">
                      <a:avLst/>
                    </a:prstGeom>
                    <a:noFill/>
                  </pic:spPr>
                </pic:pic>
              </a:graphicData>
            </a:graphic>
          </wp:anchor>
        </w:drawing>
      </w:r>
    </w:p>
    <w:p>
      <w:pPr>
        <w:pStyle w:val="Normal"/>
        <w:jc w:val="center"/>
        <w:rPr>
          <w:b/>
        </w:rPr>
      </w:pPr>
      <w:r>
        <w:rPr>
          <w:b/>
        </w:rPr>
        <w:t>Figure 1 (b) : CalPX Electricity Pool Prices for the Period for 2000</w:t>
      </w:r>
    </w:p>
    <w:p>
      <w:pPr>
        <w:pStyle w:val="Normal"/>
        <w:rPr>
          <w:b/>
        </w:rPr>
      </w:pPr>
      <w:r>
        <w:rPr>
          <w:b/>
        </w:rPr>
        <w:drawing>
          <wp:anchor behindDoc="0" distT="0" distB="0" distL="114935" distR="114935" simplePos="0" locked="0" layoutInCell="0" allowOverlap="1" relativeHeight="19">
            <wp:simplePos x="0" y="0"/>
            <wp:positionH relativeFrom="column">
              <wp:posOffset>0</wp:posOffset>
            </wp:positionH>
            <wp:positionV relativeFrom="paragraph">
              <wp:posOffset>635</wp:posOffset>
            </wp:positionV>
            <wp:extent cx="5482590" cy="37490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2590" cy="3749040"/>
                    </a:xfrm>
                    <a:prstGeom prst="rect">
                      <a:avLst/>
                    </a:prstGeom>
                    <a:noFill/>
                  </pic:spPr>
                </pic:pic>
              </a:graphicData>
            </a:graphic>
          </wp:anchor>
        </w:drawing>
      </w:r>
    </w:p>
    <w:p>
      <w:pPr>
        <w:pStyle w:val="Normal"/>
        <w:rPr/>
      </w:pPr>
      <w:r>
        <w:rPr/>
        <w:t>Both figures clearly show that the presence of jumps is a significant component of the behaviour of electricity prices.  In this article we extend the techniques developed in the January article to simulating the mean reverting jump diffusion (</w:t>
      </w:r>
      <w:r>
        <w:rPr>
          <w:i/>
          <w:iCs/>
        </w:rPr>
        <w:t>MRJD</w:t>
      </w:r>
      <w:r>
        <w:rPr/>
        <w:t xml:space="preserve">) model we introduced originally in our November 1999 </w:t>
      </w:r>
      <w:r>
        <w:rPr>
          <w:i/>
          <w:iCs/>
        </w:rPr>
        <w:t>EPRM</w:t>
      </w:r>
      <w:r>
        <w:rPr/>
        <w:t xml:space="preserve"> article, and which can be represented by the following equation;</w:t>
      </w:r>
    </w:p>
    <w:p>
      <w:pPr>
        <w:pStyle w:val="Normal"/>
        <w:rPr/>
      </w:pPr>
      <w:r>
        <w:rPr/>
      </w:r>
    </w:p>
    <w:p>
      <w:pPr>
        <w:pStyle w:val="Equation"/>
        <w:rPr/>
      </w:pPr>
      <w:r>
        <w:rPr/>
        <w:tab/>
      </w:r>
      <w:r>
        <w:rPr/>
      </w:r>
      <m:oMath xmlns:m="http://schemas.openxmlformats.org/officeDocument/2006/math">
        <m:r>
          <m:rPr>
            <m:lit/>
            <m:nor/>
          </m:rPr>
          <m:t xml:space="preserve">dS</m:t>
        </m:r>
        <m:r>
          <m:t xml:space="preserve">=</m:t>
        </m:r>
        <m:r>
          <m:t xml:space="preserve">α</m:t>
        </m:r>
        <m:r>
          <m:t xml:space="preserve">(</m:t>
        </m:r>
        <m:r>
          <m:t xml:space="preserve">μ</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r>
          <m:t xml:space="preserve">+</m:t>
        </m:r>
        <m:r>
          <m:t xml:space="preserve">κ</m:t>
        </m:r>
        <m:r>
          <m:rPr>
            <m:lit/>
            <m:nor/>
          </m:rPr>
          <m:t xml:space="preserve">Sdq</m:t>
        </m:r>
      </m:oMath>
      <w:r>
        <w:rPr/>
        <w:tab/>
        <w:t>(1)</w:t>
      </w:r>
    </w:p>
    <w:p>
      <w:pPr>
        <w:pStyle w:val="Normal"/>
        <w:rPr/>
      </w:pPr>
      <w:r>
        <w:rPr/>
      </w:r>
    </w:p>
    <w:p>
      <w:pPr>
        <w:pStyle w:val="Normal"/>
        <w:rPr/>
      </w:pPr>
      <w:r>
        <w:rPr/>
        <w:t xml:space="preserve">The proportional jump size is </w:t>
      </w:r>
      <w:r>
        <w:rPr>
          <w:rFonts w:cs="Symbol" w:ascii="Symbol" w:hAnsi="Symbol"/>
          <w:i/>
        </w:rPr>
        <w:sym w:font="Symbol" w:char="f06b"/>
      </w:r>
      <w:r>
        <w:rPr/>
        <w:t xml:space="preserve"> which is random and is determined by the natural logarithm of the proportional jumps being normally distributed.  </w:t>
      </w:r>
      <w:r>
        <w:rPr>
          <w:rFonts w:cs="Symbol" w:ascii="Symbol" w:hAnsi="Symbol"/>
          <w:i/>
          <w:sz w:val="20"/>
        </w:rPr>
      </w:r>
      <m:oMath xmlns:m="http://schemas.openxmlformats.org/officeDocument/2006/math">
        <m:acc>
          <m:accPr>
            <m:chr m:val="¯"/>
          </m:accPr>
          <m:e>
            <m:r>
              <m:t xml:space="preserve">κ</m:t>
            </m:r>
          </m:e>
        </m:acc>
      </m:oMath>
      <w:r>
        <w:rPr/>
        <w:t xml:space="preserve"> is the mean jump size and </w:t>
      </w:r>
      <w:r>
        <w:rPr>
          <w:rFonts w:cs="Symbol" w:ascii="Symbol" w:hAnsi="Symbol"/>
          <w:i/>
        </w:rPr>
        <w:sym w:font="Symbol" w:char="f067"/>
      </w:r>
      <w:r>
        <w:rPr/>
        <w:t xml:space="preserve"> is the standard deviation of the proportional jump size which we call the jump volatility.  The annualised frequency of jumps is given by </w:t>
      </w:r>
      <w:r>
        <w:rPr>
          <w:rFonts w:cs="Symbol" w:ascii="Symbol" w:hAnsi="Symbol"/>
          <w:i/>
        </w:rPr>
        <w:sym w:font="Symbol" w:char="f066"/>
      </w:r>
      <w:r>
        <w:rPr/>
        <w:t xml:space="preserve">, which is the average number of jumps per year.  </w:t>
      </w:r>
    </w:p>
    <w:p>
      <w:pPr>
        <w:pStyle w:val="Normal"/>
        <w:rPr/>
      </w:pPr>
      <w:r>
        <w:rPr/>
      </w:r>
    </w:p>
    <w:p>
      <w:pPr>
        <w:pStyle w:val="Normal"/>
        <w:rPr/>
      </w:pPr>
      <w:r>
        <w:rPr/>
        <w:t>For most numerical purposes we prefer to work with a variable which is the natural logarithm of the spot price ,</w:t>
      </w:r>
      <w:r>
        <w:rPr/>
      </w:r>
      <m:oMath xmlns:m="http://schemas.openxmlformats.org/officeDocument/2006/math">
        <m:r>
          <m:t xml:space="preserve">x</m:t>
        </m:r>
        <m:r>
          <m:t xml:space="preserve">=</m:t>
        </m:r>
        <m:r>
          <m:rPr>
            <m:lit/>
            <m:nor/>
          </m:rPr>
          <m:t xml:space="preserve">ln</m:t>
        </m:r>
        <m:r>
          <m:t xml:space="preserve">S</m:t>
        </m:r>
      </m:oMath>
      <w:r>
        <w:rPr/>
        <w:t xml:space="preserve">, rather than the spot price itself.  The </w:t>
      </w:r>
      <w:r>
        <w:rPr>
          <w:i/>
          <w:iCs/>
        </w:rPr>
        <w:t>MRJD</w:t>
      </w:r>
      <w:r>
        <w:rPr/>
        <w:t xml:space="preserve"> model described by equation (1) can be discretised in logarithmic form as follows;</w:t>
      </w:r>
    </w:p>
    <w:p>
      <w:pPr>
        <w:pStyle w:val="Normal"/>
        <w:rPr/>
      </w:pPr>
      <w:r>
        <w:rPr/>
      </w:r>
    </w:p>
    <w:p>
      <w:pPr>
        <w:pStyle w:val="Equation"/>
        <w:rPr/>
      </w:pPr>
      <w:r>
        <w:rPr/>
        <w:tab/>
      </w:r>
      <w:r>
        <w:rPr>
          <w:sz w:val="20"/>
        </w:rPr>
      </w:r>
      <m:oMath xmlns:m="http://schemas.openxmlformats.org/officeDocument/2006/math">
        <m:sSub>
          <m:e>
            <m:r>
              <m:t xml:space="preserve">Δx</m:t>
            </m:r>
          </m:e>
          <m:sub>
            <m:r>
              <m:t xml:space="preserve">i</m:t>
            </m:r>
          </m:sub>
        </m:sSub>
        <m:r>
          <m:t xml:space="preserve">=</m:t>
        </m:r>
        <m:d>
          <m:dPr>
            <m:begChr m:val="("/>
            <m:endChr m:val=")"/>
          </m:dPr>
          <m:e>
            <m:r>
              <m:t xml:space="preserve">α</m:t>
            </m:r>
            <m:r>
              <m:t xml:space="preserve">(</m:t>
            </m:r>
            <m:r>
              <m:t xml:space="preserve">μ</m:t>
            </m:r>
            <m:r>
              <m:t xml:space="preserve">−</m:t>
            </m:r>
            <m:sSub>
              <m:e>
                <m:r>
                  <m:t xml:space="preserve">x</m:t>
                </m:r>
              </m:e>
              <m:sub>
                <m:r>
                  <m:t xml:space="preserve">i</m:t>
                </m:r>
              </m:sub>
            </m:sSub>
            <m:r>
              <m:t xml:space="preserve">)</m:t>
            </m:r>
            <m:r>
              <m:t xml:space="preserve">−</m:t>
            </m:r>
            <m:f>
              <m:num>
                <m:r>
                  <m:t xml:space="preserve">1</m:t>
                </m:r>
              </m:num>
              <m:den>
                <m:r>
                  <m:t xml:space="preserve">2</m:t>
                </m:r>
              </m:den>
            </m:f>
            <m:sSup>
              <m:e>
                <m:r>
                  <m:t xml:space="preserve">σ</m:t>
                </m:r>
              </m:e>
              <m:sup>
                <m:r>
                  <m:t xml:space="preserve">2</m:t>
                </m:r>
              </m:sup>
            </m:sSup>
          </m:e>
        </m:d>
        <m:r>
          <m:t xml:space="preserve">Δt</m:t>
        </m:r>
        <m:r>
          <m:t xml:space="preserve">+</m:t>
        </m:r>
        <m:r>
          <m:t xml:space="preserve">σ</m:t>
        </m:r>
        <m:rad>
          <m:radPr>
            <m:degHide m:val="1"/>
          </m:radPr>
          <m:deg/>
          <m:e>
            <m:r>
              <m:t xml:space="preserve">Δt</m:t>
            </m:r>
          </m:e>
        </m:rad>
        <m:sSub>
          <m:e>
            <m:r>
              <m:t xml:space="preserve">ε</m:t>
            </m:r>
          </m:e>
          <m:sub>
            <m:r>
              <m:t xml:space="preserve">1</m:t>
            </m:r>
            <m:r>
              <m:t xml:space="preserve">i</m:t>
            </m:r>
          </m:sub>
        </m:sSub>
        <m:r>
          <m:t xml:space="preserve">+</m:t>
        </m:r>
        <m:d>
          <m:dPr>
            <m:begChr m:val="("/>
            <m:endChr m:val=")"/>
          </m:dPr>
          <m:e>
            <m:acc>
              <m:accPr>
                <m:chr m:val="¯"/>
              </m:accPr>
              <m:e>
                <m:r>
                  <m:t xml:space="preserve">κ</m:t>
                </m:r>
              </m:e>
            </m:acc>
            <m:r>
              <m:t xml:space="preserve">+</m:t>
            </m:r>
            <m:sSub>
              <m:e>
                <m:r>
                  <m:rPr>
                    <m:lit/>
                    <m:nor/>
                  </m:rPr>
                  <m:t xml:space="preserve">γε</m:t>
                </m:r>
              </m:e>
              <m:sub>
                <m:r>
                  <m:t xml:space="preserve">2</m:t>
                </m:r>
                <m:r>
                  <m:t xml:space="preserve">i</m:t>
                </m:r>
              </m:sub>
            </m:sSub>
          </m:e>
        </m:d>
        <m:r>
          <m:t xml:space="preserve">(</m:t>
        </m:r>
        <m:sSub>
          <m:e>
            <m:r>
              <m:t xml:space="preserve">u</m:t>
            </m:r>
          </m:e>
          <m:sub>
            <m:r>
              <m:t xml:space="preserve">i</m:t>
            </m:r>
          </m:sub>
        </m:sSub>
        <m:r>
          <m:t xml:space="preserve">&lt;</m:t>
        </m:r>
        <m:r>
          <m:t xml:space="preserve">φΔt</m:t>
        </m:r>
        <m:r>
          <m:t xml:space="preserve">)</m:t>
        </m:r>
      </m:oMath>
      <w:r>
        <w:rPr/>
        <w:tab/>
        <w:t>(2)</w:t>
      </w:r>
    </w:p>
    <w:p>
      <w:pPr>
        <w:pStyle w:val="Normal"/>
        <w:rPr/>
      </w:pPr>
      <w:r>
        <w:rPr/>
      </w:r>
    </w:p>
    <w:p>
      <w:pPr>
        <w:pStyle w:val="Normal"/>
        <w:rPr/>
      </w:pPr>
      <w:r>
        <w:rPr/>
        <w:t xml:space="preserve">where </w:t>
      </w:r>
      <w:r>
        <w:rPr>
          <w:rFonts w:cs="Symbol" w:ascii="Symbol" w:hAnsi="Symbol"/>
          <w:i/>
        </w:rPr>
        <w:sym w:font="Symbol" w:char="f065"/>
      </w:r>
      <w:r>
        <w:rPr>
          <w:vertAlign w:val="subscript"/>
        </w:rPr>
        <w:t>1</w:t>
      </w:r>
      <w:r>
        <w:rPr/>
        <w:t xml:space="preserve"> and </w:t>
      </w:r>
      <w:r>
        <w:rPr>
          <w:rFonts w:cs="Symbol" w:ascii="Symbol" w:hAnsi="Symbol"/>
          <w:i/>
        </w:rPr>
        <w:sym w:font="Symbol" w:char="f065"/>
      </w:r>
      <w:r>
        <w:rPr>
          <w:vertAlign w:val="subscript"/>
        </w:rPr>
        <w:t>2</w:t>
      </w:r>
      <w:r>
        <w:rPr/>
        <w:t xml:space="preserve"> are independent standard normal random variables and </w:t>
      </w:r>
      <w:r>
        <w:rPr>
          <w:i/>
        </w:rPr>
        <w:t>u</w:t>
      </w:r>
      <w:r>
        <w:rPr/>
        <w:t xml:space="preserve"> is a uniform (0,1) random sample.  The term ( </w:t>
      </w:r>
      <w:r>
        <w:rPr>
          <w:i/>
        </w:rPr>
        <w:t>u</w:t>
      </w:r>
      <w:r>
        <w:rPr>
          <w:i/>
          <w:vertAlign w:val="subscript"/>
        </w:rPr>
        <w:t>i</w:t>
      </w:r>
      <w:r>
        <w:rPr>
          <w:i/>
        </w:rPr>
        <w:t xml:space="preserve"> </w:t>
      </w:r>
      <w:r>
        <w:rPr/>
        <w:t xml:space="preserve">&lt; </w:t>
      </w:r>
      <w:r>
        <w:rPr>
          <w:rFonts w:cs="Symbol" w:ascii="Symbol" w:hAnsi="Symbol"/>
          <w:i/>
        </w:rPr>
        <w:sym w:font="Symbol" w:char="f066"/>
      </w:r>
      <w:r>
        <w:rPr/>
        <w:t xml:space="preserve"> </w:t>
      </w:r>
      <w:r>
        <w:rPr>
          <w:rFonts w:cs="Symbol" w:ascii="Symbol" w:hAnsi="Symbol"/>
        </w:rPr>
        <w:sym w:font="Symbol" w:char="f044"/>
      </w:r>
      <w:r>
        <w:rPr>
          <w:i/>
        </w:rPr>
        <w:t>t</w:t>
      </w:r>
      <w:r>
        <w:rPr/>
        <w:t xml:space="preserve"> ) is taken to be one if the condition is true and zero otherwise - this generates jumps randomly at the correct average frequency in the limit as </w:t>
      </w:r>
      <w:r>
        <w:rPr>
          <w:sz w:val="20"/>
        </w:rPr>
      </w:r>
      <m:oMath xmlns:m="http://schemas.openxmlformats.org/officeDocument/2006/math">
        <m:r>
          <m:t xml:space="preserve">Δt</m:t>
        </m:r>
      </m:oMath>
      <w:r>
        <w:rPr/>
        <w:t xml:space="preserve"> tends to zero.  When a jump occurs, its size is the mean jump size plus a normally distributed random amount with standard deviation </w:t>
      </w:r>
      <w:r>
        <w:rPr>
          <w:rFonts w:cs="Symbol" w:ascii="Symbol" w:hAnsi="Symbol"/>
          <w:i/>
        </w:rPr>
        <w:sym w:font="Symbol" w:char="f067"/>
      </w:r>
      <w:r>
        <w:rPr/>
        <w:t xml:space="preserve"> determined by </w:t>
      </w:r>
      <w:r>
        <w:rPr>
          <w:rFonts w:cs="Symbol" w:ascii="Symbol" w:hAnsi="Symbol"/>
          <w:i/>
        </w:rPr>
        <w:sym w:font="Symbol" w:char="f065"/>
      </w:r>
      <w:r>
        <w:rPr>
          <w:vertAlign w:val="subscript"/>
        </w:rPr>
        <w:t>2</w:t>
      </w:r>
      <w:r>
        <w:rPr/>
        <w:t xml:space="preserve">.  In order that the frequency of jumps is correctly simulated, the time step </w:t>
      </w:r>
      <w:r>
        <w:rPr>
          <w:rFonts w:cs="Symbol" w:ascii="Symbol" w:hAnsi="Symbol"/>
        </w:rPr>
        <w:sym w:font="Symbol" w:char="f044"/>
      </w:r>
      <w:r>
        <w:rPr>
          <w:i/>
        </w:rPr>
        <w:t xml:space="preserve">t </w:t>
      </w:r>
      <w:r>
        <w:rPr>
          <w:iCs/>
        </w:rPr>
        <w:t xml:space="preserve">must be small relative to the jump frequency such that </w:t>
      </w:r>
      <w:r>
        <w:rPr>
          <w:rFonts w:cs="Symbol" w:ascii="Symbol" w:hAnsi="Symbol"/>
          <w:i/>
        </w:rPr>
        <w:sym w:font="Symbol" w:char="f066"/>
      </w:r>
      <w:r>
        <w:rPr/>
        <w:t xml:space="preserve"> </w:t>
      </w:r>
      <w:r>
        <w:rPr>
          <w:rFonts w:cs="Symbol" w:ascii="Symbol" w:hAnsi="Symbol"/>
        </w:rPr>
        <w:sym w:font="Symbol" w:char="f044"/>
      </w:r>
      <w:r>
        <w:rPr>
          <w:i/>
        </w:rPr>
        <w:t>t</w:t>
      </w:r>
      <w:r>
        <w:rPr>
          <w:iCs/>
        </w:rPr>
        <w:t xml:space="preserve"> is much less than 1.  Once the parameters </w:t>
      </w:r>
      <w:r>
        <w:rPr>
          <w:rFonts w:cs="Symbol" w:ascii="Symbol" w:hAnsi="Symbol"/>
          <w:i/>
        </w:rPr>
        <w:sym w:font="Symbol" w:char="f066"/>
      </w:r>
      <w:r>
        <w:rPr>
          <w:iCs/>
        </w:rPr>
        <w:t xml:space="preserve">, </w:t>
      </w:r>
      <w:r>
        <w:rPr>
          <w:rFonts w:cs="Symbol" w:ascii="Symbol" w:hAnsi="Symbol"/>
          <w:i/>
          <w:sz w:val="20"/>
        </w:rPr>
      </w:r>
      <m:oMath xmlns:m="http://schemas.openxmlformats.org/officeDocument/2006/math">
        <m:acc>
          <m:accPr>
            <m:chr m:val="¯"/>
          </m:accPr>
          <m:e>
            <m:r>
              <m:t xml:space="preserve">κ</m:t>
            </m:r>
          </m:e>
        </m:acc>
      </m:oMath>
      <w:r>
        <w:rPr>
          <w:iCs/>
        </w:rPr>
        <w:t xml:space="preserve">, </w:t>
      </w:r>
      <w:r>
        <w:rPr>
          <w:rFonts w:cs="Symbol" w:ascii="Symbol" w:hAnsi="Symbol"/>
          <w:i/>
        </w:rPr>
        <w:sym w:font="Symbol" w:char="f073"/>
      </w:r>
      <w:r>
        <w:rPr>
          <w:iCs/>
        </w:rPr>
        <w:t xml:space="preserve">, </w:t>
      </w:r>
      <w:r>
        <w:rPr>
          <w:rFonts w:cs="Symbol" w:ascii="Symbol" w:hAnsi="Symbol"/>
          <w:i/>
        </w:rPr>
        <w:sym w:font="Symbol" w:char="f067"/>
      </w:r>
      <w:r>
        <w:rPr>
          <w:iCs/>
        </w:rPr>
        <w:t xml:space="preserve"> and </w:t>
      </w:r>
      <w:r>
        <w:rPr>
          <w:rFonts w:cs="Symbol" w:ascii="Symbol" w:hAnsi="Symbol"/>
        </w:rPr>
        <w:sym w:font="Symbol" w:char="f044"/>
      </w:r>
      <w:r>
        <w:rPr>
          <w:i/>
        </w:rPr>
        <w:t>t</w:t>
      </w:r>
      <w:r>
        <w:rPr>
          <w:iCs/>
        </w:rPr>
        <w:t xml:space="preserve"> have been chosen, at each time step, we first generate a uniform random number, </w:t>
      </w:r>
      <w:r>
        <w:rPr>
          <w:i/>
        </w:rPr>
        <w:t>u</w:t>
      </w:r>
      <w:r>
        <w:rPr>
          <w:iCs/>
        </w:rPr>
        <w:t xml:space="preserve">, in order to determine if a jump should occur.  If a jump is to occur we generate the normally distributed random number </w:t>
      </w:r>
      <w:r>
        <w:rPr>
          <w:rFonts w:cs="Symbol" w:ascii="Symbol" w:hAnsi="Symbol"/>
          <w:i/>
        </w:rPr>
        <w:sym w:font="Symbol" w:char="f065"/>
      </w:r>
      <w:r>
        <w:rPr>
          <w:vertAlign w:val="subscript"/>
        </w:rPr>
        <w:t>2</w:t>
      </w:r>
      <w:r>
        <w:rPr/>
        <w:t xml:space="preserve"> which determines the size of the jump.  Finally, we generate </w:t>
      </w:r>
      <w:r>
        <w:rPr>
          <w:iCs/>
        </w:rPr>
        <w:t xml:space="preserve">the normally distributed random number </w:t>
      </w:r>
      <w:r>
        <w:rPr>
          <w:rFonts w:cs="Symbol" w:ascii="Symbol" w:hAnsi="Symbol"/>
          <w:i/>
        </w:rPr>
        <w:sym w:font="Symbol" w:char="f065"/>
      </w:r>
      <w:r>
        <w:rPr>
          <w:vertAlign w:val="subscript"/>
        </w:rPr>
        <w:t>1</w:t>
      </w:r>
      <w:r>
        <w:rPr/>
        <w:t xml:space="preserve"> which determines the usual Geometric Brownian Motion random change in the spot price</w:t>
      </w:r>
      <w:r>
        <w:rPr>
          <w:iCs/>
        </w:rPr>
        <w:t>.</w:t>
      </w:r>
    </w:p>
    <w:p>
      <w:pPr>
        <w:pStyle w:val="Normal"/>
        <w:rPr>
          <w:iCs/>
        </w:rPr>
      </w:pPr>
      <w:r>
        <w:rPr>
          <w:iCs/>
        </w:rPr>
      </w:r>
    </w:p>
    <w:p>
      <w:pPr>
        <w:pStyle w:val="Normal"/>
        <w:rPr/>
      </w:pPr>
      <w:r>
        <w:rPr>
          <w:iCs/>
        </w:rPr>
        <w:t xml:space="preserve">The simulation of a single path, determined by equation (2) over a 1 year period using 10 time steps is shown in the lower set of boxed rows in Table 1.  The first row shows the time, the second shows the sample from the standard normal, </w:t>
      </w:r>
      <w:r>
        <w:rPr>
          <w:sz w:val="20"/>
        </w:rPr>
      </w:r>
      <m:oMath xmlns:m="http://schemas.openxmlformats.org/officeDocument/2006/math">
        <m:sSub>
          <m:e>
            <m:r>
              <m:t xml:space="preserve">ε</m:t>
            </m:r>
          </m:e>
          <m:sub>
            <m:r>
              <m:t xml:space="preserve">1</m:t>
            </m:r>
            <m:r>
              <m:t xml:space="preserve">i</m:t>
            </m:r>
          </m:sub>
        </m:sSub>
      </m:oMath>
      <w:r>
        <w:rPr>
          <w:iCs/>
        </w:rPr>
        <w:t xml:space="preserve">, which determines the diffusion volatility, the third shows an independent sample from the standard normal, </w:t>
      </w:r>
      <w:r>
        <w:rPr>
          <w:sz w:val="20"/>
        </w:rPr>
      </w:r>
      <m:oMath xmlns:m="http://schemas.openxmlformats.org/officeDocument/2006/math">
        <m:sSub>
          <m:e>
            <m:r>
              <m:t xml:space="preserve">ε</m:t>
            </m:r>
          </m:e>
          <m:sub>
            <m:r>
              <m:t xml:space="preserve">2</m:t>
            </m:r>
            <m:r>
              <m:t xml:space="preserve">i</m:t>
            </m:r>
          </m:sub>
        </m:sSub>
      </m:oMath>
      <w:r>
        <w:rPr>
          <w:iCs/>
        </w:rPr>
        <w:t xml:space="preserve">, which determines the jump size, which occurs dependent on the uniform random number, </w:t>
      </w:r>
      <w:r>
        <w:rPr>
          <w:sz w:val="20"/>
        </w:rPr>
      </w:r>
      <m:oMath xmlns:m="http://schemas.openxmlformats.org/officeDocument/2006/math">
        <m:sSub>
          <m:e>
            <m:r>
              <m:t xml:space="preserve">u</m:t>
            </m:r>
          </m:e>
          <m:sub>
            <m:r>
              <m:t xml:space="preserve">i</m:t>
            </m:r>
          </m:sub>
        </m:sSub>
      </m:oMath>
      <w:r>
        <w:rPr>
          <w:iCs/>
        </w:rPr>
        <w:t>, in the fourth row.  The fifth row is a check of the condition in equation (2), with the last row computing the evolution of the (log of) the spot price.  The ‘1’ in the 5</w:t>
      </w:r>
      <w:r>
        <w:rPr>
          <w:iCs/>
          <w:vertAlign w:val="superscript"/>
        </w:rPr>
        <w:t>th</w:t>
      </w:r>
      <w:r>
        <w:rPr>
          <w:iCs/>
        </w:rPr>
        <w:t xml:space="preserve"> row signifies a jump after the 6</w:t>
      </w:r>
      <w:r>
        <w:rPr>
          <w:iCs/>
          <w:vertAlign w:val="superscript"/>
        </w:rPr>
        <w:t>th</w:t>
      </w:r>
      <w:r>
        <w:rPr>
          <w:iCs/>
        </w:rPr>
        <w:t xml:space="preserve"> time step.  The parameters usd for the simulation are shown in the upper set of box rows in table 1.</w:t>
      </w:r>
    </w:p>
    <w:p>
      <w:pPr>
        <w:pStyle w:val="Normal"/>
        <w:rPr>
          <w:iCs/>
        </w:rPr>
      </w:pPr>
      <w:r>
        <w:rPr>
          <w:iCs/>
        </w:rPr>
      </w:r>
    </w:p>
    <w:p>
      <w:pPr>
        <w:pStyle w:val="Normal"/>
        <w:jc w:val="center"/>
        <w:rPr>
          <w:b/>
          <w:bCs/>
          <w:iCs/>
        </w:rPr>
      </w:pPr>
      <w:r>
        <w:rPr>
          <w:b/>
          <w:bCs/>
          <w:iCs/>
        </w:rPr>
        <w:t>Table 1 : Simulation of the MRJD model</w:t>
      </w:r>
    </w:p>
    <w:p>
      <w:pPr>
        <w:pStyle w:val="Normal"/>
        <w:rPr>
          <w:b/>
          <w:bCs/>
          <w:iCs/>
        </w:rPr>
      </w:pPr>
      <w:r>
        <w:rPr>
          <w:b/>
          <w:bCs/>
          <w:iCs/>
        </w:rPr>
        <w:drawing>
          <wp:anchor behindDoc="0" distT="0" distB="0" distL="114935" distR="114935" simplePos="0" locked="0" layoutInCell="0" allowOverlap="1" relativeHeight="20">
            <wp:simplePos x="0" y="0"/>
            <wp:positionH relativeFrom="column">
              <wp:posOffset>0</wp:posOffset>
            </wp:positionH>
            <wp:positionV relativeFrom="paragraph">
              <wp:posOffset>635</wp:posOffset>
            </wp:positionV>
            <wp:extent cx="5482590" cy="153035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17" r="-5" b="-17"/>
                    <a:stretch>
                      <a:fillRect/>
                    </a:stretch>
                  </pic:blipFill>
                  <pic:spPr bwMode="auto">
                    <a:xfrm>
                      <a:off x="0" y="0"/>
                      <a:ext cx="5482590" cy="1530350"/>
                    </a:xfrm>
                    <a:prstGeom prst="rect">
                      <a:avLst/>
                    </a:prstGeom>
                    <a:noFill/>
                  </pic:spPr>
                </pic:pic>
              </a:graphicData>
            </a:graphic>
          </wp:anchor>
        </w:drawing>
      </w:r>
    </w:p>
    <w:p>
      <w:pPr>
        <w:pStyle w:val="Normal"/>
        <w:rPr/>
      </w:pPr>
      <w:r>
        <w:rPr>
          <w:iCs/>
        </w:rPr>
        <w:t xml:space="preserve">Table 1 demonstrates a very simple example for illustrative purposes.  </w:t>
      </w:r>
      <w:r>
        <w:rPr/>
        <w:t xml:space="preserve">Figure 2 shows a full simulated path for the model represented by equation (1) with half hourly time steps plus diffusion volatility, jump volatility, and mean reversion estimated for NSW data (see the Dec 2000 </w:t>
      </w:r>
      <w:r>
        <w:rPr>
          <w:i/>
          <w:iCs/>
        </w:rPr>
        <w:t>EPRM</w:t>
      </w:r>
      <w:r>
        <w:rPr/>
        <w:t xml:space="preserve"> article for examples of estimating these parameters) for a 3 month time period. The jumps are indicated by the bold lines with diamonds at each end.</w:t>
      </w:r>
    </w:p>
    <w:p>
      <w:pPr>
        <w:pStyle w:val="Normal"/>
        <w:rPr/>
      </w:pPr>
      <w:r>
        <w:rPr/>
      </w:r>
    </w:p>
    <w:p>
      <w:pPr>
        <w:pStyle w:val="Normal"/>
        <w:jc w:val="center"/>
        <w:rPr>
          <w:b/>
        </w:rPr>
      </w:pPr>
      <w:r>
        <w:rPr>
          <w:b/>
        </w:rPr>
        <w:t>Figure 2 : A Simulated Mean Reverting Jump-Diffusion Path</w:t>
      </w:r>
    </w:p>
    <w:p>
      <w:pPr>
        <w:pStyle w:val="TOC1"/>
        <w:rPr/>
      </w:pPr>
      <w:r>
        <w:rPr/>
        <w:drawing>
          <wp:anchor behindDoc="0" distT="0" distB="0" distL="114935" distR="114935" simplePos="0" locked="0" layoutInCell="0" allowOverlap="1" relativeHeight="21">
            <wp:simplePos x="0" y="0"/>
            <wp:positionH relativeFrom="column">
              <wp:posOffset>0</wp:posOffset>
            </wp:positionH>
            <wp:positionV relativeFrom="paragraph">
              <wp:posOffset>635</wp:posOffset>
            </wp:positionV>
            <wp:extent cx="5482590" cy="336613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6" r="-4" b="-6"/>
                    <a:stretch>
                      <a:fillRect/>
                    </a:stretch>
                  </pic:blipFill>
                  <pic:spPr bwMode="auto">
                    <a:xfrm>
                      <a:off x="0" y="0"/>
                      <a:ext cx="5482590" cy="3366135"/>
                    </a:xfrm>
                    <a:prstGeom prst="rect">
                      <a:avLst/>
                    </a:prstGeom>
                    <a:noFill/>
                  </pic:spPr>
                </pic:pic>
              </a:graphicData>
            </a:graphic>
          </wp:anchor>
        </w:drawing>
      </w:r>
    </w:p>
    <w:p>
      <w:pPr>
        <w:pStyle w:val="Normal"/>
        <w:rPr>
          <w:iCs/>
        </w:rPr>
      </w:pPr>
      <w:r>
        <w:rPr>
          <w:iCs/>
        </w:rPr>
        <w:t>Derivative pricing via simulation for the model represented by equations (1) and (2) then proceeds exactly as in our last article, as the discounted expectation of the terminal payoff with the expectation evaluated as the average of the simulated payoffs – (see equation (2) from the January article).  For example, table 1 also shows the payoff to the single simulated path to a 1 year European call option, with strike price K = 35, on the spot asset price which has an original value of $20.  At the maturity of the option (time t= 1) the spot price, represented by ST in table 1, is recovered as 40.38 = exp(3.698) and the payoff (CT) evaluated as the difference between this and the strike price.  We should also note that the comments in our last article regarding variance reduction, computation of hedge sensitivities, and random number generation also hold here.</w:t>
      </w:r>
    </w:p>
    <w:p>
      <w:pPr>
        <w:pStyle w:val="Normal"/>
        <w:rPr>
          <w:iCs/>
        </w:rPr>
      </w:pPr>
      <w:r>
        <w:rPr>
          <w:iCs/>
        </w:rPr>
      </w:r>
    </w:p>
    <w:p>
      <w:pPr>
        <w:pStyle w:val="Normal"/>
        <w:rPr/>
      </w:pPr>
      <w:r>
        <w:rPr/>
        <w:t xml:space="preserve">We can illustrate a more realistic example of simulating the </w:t>
      </w:r>
      <w:r>
        <w:rPr>
          <w:i/>
          <w:iCs/>
        </w:rPr>
        <w:t>MRJD</w:t>
      </w:r>
      <w:r>
        <w:rPr/>
        <w:t xml:space="preserve"> model by using the simulated electricity path of figure 2.  The price spikes in the electricity market have given rise to the demand for options that cap the </w:t>
      </w:r>
      <w:r>
        <w:rPr>
          <w:i/>
          <w:iCs/>
        </w:rPr>
        <w:t>n</w:t>
      </w:r>
      <w:r>
        <w:rPr/>
        <w:t xml:space="preserve"> highest price spikes over a given period.  For example, consider a 3 month option on the NSW half hourly pool price that caps the 5 highest prices at A$50.  Figure 2 represents the path of the underlying asset under a single path, where we have marked the highest prices.  The payoff to the option under this simulation would therefore be;</w:t>
      </w:r>
    </w:p>
    <w:p>
      <w:pPr>
        <w:pStyle w:val="Normal"/>
        <w:rPr/>
      </w:pPr>
      <w:r>
        <w:rPr/>
      </w:r>
    </w:p>
    <w:p>
      <w:pPr>
        <w:pStyle w:val="Equation"/>
        <w:rPr/>
      </w:pPr>
      <w:r>
        <w:rPr/>
        <w:tab/>
      </w:r>
      <w:r>
        <w:rPr>
          <w:sz w:val="20"/>
        </w:rPr>
      </w:r>
      <m:oMath xmlns:m="http://schemas.openxmlformats.org/officeDocument/2006/math">
        <m:r>
          <m:rPr>
            <m:lit/>
            <m:nor/>
          </m:rPr>
          <m:t xml:space="preserve">max</m:t>
        </m:r>
        <m:d>
          <m:dPr>
            <m:begChr m:val="{"/>
            <m:endChr m:val="}"/>
          </m:dPr>
          <m:e>
            <m:r>
              <m:t xml:space="preserve">0</m:t>
            </m:r>
            <m:r>
              <m:t xml:space="preserve">,</m:t>
            </m:r>
            <m:r>
              <m:t xml:space="preserve">(</m:t>
            </m:r>
            <m:r>
              <m:rPr>
                <m:lit/>
                <m:nor/>
              </m:rPr>
              <m:t xml:space="preserve">272</m:t>
            </m:r>
            <m:r>
              <m:rPr>
                <m:lit/>
                <m:nor/>
              </m:rPr>
              <m:t xml:space="preserve">.</m:t>
            </m:r>
            <m:r>
              <m:rPr>
                <m:lit/>
                <m:nor/>
              </m:rPr>
              <m:t xml:space="preserve">70</m:t>
            </m:r>
            <m:r>
              <m:t xml:space="preserve">+</m:t>
            </m:r>
            <m:r>
              <m:rPr>
                <m:lit/>
                <m:nor/>
              </m:rPr>
              <m:t xml:space="preserve">175</m:t>
            </m:r>
            <m:r>
              <m:rPr>
                <m:lit/>
                <m:nor/>
              </m:rPr>
              <m:t xml:space="preserve">.</m:t>
            </m:r>
            <m:r>
              <m:rPr>
                <m:lit/>
                <m:nor/>
              </m:rPr>
              <m:t xml:space="preserve">74</m:t>
            </m:r>
            <m:r>
              <m:t xml:space="preserve">+</m:t>
            </m:r>
            <m:r>
              <m:rPr>
                <m:lit/>
                <m:nor/>
              </m:rPr>
              <m:t xml:space="preserve">142</m:t>
            </m:r>
            <m:r>
              <m:rPr>
                <m:lit/>
                <m:nor/>
              </m:rPr>
              <m:t xml:space="preserve">.</m:t>
            </m:r>
            <m:r>
              <m:rPr>
                <m:lit/>
                <m:nor/>
              </m:rPr>
              <m:t xml:space="preserve">58</m:t>
            </m:r>
            <m:r>
              <m:t xml:space="preserve">+</m:t>
            </m:r>
            <m:r>
              <m:rPr>
                <m:lit/>
                <m:nor/>
              </m:rPr>
              <m:t xml:space="preserve">118</m:t>
            </m:r>
            <m:r>
              <m:rPr>
                <m:lit/>
                <m:nor/>
              </m:rPr>
              <m:t xml:space="preserve">.</m:t>
            </m:r>
            <m:r>
              <m:rPr>
                <m:lit/>
                <m:nor/>
              </m:rPr>
              <m:t xml:space="preserve">61</m:t>
            </m:r>
            <m:r>
              <m:t xml:space="preserve">+</m:t>
            </m:r>
            <m:r>
              <m:rPr>
                <m:lit/>
                <m:nor/>
              </m:rPr>
              <m:t xml:space="preserve">114</m:t>
            </m:r>
            <m:r>
              <m:rPr>
                <m:lit/>
                <m:nor/>
              </m:rPr>
              <m:t xml:space="preserve">.</m:t>
            </m:r>
            <m:r>
              <m:rPr>
                <m:lit/>
                <m:nor/>
              </m:rPr>
              <m:t xml:space="preserve">35</m:t>
            </m:r>
            <m:r>
              <m:t xml:space="preserve">)</m:t>
            </m:r>
            <m:r>
              <m:t xml:space="preserve">−</m:t>
            </m:r>
            <m:r>
              <m:rPr>
                <m:lit/>
                <m:nor/>
              </m:rPr>
              <m:t xml:space="preserve">50</m:t>
            </m:r>
          </m:e>
        </m:d>
        <m:r>
          <m:t xml:space="preserve">=</m:t>
        </m:r>
        <m:r>
          <m:rPr>
            <m:lit/>
            <m:nor/>
          </m:rPr>
          <m:t xml:space="preserve">574</m:t>
        </m:r>
        <m:r>
          <m:rPr>
            <m:lit/>
            <m:nor/>
          </m:rPr>
          <m:t xml:space="preserve">.</m:t>
        </m:r>
        <m:r>
          <m:rPr>
            <m:lit/>
            <m:nor/>
          </m:rPr>
          <m:t xml:space="preserve">00</m:t>
        </m:r>
      </m:oMath>
    </w:p>
    <w:p>
      <w:pPr>
        <w:pStyle w:val="Normal"/>
        <w:rPr>
          <w:lang w:val="en-CA" w:eastAsia="en-CA"/>
        </w:rPr>
      </w:pPr>
      <w:r>
        <w:rPr>
          <w:lang w:val="en-CA" w:eastAsia="en-CA"/>
        </w:rPr>
      </w:r>
    </w:p>
    <w:p>
      <w:pPr>
        <w:pStyle w:val="Normal"/>
        <w:rPr>
          <w:lang w:val="en-CA" w:eastAsia="en-CA"/>
        </w:rPr>
      </w:pPr>
      <w:r>
        <w:rPr>
          <w:lang w:val="en-CA" w:eastAsia="en-CA"/>
        </w:rPr>
        <w:t>Although we have concentrated in recent articles on simulation in spot price based models the principals carry relatively straightforwardly to multi-factor forward curve models – a topic we will return to in future articles.</w:t>
      </w:r>
    </w:p>
    <w:p>
      <w:pPr>
        <w:pStyle w:val="Normal"/>
        <w:rPr>
          <w:lang w:val="en-CA" w:eastAsia="en-CA"/>
        </w:rPr>
      </w:pPr>
      <w:r>
        <w:rPr>
          <w:lang w:val="en-CA" w:eastAsia="en-CA"/>
        </w:rPr>
      </w:r>
    </w:p>
    <w:p>
      <w:pPr>
        <w:pStyle w:val="Normal"/>
        <w:spacing w:lineRule="auto" w:line="240"/>
        <w:rPr>
          <w:b/>
          <w:sz w:val="20"/>
        </w:rPr>
      </w:pPr>
      <w:r>
        <w:rPr>
          <w:b/>
          <w:sz w:val="20"/>
        </w:rPr>
        <w:t>Les Clewlow and Chris Strickland are Principals of Lacima Group, and are affiliated to the School of Finance and Economics, University of Technology Sydney, Australia and the Financial Options Research Centre,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6">
        <w:r>
          <w:rPr>
            <w:rStyle w:val="Hyperlink"/>
            <w:b/>
            <w:sz w:val="20"/>
          </w:rPr>
          <w:t>contact@lacimagroup.com</w:t>
        </w:r>
      </w:hyperlink>
    </w:p>
    <w:p>
      <w:pPr>
        <w:pStyle w:val="Normal"/>
        <w:spacing w:lineRule="auto" w:line="240"/>
        <w:rPr>
          <w:b/>
          <w:sz w:val="20"/>
        </w:rPr>
      </w:pPr>
      <w:hyperlink r:id="rId7">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2000, “</w:t>
      </w:r>
      <w:r>
        <w:rPr>
          <w:i/>
          <w:iCs/>
        </w:rPr>
        <w:t>Energy Derivatives: Pricing and Risk Management</w:t>
      </w:r>
      <w:r>
        <w:rPr/>
        <w:t>”, Lacima Publications.</w:t>
      </w:r>
    </w:p>
    <w:p>
      <w:pPr>
        <w:pStyle w:val="Normal"/>
        <w:spacing w:lineRule="auto" w:line="240"/>
        <w:rPr/>
      </w:pPr>
      <w:r>
        <w:rPr/>
      </w:r>
    </w:p>
    <w:p>
      <w:pPr>
        <w:pStyle w:val="Normal"/>
        <w:spacing w:lineRule="auto" w:line="240"/>
        <w:rPr>
          <w:lang w:val="en-CA" w:eastAsia="en-CA"/>
        </w:rPr>
      </w:pPr>
      <w:r>
        <w:rPr>
          <w:lang w:val="en-CA" w:eastAsia="en-CA"/>
        </w:rPr>
      </w:r>
    </w:p>
    <w:sectPr>
      <w:headerReference w:type="default" r:id="rId8"/>
      <w:footerReference w:type="default" r:id="rId9"/>
      <w:footnotePr>
        <w:numFmt w:val="decimal"/>
      </w:footnotePr>
      <w:type w:val="nextPage"/>
      <w:pgSz w:w="11906" w:h="16838"/>
      <w:pgMar w:left="1418" w:right="1418" w:gutter="0" w:header="720" w:top="1418" w:footer="720" w:bottom="141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EPRM_05_sim_mrjd.doc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58420" cy="134620"/>
              <wp:effectExtent l="0" t="0" r="0" b="0"/>
              <wp:wrapSquare wrapText="bothSides"/>
              <wp:docPr id="5"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based on chapter 7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Simulating MRJD</w:t>
      <w:tab/>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 w:hAnsi="Palatino" w:eastAsia="Times New Roman" w:cs="Palatino"/>
      <w:color w:val="auto"/>
      <w:sz w:val="22"/>
      <w:szCs w:val="20"/>
      <w:lang w:val="en-GB" w:bidi="ar-SA" w:eastAsia="zh-CN"/>
    </w:rPr>
  </w:style>
  <w:style w:type="paragraph" w:styleId="P2">
    <w:name w:val="P2"/>
    <w:qFormat/>
    <w:pPr>
      <w:widowControl/>
      <w:bidi w:val="0"/>
      <w:spacing w:lineRule="atLeast" w:line="480"/>
      <w:ind w:hanging="0" w:start="1440" w:end="0"/>
    </w:pPr>
    <w:rPr>
      <w:rFonts w:ascii="Palatino" w:hAnsi="Palatino" w:eastAsia="Times New Roman" w:cs="Palatino"/>
      <w:color w:val="0000FF"/>
      <w:sz w:val="22"/>
      <w:szCs w:val="20"/>
      <w:lang w:val="en-GB" w:bidi="ar-SA" w:eastAsia="zh-CN"/>
    </w:rPr>
  </w:style>
  <w:style w:type="paragraph" w:styleId="P3">
    <w:name w:val="P3"/>
    <w:qFormat/>
    <w:pPr>
      <w:widowControl/>
      <w:bidi w:val="0"/>
      <w:spacing w:lineRule="atLeast" w:line="480"/>
      <w:ind w:hanging="0" w:start="2160" w:end="0"/>
    </w:pPr>
    <w:rPr>
      <w:rFonts w:ascii="Palatino" w:hAnsi="Palatino" w:eastAsia="Times New Roman" w:cs="Palatino"/>
      <w:color w:val="0000FF"/>
      <w:sz w:val="22"/>
      <w:szCs w:val="20"/>
      <w:lang w:val="en-GB" w:bidi="ar-SA" w:eastAsia="zh-CN"/>
    </w:rPr>
  </w:style>
  <w:style w:type="paragraph" w:styleId="P4">
    <w:name w:val="P4"/>
    <w:qFormat/>
    <w:pPr>
      <w:widowControl/>
      <w:bidi w:val="0"/>
      <w:spacing w:lineRule="atLeast" w:line="480"/>
      <w:ind w:hanging="0" w:start="2880" w:end="0"/>
    </w:pPr>
    <w:rPr>
      <w:rFonts w:ascii="Palatino" w:hAnsi="Palatino" w:eastAsia="Times New Roman" w:cs="Palatino"/>
      <w:color w:val="0000FF"/>
      <w:sz w:val="22"/>
      <w:szCs w:val="20"/>
      <w:lang w:val="en-GB" w:bidi="ar-SA" w:eastAsia="zh-CN"/>
    </w:rPr>
  </w:style>
  <w:style w:type="paragraph" w:styleId="P5">
    <w:name w:val="P5"/>
    <w:qFormat/>
    <w:pPr>
      <w:widowControl/>
      <w:bidi w:val="0"/>
      <w:spacing w:lineRule="atLeast" w:line="480"/>
      <w:ind w:hanging="0" w:start="3600" w:end="0"/>
    </w:pPr>
    <w:rPr>
      <w:rFonts w:ascii="Palatino" w:hAnsi="Palatino" w:eastAsia="Times New Roman" w:cs="Palatino"/>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 w:hAnsi="Palatino" w:eastAsia="Times New Roman" w:cs="Palatino"/>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 w:hAnsi="Palatino" w:eastAsia="Times New Roman" w:cs="Palatino"/>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bidi w:val="0"/>
      <w:jc w:val="center"/>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bidi w:val="0"/>
      <w:jc w:val="center"/>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 w:hAnsi="Palatino" w:eastAsia="Times New Roman" w:cs="Palatino"/>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 w:hAnsi="Palatino" w:eastAsia="Times New Roman" w:cs="Palatino"/>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 w:hAnsi="Palatino" w:eastAsia="Times New Roman" w:cs="Palatino"/>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 w:hAnsi="Palatino" w:eastAsia="Times New Roman" w:cs="Palatino"/>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 w:hAnsi="Palatino" w:eastAsia="Times New Roman" w:cs="Palatino"/>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hyperlink" Target="mailto:contact@lacimagroup.com" TargetMode="External"/><Relationship Id="rId7" Type="http://schemas.openxmlformats.org/officeDocument/2006/relationships/hyperlink" Target="http://www.lacima.co.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2001-01-07T21:08:00Z</dcterms:created>
  <dc:creator>Chris Strickland</dc:creator>
  <dc:description/>
  <dc:language>en-CA</dc:language>
  <cp:lastModifiedBy>Chris Strickland</cp:lastModifiedBy>
  <cp:lastPrinted>2001-01-11T20:27:00Z</cp:lastPrinted>
  <dcterms:modified xsi:type="dcterms:W3CDTF">2001-01-11T07:25:00Z</dcterms:modified>
  <cp:revision>16</cp:revision>
  <dc:subject/>
  <dc:title>3	Multi-Factor Versions of the HJM Approach</dc:title>
</cp:coreProperties>
</file>