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Jumps in Energy Prices – Modelling and Estimation</w:t>
      </w:r>
      <w:r>
        <w:rPr>
          <w:rStyle w:val="FootnoteCharacters"/>
          <w:rStyle w:val="FootnoteReference"/>
          <w:sz w:val="32"/>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r>
    </w:p>
    <w:p>
      <w:pPr>
        <w:pStyle w:val="Normal"/>
        <w:rPr/>
      </w:pPr>
      <w:r>
        <w:rPr/>
        <w:t>Energy prices often exhibit sudden, unexpected and discontinuous changes.  Jump behaviour, or ‘gapping’, is driven in many cases by fluctuations in demand and low elasticity of supply, reflecting rigidities in the transportation and transmission system and limited inventories.  Particularly good examples of this occur in electricity markets.  Figure 1 plots the Australian New South Wales (NSW) electricity pool price every half hour for the calendar year 1999.</w:t>
      </w:r>
    </w:p>
    <w:p>
      <w:pPr>
        <w:pStyle w:val="Normal"/>
        <w:rPr/>
      </w:pPr>
      <w:r>
        <w:rPr/>
      </w:r>
    </w:p>
    <w:p>
      <w:pPr>
        <w:pStyle w:val="Normal"/>
        <w:jc w:val="center"/>
        <w:rPr>
          <w:b/>
        </w:rPr>
      </w:pPr>
      <w:r>
        <w:rPr>
          <w:b/>
        </w:rPr>
        <w:t xml:space="preserve">Figure 1 : Australian NSW Electricity Pool Prices for the Period </w:t>
      </w:r>
    </w:p>
    <w:p>
      <w:pPr>
        <w:pStyle w:val="Normal"/>
        <w:jc w:val="center"/>
        <w:rPr>
          <w:b/>
        </w:rPr>
      </w:pPr>
      <w:r>
        <w:rPr>
          <w:b/>
        </w:rPr>
        <w:t>1 January 1999 to 31 December 1999</w:t>
      </w:r>
    </w:p>
    <w:p>
      <w:pPr>
        <w:pStyle w:val="Normal"/>
        <w:rPr>
          <w:b/>
        </w:rPr>
      </w:pPr>
      <w:r>
        <w:rPr>
          <w:b/>
        </w:rPr>
      </w:r>
    </w:p>
    <w:p>
      <w:pPr>
        <w:pStyle w:val="Normal"/>
        <w:rPr/>
      </w:pPr>
      <w:r>
        <w:rPr/>
        <w:t xml:space="preserve">Figure 1 shows that the presence of jumps is a significant component of the behaviour of the NSW pool price.  However, it should also be noted that the price does not stay at the level to which it jumps, but, after a jump, rapidly reverts to its long-term level.  This type of behaviour can be modelled by using a combination of mean reverting and jump processes.  A simple and realistic model for the spot price, which captures both these effects is an extension of the mean reversion model we discussed in last months </w:t>
      </w:r>
      <w:r>
        <w:rPr>
          <w:i/>
          <w:iCs/>
        </w:rPr>
        <w:t>EPRM</w:t>
      </w:r>
      <w:r>
        <w:rPr/>
        <w:t xml:space="preserve"> and which can be described by the following mean reverting jump diffusion (MRJD) model;</w:t>
      </w:r>
    </w:p>
    <w:p>
      <w:pPr>
        <w:pStyle w:val="Normal"/>
        <w:rPr/>
      </w:pPr>
      <w:r>
        <w:rPr/>
      </w:r>
    </w:p>
    <w:p>
      <w:pPr>
        <w:pStyle w:val="Equation"/>
        <w:rPr/>
      </w:pPr>
      <w:r>
        <w:rPr/>
        <w:tab/>
      </w:r>
      <w:r>
        <w:rPr/>
      </w:r>
      <m:oMath xmlns:m="http://schemas.openxmlformats.org/officeDocument/2006/math">
        <m:r>
          <m:rPr>
            <m:lit/>
            <m:nor/>
          </m:rPr>
          <m:t xml:space="preserve">dS</m:t>
        </m:r>
        <m:r>
          <m:t xml:space="preserve">=</m:t>
        </m:r>
        <m:r>
          <m:t xml:space="preserve">α</m:t>
        </m:r>
        <m:r>
          <m:t xml:space="preserve">(</m:t>
        </m:r>
        <m:r>
          <m:t xml:space="preserve">μ</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r>
          <m:t xml:space="preserve">+</m:t>
        </m:r>
        <m:r>
          <m:t xml:space="preserve">κ</m:t>
        </m:r>
        <m:r>
          <m:rPr>
            <m:lit/>
            <m:nor/>
          </m:rPr>
          <m:t xml:space="preserve">Sdq</m:t>
        </m:r>
      </m:oMath>
      <w:r>
        <w:rPr/>
        <w:tab/>
        <w:t>(1)</w:t>
      </w:r>
    </w:p>
    <w:p>
      <w:pPr>
        <w:pStyle w:val="Normal"/>
        <w:rPr/>
      </w:pPr>
      <w:r>
        <w:rPr/>
      </w:r>
    </w:p>
    <w:p>
      <w:pPr>
        <w:pStyle w:val="Normal"/>
        <w:rPr/>
      </w:pPr>
      <w:r>
        <w:rPr/>
        <w:t xml:space="preserve">The proportional jump size is </w:t>
      </w:r>
      <w:r>
        <w:rPr>
          <w:rFonts w:cs="Symbol" w:ascii="Symbol" w:hAnsi="Symbol"/>
          <w:i/>
        </w:rPr>
        <w:sym w:font="Symbol" w:char="f06b"/>
      </w:r>
      <w:r>
        <w:rPr/>
        <w:t xml:space="preserve"> which is random and is determined by the natural logarithm of the proportional jumps being normally distributed;</w:t>
      </w:r>
    </w:p>
    <w:p>
      <w:pPr>
        <w:pStyle w:val="Normal"/>
        <w:rPr/>
      </w:pPr>
      <w:r>
        <w:rPr/>
      </w:r>
    </w:p>
    <w:p>
      <w:pPr>
        <w:pStyle w:val="Equation"/>
        <w:rPr/>
      </w:pPr>
      <w:r>
        <w:rPr/>
        <w:tab/>
      </w:r>
      <w:r>
        <w:rPr>
          <w:sz w:val="20"/>
        </w:rPr>
      </w:r>
      <m:oMath xmlns:m="http://schemas.openxmlformats.org/officeDocument/2006/math">
        <m:r>
          <m:t xml:space="preserve"> </m:t>
        </m:r>
        <m:r>
          <m:rPr>
            <m:lit/>
            <m:nor/>
          </m:rPr>
          <m:t xml:space="preserve">ln</m:t>
        </m:r>
        <m:r>
          <m:t xml:space="preserve">(</m:t>
        </m:r>
        <m:r>
          <m:t xml:space="preserve">1</m:t>
        </m:r>
        <m:r>
          <m:t xml:space="preserve">+</m:t>
        </m:r>
        <m:r>
          <m:t xml:space="preserve">κ</m:t>
        </m:r>
        <m:r>
          <m:t xml:space="preserve">)</m:t>
        </m:r>
        <m:r>
          <m:rPr>
            <m:lit/>
            <m:nor/>
          </m:rPr>
          <m:t xml:space="preserve">~</m:t>
        </m:r>
        <m:r>
          <m:t xml:space="preserve">N</m:t>
        </m:r>
        <m:d>
          <m:dPr>
            <m:begChr m:val="("/>
            <m:endChr m:val=")"/>
          </m:dPr>
          <m:e>
            <m:r>
              <m:rPr>
                <m:lit/>
                <m:nor/>
              </m:rPr>
              <m:t xml:space="preserve">ln</m:t>
            </m:r>
            <m:r>
              <m:t xml:space="preserve">(</m:t>
            </m:r>
            <m:r>
              <m:t xml:space="preserve">1</m:t>
            </m:r>
            <m:r>
              <m:t xml:space="preserve">+</m:t>
            </m:r>
            <m:acc>
              <m:accPr>
                <m:chr m:val="¯"/>
              </m:accPr>
              <m:e>
                <m:r>
                  <m:t xml:space="preserve">κ</m:t>
                </m:r>
              </m:e>
            </m:acc>
            <m:r>
              <m:t xml:space="preserve">)</m:t>
            </m:r>
            <m:r>
              <m:t xml:space="preserve">−</m:t>
            </m:r>
            <m:f>
              <m:num>
                <m:r>
                  <m:t xml:space="preserve">1</m:t>
                </m:r>
              </m:num>
              <m:den>
                <m:r>
                  <m:t xml:space="preserve">2</m:t>
                </m:r>
              </m:den>
            </m:f>
            <m:sSup>
              <m:e>
                <m:r>
                  <m:t xml:space="preserve">γ</m:t>
                </m:r>
              </m:e>
              <m:sup>
                <m:r>
                  <m:t xml:space="preserve">2</m:t>
                </m:r>
              </m:sup>
            </m:sSup>
            <m:r>
              <m:t xml:space="preserve">,</m:t>
            </m:r>
            <m:sSup>
              <m:e>
                <m:r>
                  <m:t xml:space="preserve">γ</m:t>
                </m:r>
              </m:e>
              <m:sup>
                <m:r>
                  <m:t xml:space="preserve">2</m:t>
                </m:r>
              </m:sup>
            </m:sSup>
          </m:e>
        </m:d>
      </m:oMath>
      <w:r>
        <w:rPr/>
        <w:tab/>
        <w:t>(2)</w:t>
      </w:r>
    </w:p>
    <w:p>
      <w:pPr>
        <w:pStyle w:val="Normal"/>
        <w:rPr/>
      </w:pPr>
      <w:r>
        <w:rPr/>
      </w:r>
    </w:p>
    <w:p>
      <w:pPr>
        <w:pStyle w:val="Normal"/>
        <w:rPr/>
      </w:pPr>
      <w:r>
        <w:rPr/>
        <w:t xml:space="preserve">where </w:t>
      </w:r>
      <w:r>
        <w:rPr>
          <w:rFonts w:cs="Symbol" w:ascii="Symbol" w:hAnsi="Symbol"/>
          <w:i/>
          <w:sz w:val="20"/>
        </w:rPr>
      </w:r>
      <m:oMath xmlns:m="http://schemas.openxmlformats.org/officeDocument/2006/math">
        <m:acc>
          <m:accPr>
            <m:chr m:val="¯"/>
          </m:accPr>
          <m:e>
            <m:r>
              <m:t xml:space="preserve">κ</m:t>
            </m:r>
          </m:e>
        </m:acc>
      </m:oMath>
      <w:r>
        <w:rPr/>
        <w:t xml:space="preserve"> is the mean jump size and </w:t>
      </w:r>
      <w:r>
        <w:rPr>
          <w:rFonts w:cs="Symbol" w:ascii="Symbol" w:hAnsi="Symbol"/>
          <w:i/>
        </w:rPr>
        <w:sym w:font="Symbol" w:char="f067"/>
      </w:r>
      <w:r>
        <w:rPr/>
        <w:t xml:space="preserve"> is the standard deviation of the proportional jump size which we call the jump volatility.  The annualised frequency of jumps is given by </w:t>
      </w:r>
      <w:r>
        <w:rPr>
          <w:rFonts w:cs="Symbol" w:ascii="Symbol" w:hAnsi="Symbol"/>
          <w:i/>
        </w:rPr>
        <w:sym w:font="Symbol" w:char="f066"/>
      </w:r>
      <w:r>
        <w:rPr/>
        <w:t xml:space="preserve">, which is the average number of jumps per year.  The jump process is a discrete time process – jumps do not occur continuously but at specific instants of time.  Therefore, for typical jump frequencies, most of the time </w:t>
      </w:r>
      <w:r>
        <w:rPr>
          <w:i/>
          <w:iCs/>
        </w:rPr>
        <w:t>dq</w:t>
      </w:r>
      <w:r>
        <w:rPr/>
        <w:t xml:space="preserve"> = 0 and only takes the value 1 when a randomly timed jump occurs.  When no jump is occurring the spot price behaviour is identical to the simple mean reverting process and is only different when a jump occurs.  Similarly, if the jump volatility were very small, so that even if jumps were very frequent their size would be insignificant, then this would again result in a spot price behaviour virtually identical to that described in our last article.</w:t>
      </w:r>
    </w:p>
    <w:p>
      <w:pPr>
        <w:pStyle w:val="Normal"/>
        <w:rPr/>
      </w:pPr>
      <w:r>
        <w:rPr/>
      </w:r>
    </w:p>
    <w:p>
      <w:pPr>
        <w:pStyle w:val="Normal"/>
        <w:rPr/>
      </w:pPr>
      <w:r>
        <w:rPr/>
        <w:t>The proportional jump returns in equation (1) are normally distributed and therefore symmetrical.  That is the number of positive and negative jumps and the range of sizes of the proportional jumps will be equal on average.  In reality the distribution of jump return sizes of energy spot prices is generally positively skewed.  A simple way to incorporate this property into equation (1) is to have the proportional jumps drawn from a normal distribution but with different jump volatilities for the positive and negative jumps. Another simple alternative would be to have the proportional jumps drawn from a negatively shifted lognormal distribution – this would give a lower limit on the negative jump returns.  These extensions are straightforward to incorporate into Monte Carlo simulation but lead to the loss of the analytical tractability of the MRJD model.</w:t>
      </w:r>
    </w:p>
    <w:p>
      <w:pPr>
        <w:pStyle w:val="Normal"/>
        <w:rPr/>
      </w:pPr>
      <w:r>
        <w:rPr/>
      </w:r>
    </w:p>
    <w:p>
      <w:pPr>
        <w:pStyle w:val="Heading4"/>
        <w:ind w:hanging="0" w:start="0"/>
        <w:rPr/>
      </w:pPr>
      <w:r>
        <w:rPr/>
        <w:t>Recursive Filter Estimation of the Jump-Diffusion Parameters</w:t>
      </w:r>
    </w:p>
    <w:p>
      <w:pPr>
        <w:pStyle w:val="Normal"/>
        <w:rPr/>
      </w:pPr>
      <w:r>
        <w:rPr/>
      </w:r>
    </w:p>
    <w:p>
      <w:pPr>
        <w:pStyle w:val="Normal"/>
        <w:rPr/>
      </w:pPr>
      <w:r>
        <w:rPr/>
        <w:t>The estimation of jump parameters for energy prices is complicated by the fact that the jumps can only be observed as part of a time series of prices which includes the “normal” non-jump behaviour of the price.  Typically, we will not have information on the exact time the jumps occur.  However, it is clear in figure 1 that the very large price “spikes” should be attributed to jumps because the probability of the normal Brownian motion type behaviour generating these large price changes is effectively zero.  This observation provides a clue to how we might estimate the jump parameters.  Consider figure 2 which shows the NSW pool prices returns for the data in figure 1.</w:t>
      </w:r>
    </w:p>
    <w:p>
      <w:pPr>
        <w:pStyle w:val="Normal"/>
        <w:rPr/>
      </w:pPr>
      <w:r>
        <w:rPr/>
      </w:r>
    </w:p>
    <w:p>
      <w:pPr>
        <w:pStyle w:val="Normal"/>
        <w:jc w:val="center"/>
        <w:rPr>
          <w:b/>
        </w:rPr>
      </w:pPr>
      <w:r>
        <w:rPr>
          <w:b/>
        </w:rPr>
        <w:t>Figure 2 : Australian NSW Pool Price Returns for 1 January 1999 to 31 December 1999</w:t>
      </w:r>
    </w:p>
    <w:p>
      <w:pPr>
        <w:pStyle w:val="Normal"/>
        <w:rPr/>
      </w:pPr>
      <w:r>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1320" cy="3368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1320" cy="3368040"/>
                    </a:xfrm>
                    <a:prstGeom prst="rect">
                      <a:avLst/>
                    </a:prstGeom>
                    <a:noFill/>
                  </pic:spPr>
                </pic:pic>
              </a:graphicData>
            </a:graphic>
          </wp:anchor>
        </w:drawing>
      </w:r>
    </w:p>
    <w:p>
      <w:pPr>
        <w:pStyle w:val="Normal"/>
        <w:rPr/>
      </w:pPr>
      <w:r>
        <w:rPr/>
        <w:t>If we assume that jumps are relatively infrequent and not too large then we can get an estimate of the diffusion volatility in the usual way by calculating the sample standard deviation of returns.  Based on this estimate of the volatility we can then look for actual returns that were larger than we would expect (for a chosen probability) in the absence of jumps and identify these extreme returns as jumps.  Given that we have identified some returns as jumps we should recompute the estimate of the diffusion volatility by recalculating the sample standard deviation of returns with the jump returns excluded.  This will gives us a lower estimate of the diffusion volatility.  Consequently, using this new estimate of the diffusion volatility, we can look for further returns which exceed the chosen limit.  This process can be repeated until the estimates converge and no new jumps are identified (typically well within ten iterations) - we call this approach a Recursive Filter.</w:t>
      </w:r>
    </w:p>
    <w:p>
      <w:pPr>
        <w:pStyle w:val="Normal"/>
        <w:rPr/>
      </w:pPr>
      <w:r>
        <w:rPr/>
      </w:r>
    </w:p>
    <w:p>
      <w:pPr>
        <w:pStyle w:val="Heading4"/>
        <w:ind w:hanging="0" w:start="0"/>
        <w:rPr/>
      </w:pPr>
      <w:r>
        <w:rPr/>
        <w:t>Estimation of Jump Parameters for the NSW Electricity Pool Prices</w:t>
      </w:r>
    </w:p>
    <w:p>
      <w:pPr>
        <w:pStyle w:val="Normal"/>
        <w:rPr/>
      </w:pPr>
      <w:r>
        <w:rPr/>
      </w:r>
    </w:p>
    <w:p>
      <w:pPr>
        <w:pStyle w:val="Normal"/>
        <w:rPr/>
      </w:pPr>
      <w:r>
        <w:rPr/>
        <w:t xml:space="preserve">The data set represented in figure 1 consists of 17520 price observations giving 17519 returns with </w:t>
      </w:r>
      <w:r>
        <w:rPr>
          <w:rFonts w:cs="Symbol" w:ascii="Symbol" w:hAnsi="Symbol"/>
        </w:rPr>
        <w:sym w:font="Symbol" w:char="f044"/>
      </w:r>
      <w:r>
        <w:rPr>
          <w:i/>
        </w:rPr>
        <w:t>t</w:t>
      </w:r>
      <w:r>
        <w:rPr/>
        <w:t xml:space="preserve"> = 5.70776</w:t>
      </w:r>
      <w:r>
        <w:rPr>
          <w:rFonts w:eastAsia="Symbol" w:cs="Symbol" w:ascii="Symbol" w:hAnsi="Symbol"/>
        </w:rPr>
        <w:sym w:font="Symbol" w:char="f0b4"/>
      </w:r>
      <w:r>
        <w:rPr/>
        <w:t>10</w:t>
      </w:r>
      <w:r>
        <w:rPr>
          <w:vertAlign w:val="superscript"/>
        </w:rPr>
        <w:t>-5</w:t>
      </w:r>
      <w:r>
        <w:rPr/>
        <w:t xml:space="preserve">.  The sample standard deviation of the half-hourly returns is 0.1469.  The probability of returns greater than 3 </w:t>
      </w:r>
      <w:r>
        <w:rPr>
          <w:rFonts w:eastAsia="Symbol" w:cs="Symbol" w:ascii="Symbol" w:hAnsi="Symbol"/>
        </w:rPr>
        <w:sym w:font="Symbol" w:char="f0b4"/>
      </w:r>
      <w:r>
        <w:rPr/>
        <w:t xml:space="preserve"> 0.1469 = 0.4407 is less than 0.003 therefore we begin by identifying returns larger in absolute value than 0.4407 as jumps.  We find that there are 213 returns that exceed this limit.  The number of jumps divided by the total time period over which they occur (in this case 1 year) gives an estimate of the jump frequency.  The mean and standard deviation of the jump returns gives us estimates of the mean jump size and the jump volatility.  Thus we have the following relationships:</w:t>
      </w:r>
    </w:p>
    <w:p>
      <w:pPr>
        <w:pStyle w:val="Normal"/>
        <w:rPr/>
      </w:pPr>
      <w:r>
        <w:rPr/>
      </w:r>
    </w:p>
    <w:p>
      <w:pPr>
        <w:pStyle w:val="Equation"/>
        <w:rPr/>
      </w:pPr>
      <w:r>
        <w:rPr>
          <w:rFonts w:cs="Symbol" w:ascii="Symbol" w:hAnsi="Symbol"/>
          <w:i/>
        </w:rPr>
        <w:tab/>
        <w:sym w:font="Symbol" w:char="f066"/>
      </w:r>
      <w:r>
        <w:rPr/>
        <w:t xml:space="preserve"> = number of jump returns / time period of data</w:t>
        <w:tab/>
        <w:t>(3a)</w:t>
      </w:r>
    </w:p>
    <w:p>
      <w:pPr>
        <w:pStyle w:val="Normal"/>
        <w:rPr/>
      </w:pPr>
      <w:r>
        <w:rPr/>
      </w:r>
    </w:p>
    <w:p>
      <w:pPr>
        <w:pStyle w:val="Equation"/>
        <w:rPr/>
      </w:pPr>
      <w:r>
        <w:rPr/>
        <w:tab/>
      </w:r>
      <w:r>
        <w:rPr>
          <w:sz w:val="20"/>
        </w:rPr>
      </w:r>
      <m:oMath xmlns:m="http://schemas.openxmlformats.org/officeDocument/2006/math">
        <m:acc>
          <m:accPr>
            <m:chr m:val="¯"/>
          </m:accPr>
          <m:e>
            <m:r>
              <m:t xml:space="preserve">κ</m:t>
            </m:r>
          </m:e>
        </m:acc>
      </m:oMath>
      <w:r>
        <w:rPr/>
        <w:t xml:space="preserve"> = average of jump returns</w:t>
        <w:tab/>
        <w:t>(3b)</w:t>
      </w:r>
    </w:p>
    <w:p>
      <w:pPr>
        <w:pStyle w:val="Normal"/>
        <w:rPr/>
      </w:pPr>
      <w:r>
        <w:rPr/>
      </w:r>
    </w:p>
    <w:p>
      <w:pPr>
        <w:pStyle w:val="Equation"/>
        <w:rPr/>
      </w:pPr>
      <w:r>
        <w:rPr>
          <w:rFonts w:cs="Symbol" w:ascii="Symbol" w:hAnsi="Symbol"/>
          <w:i/>
        </w:rPr>
        <w:tab/>
        <w:sym w:font="Symbol" w:char="f067"/>
      </w:r>
      <w:r>
        <w:rPr/>
        <w:t xml:space="preserve"> = standard deviation of jump returns</w:t>
        <w:tab/>
        <w:t>(3c)</w:t>
      </w:r>
    </w:p>
    <w:p>
      <w:pPr>
        <w:pStyle w:val="Normal"/>
        <w:rPr/>
      </w:pPr>
      <w:r>
        <w:rPr/>
      </w:r>
    </w:p>
    <w:p>
      <w:pPr>
        <w:pStyle w:val="Normal"/>
        <w:rPr/>
      </w:pPr>
      <w:r>
        <w:rPr/>
        <w:t>Table 1 shows the convergence of this process for the NSW electricity data.</w:t>
      </w:r>
    </w:p>
    <w:p>
      <w:pPr>
        <w:pStyle w:val="Normal"/>
        <w:rPr/>
      </w:pPr>
      <w:r>
        <w:rPr/>
      </w:r>
    </w:p>
    <w:p>
      <w:pPr>
        <w:pStyle w:val="Normal"/>
        <w:jc w:val="center"/>
        <w:rPr/>
      </w:pPr>
      <w:r>
        <w:rPr>
          <w:b/>
        </w:rPr>
        <w:t>Table 1: Iterative Esti</w:t>
      </w:r>
      <w:r>
        <w:rPr/>
        <w:t>mation of the Jump-Diffusion Parameters of NSW Electricity</w:t>
      </w:r>
    </w:p>
    <w:tbl>
      <w:tblPr>
        <w:tblW w:w="7939" w:type="dxa"/>
        <w:jc w:val="center"/>
        <w:tblInd w:w="0" w:type="dxa"/>
        <w:tblLayout w:type="fixed"/>
        <w:tblCellMar>
          <w:top w:w="0" w:type="dxa"/>
          <w:start w:w="108" w:type="dxa"/>
          <w:bottom w:w="0" w:type="dxa"/>
          <w:end w:w="108" w:type="dxa"/>
        </w:tblCellMar>
      </w:tblPr>
      <w:tblGrid>
        <w:gridCol w:w="1276"/>
        <w:gridCol w:w="1418"/>
        <w:gridCol w:w="1275"/>
        <w:gridCol w:w="1277"/>
        <w:gridCol w:w="1418"/>
        <w:gridCol w:w="1275"/>
      </w:tblGrid>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Iteration</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SD</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Jumps</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rFonts w:ascii="Symbol" w:hAnsi="Symbol" w:cs="Symbol"/>
                <w:i/>
                <w:i/>
              </w:rPr>
            </w:pPr>
            <w:r>
              <w:rPr>
                <w:rFonts w:cs="Symbol" w:ascii="Symbol" w:hAnsi="Symbol"/>
                <w:i/>
              </w:rPr>
              <w:sym w:font="Symbol" w:char="f066"/>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 w:val="20"/>
              </w:rPr>
            </w:pPr>
            <w:r>
              <w:rPr>
                <w:sz w:val="20"/>
              </w:rPr>
            </w:r>
            <m:oMathPara xmlns:m="http://schemas.openxmlformats.org/officeDocument/2006/math">
              <m:oMathParaPr>
                <m:jc m:val="center"/>
              </m:oMathParaPr>
              <m:oMath>
                <m:acc>
                  <m:accPr>
                    <m:chr m:val="¯"/>
                  </m:accPr>
                  <m:e>
                    <m:r>
                      <m:t xml:space="preserve">κ</m:t>
                    </m:r>
                  </m:e>
                </m:acc>
              </m:oMath>
            </m:oMathPara>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rFonts w:ascii="Symbol" w:hAnsi="Symbol" w:cs="Symbol"/>
                <w:i/>
                <w:i/>
              </w:rPr>
            </w:pPr>
            <w:r>
              <w:rPr>
                <w:rFonts w:cs="Symbol" w:ascii="Symbol" w:hAnsi="Symbol"/>
                <w:i/>
              </w:rPr>
              <w:sym w:font="Symbol" w:char="f067"/>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0.1376</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429</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429.0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-0.004794</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0.7007</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0.1320</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590</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590.0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-0.005259</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0.6392</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0.1312</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614</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614.0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-0.005550</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0.6304</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8</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0.1312</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616</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616.0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-0.005550</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0.6298</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0.1311</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618</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618.0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-0.005551</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0.6293</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12</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0.1309</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624</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624.0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-0.005599</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0.6273</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14</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0.1308</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626</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626.0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-0.005554</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0.6270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16</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0.1308</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626</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626.0</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-0.005554</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0.6270</w:t>
            </w:r>
          </w:p>
        </w:tc>
      </w:tr>
    </w:tbl>
    <w:p>
      <w:pPr>
        <w:pStyle w:val="NormalIndent"/>
        <w:rPr/>
      </w:pPr>
      <w:r>
        <w:rPr/>
        <w:t>SD is the standard deviation of the returns after removing the jump returns,</w:t>
      </w:r>
    </w:p>
    <w:p>
      <w:pPr>
        <w:pStyle w:val="Normal"/>
        <w:ind w:start="720" w:end="0"/>
        <w:rPr/>
      </w:pPr>
      <w:r>
        <w:rPr/>
        <w:t>Jumps is the number of jump returns identified.</w:t>
      </w:r>
    </w:p>
    <w:p>
      <w:pPr>
        <w:pStyle w:val="Header"/>
        <w:tabs>
          <w:tab w:val="clear" w:pos="4320"/>
          <w:tab w:val="clear" w:pos="8640"/>
        </w:tabs>
        <w:rPr/>
      </w:pPr>
      <w:r>
        <w:rPr/>
      </w:r>
    </w:p>
    <w:p>
      <w:pPr>
        <w:pStyle w:val="Normal"/>
        <w:rPr/>
      </w:pPr>
      <w:r>
        <w:rPr/>
        <w:t>For this data we require roughly 14 iterations for the estimates to converge.  However, for most non-power data sets 3 or 4 iterations is usually enough to ensure convergence.  Note also that the mean jump size is often very difficult to estimate robustly and should therefore usually be set to zero.  Using data for the calendar year 1999 table 2 shows the jump parameter estimation for a range of spot energy prices; Brent crude oil, WTI crude oil, Henry Hub natural gas (HH nat. gas), NSW daily average spot electricity prices (NSW daily), NSW half hour spot electricity prices (NSW 1/2h) and California Power Exchange (CalPX) daily prices.</w:t>
      </w:r>
    </w:p>
    <w:p>
      <w:pPr>
        <w:pStyle w:val="Normal"/>
        <w:rPr/>
      </w:pPr>
      <w:r>
        <w:rPr/>
      </w:r>
    </w:p>
    <w:p>
      <w:pPr>
        <w:pStyle w:val="BodyText"/>
        <w:rPr>
          <w:bCs/>
        </w:rPr>
      </w:pPr>
      <w:r>
        <w:rPr>
          <w:bCs/>
        </w:rPr>
        <w:t>Table 2: Jump parameter estimates for a range of spot energy prices</w:t>
      </w:r>
    </w:p>
    <w:tbl>
      <w:tblPr>
        <w:tblW w:w="6662" w:type="dxa"/>
        <w:jc w:val="start"/>
        <w:tblInd w:w="959" w:type="dxa"/>
        <w:tblLayout w:type="fixed"/>
        <w:tblCellMar>
          <w:top w:w="0" w:type="dxa"/>
          <w:start w:w="108" w:type="dxa"/>
          <w:bottom w:w="0" w:type="dxa"/>
          <w:end w:w="108" w:type="dxa"/>
        </w:tblCellMar>
      </w:tblPr>
      <w:tblGrid>
        <w:gridCol w:w="1849"/>
        <w:gridCol w:w="1128"/>
        <w:gridCol w:w="1134"/>
        <w:gridCol w:w="1134"/>
        <w:gridCol w:w="1417"/>
      </w:tblGrid>
      <w:tr>
        <w:trPr/>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jc w:val="center"/>
              <w:rPr/>
            </w:pPr>
            <w:r>
              <w:rPr/>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SD</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rFonts w:ascii="Symbol" w:hAnsi="Symbol" w:cs="Symbol"/>
                <w:i/>
                <w:i/>
              </w:rPr>
            </w:pPr>
            <w:r>
              <w:rPr>
                <w:rFonts w:cs="Symbol" w:ascii="Symbol" w:hAnsi="Symbol"/>
                <w:i/>
              </w:rPr>
              <w:sym w:font="Symbol" w:char="f066"/>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 w:val="20"/>
              </w:rPr>
            </w:pPr>
            <w:r>
              <w:rPr>
                <w:sz w:val="20"/>
              </w:rPr>
            </w:r>
            <m:oMathPara xmlns:m="http://schemas.openxmlformats.org/officeDocument/2006/math">
              <m:oMathParaPr>
                <m:jc m:val="center"/>
              </m:oMathParaPr>
              <m:oMath>
                <m:acc>
                  <m:accPr>
                    <m:chr m:val="¯"/>
                  </m:accPr>
                  <m:e>
                    <m:r>
                      <m:t xml:space="preserve">κ</m:t>
                    </m:r>
                  </m:e>
                </m:acc>
              </m:oMath>
            </m:oMathPara>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rFonts w:ascii="Symbol" w:hAnsi="Symbol" w:cs="Symbol"/>
                <w:i/>
                <w:i/>
              </w:rPr>
            </w:pPr>
            <w:r>
              <w:rPr>
                <w:rFonts w:cs="Symbol" w:ascii="Symbol" w:hAnsi="Symbol"/>
                <w:i/>
              </w:rPr>
              <w:sym w:font="Symbol" w:char="f067"/>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Brent crude</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0.0210</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8.0</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0.0039</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0.0659</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WTI crude</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0.0212</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8.0</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0.0035</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0.0573</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HH natural gas</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0.0233</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16.0</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0.0005</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0.0792</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NSW daily</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0.1512</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42.0</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-0.0043</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0.5221</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NSW 1/2 hourly</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0.0922</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2439.1</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-0.0079</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0.4123</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CalPX</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0.1362</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38.0</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-0.0043</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0.4388</w:t>
            </w:r>
          </w:p>
        </w:tc>
      </w:tr>
    </w:tbl>
    <w:p>
      <w:pPr>
        <w:pStyle w:val="Header"/>
        <w:tabs>
          <w:tab w:val="clear" w:pos="4320"/>
          <w:tab w:val="clear" w:pos="8640"/>
        </w:tabs>
        <w:rPr/>
      </w:pPr>
      <w:r>
        <w:rPr/>
      </w:r>
    </w:p>
    <w:p>
      <w:pPr>
        <w:pStyle w:val="Heading2"/>
        <w:ind w:hanging="0" w:start="0"/>
        <w:rPr/>
      </w:pPr>
      <w:r>
        <w:rPr/>
        <w:t>Maximum Likelihood Estimation of Jump Parameters</w:t>
      </w:r>
    </w:p>
    <w:p>
      <w:pPr>
        <w:pStyle w:val="Normal"/>
        <w:rPr/>
      </w:pPr>
      <w:r>
        <w:rPr/>
      </w:r>
    </w:p>
    <w:p>
      <w:pPr>
        <w:pStyle w:val="Normal"/>
        <w:rPr/>
      </w:pPr>
      <w:r>
        <w:rPr/>
        <w:t xml:space="preserve">Another, more formal, statistical method for estimating jump process parameters is maximum likelihood.  This is a popular method of estimating the parameters of a stochastic process when the probability density for the stochastic variable can be written down analytically.  It has been used successfully by Ball and Torous (1983) to estimate jump parameters for NYSE stock prices.  The idea behind maximum likelihood is based on the observation that for a given choice of parameter values, </w:t>
      </w:r>
      <w:r>
        <w:rPr>
          <w:rFonts w:cs="Symbol" w:ascii="Symbol" w:hAnsi="Symbol"/>
          <w:iCs/>
        </w:rPr>
        <w:sym w:font="Symbol" w:char="f051"/>
      </w:r>
      <w:r>
        <w:rPr>
          <w:iCs/>
        </w:rPr>
        <w:t xml:space="preserve">, </w:t>
      </w:r>
      <w:r>
        <w:rPr/>
        <w:t xml:space="preserve">we can compute the probability or likelihood, </w:t>
      </w:r>
      <w:r>
        <w:rPr>
          <w:i/>
          <w:iCs/>
        </w:rPr>
        <w:t>L</w:t>
      </w:r>
      <w:r>
        <w:rPr/>
        <w:t>(</w:t>
      </w:r>
      <w:r>
        <w:rPr>
          <w:rFonts w:cs="Symbol" w:ascii="Symbol" w:hAnsi="Symbol"/>
        </w:rPr>
        <w:sym w:font="Symbol" w:char="f044"/>
      </w:r>
      <w:r>
        <w:rPr>
          <w:i/>
          <w:iCs/>
        </w:rPr>
        <w:t>x</w:t>
      </w:r>
      <w:r>
        <w:rPr/>
        <w:t>;</w:t>
      </w:r>
      <w:r>
        <w:rPr>
          <w:rFonts w:cs="Symbol" w:ascii="Symbol" w:hAnsi="Symbol"/>
          <w:iCs/>
        </w:rPr>
        <w:sym w:font="Symbol" w:char="f051"/>
      </w:r>
      <w:r>
        <w:rPr/>
        <w:t xml:space="preserve">), that a given set of log price changes, </w:t>
      </w:r>
      <w:r>
        <w:rPr>
          <w:rFonts w:cs="Symbol" w:ascii="Symbol" w:hAnsi="Symbol"/>
        </w:rPr>
        <w:sym w:font="Symbol" w:char="f044"/>
      </w:r>
      <w:r>
        <w:rPr>
          <w:i/>
          <w:iCs/>
        </w:rPr>
        <w:t>x</w:t>
      </w:r>
      <w:r>
        <w:rPr/>
        <w:t xml:space="preserve">, would have occurred.  The probability is simply the product of the probabilities, </w:t>
      </w:r>
      <w:r>
        <w:rPr/>
      </w:r>
      <m:oMath xmlns:m="http://schemas.openxmlformats.org/officeDocument/2006/math">
        <m:r>
          <m:t xml:space="preserve">p</m:t>
        </m:r>
        <m:r>
          <m:t xml:space="preserve">(</m:t>
        </m:r>
        <m:r>
          <m:t xml:space="preserve">Δx</m:t>
        </m:r>
        <m:r>
          <m:t xml:space="preserve">;</m:t>
        </m:r>
        <m:r>
          <m:t xml:space="preserve">Θ</m:t>
        </m:r>
        <m:r>
          <m:t xml:space="preserve">)</m:t>
        </m:r>
      </m:oMath>
      <w:r>
        <w:rPr/>
        <w:t xml:space="preserve">, for the individual observations in the data set.  By taking the natural log of the probability for the whole data set, </w:t>
      </w:r>
      <w:r>
        <w:rPr>
          <w:i/>
          <w:iCs/>
        </w:rPr>
        <w:t>L</w:t>
      </w:r>
      <w:r>
        <w:rPr/>
        <w:t>(</w:t>
      </w:r>
      <w:r>
        <w:rPr>
          <w:rFonts w:cs="Symbol" w:ascii="Symbol" w:hAnsi="Symbol"/>
        </w:rPr>
        <w:sym w:font="Symbol" w:char="f044"/>
      </w:r>
      <w:r>
        <w:rPr>
          <w:i/>
          <w:iCs/>
        </w:rPr>
        <w:t>x</w:t>
      </w:r>
      <w:r>
        <w:rPr/>
        <w:t>;</w:t>
      </w:r>
      <w:r>
        <w:rPr>
          <w:rFonts w:cs="Symbol" w:ascii="Symbol" w:hAnsi="Symbol"/>
          <w:iCs/>
        </w:rPr>
        <w:sym w:font="Symbol" w:char="f051"/>
      </w:r>
      <w:r>
        <w:rPr/>
        <w:t xml:space="preserve">), we obtain a sum of the logs of the probabilities for the individual observations.  If we maximise </w:t>
      </w:r>
      <w:r>
        <w:rPr>
          <w:i/>
          <w:iCs/>
        </w:rPr>
        <w:t>L</w:t>
      </w:r>
      <w:r>
        <w:rPr/>
        <w:t>(</w:t>
      </w:r>
      <w:r>
        <w:rPr>
          <w:rFonts w:cs="Symbol" w:ascii="Symbol" w:hAnsi="Symbol"/>
        </w:rPr>
        <w:sym w:font="Symbol" w:char="f044"/>
      </w:r>
      <w:r>
        <w:rPr>
          <w:i/>
          <w:iCs/>
        </w:rPr>
        <w:t>x</w:t>
      </w:r>
      <w:r>
        <w:rPr/>
        <w:t>;</w:t>
      </w:r>
      <w:r>
        <w:rPr>
          <w:rFonts w:cs="Symbol" w:ascii="Symbol" w:hAnsi="Symbol"/>
          <w:iCs/>
        </w:rPr>
        <w:sym w:font="Symbol" w:char="f051"/>
      </w:r>
      <w:r>
        <w:rPr/>
        <w:t xml:space="preserve">) with respect to the parameter set </w:t>
      </w:r>
      <w:r>
        <w:rPr>
          <w:rFonts w:cs="Symbol" w:ascii="Symbol" w:hAnsi="Symbol"/>
          <w:iCs/>
        </w:rPr>
        <w:sym w:font="Symbol" w:char="f051"/>
      </w:r>
      <w:r>
        <w:rPr>
          <w:iCs/>
        </w:rPr>
        <w:t xml:space="preserve"> we obtain the set of parameters which maximises the likelihood that we would have observed the set of price changes in our data set.</w:t>
      </w:r>
    </w:p>
    <w:p>
      <w:pPr>
        <w:pStyle w:val="Normal"/>
        <w:rPr>
          <w:iCs/>
        </w:rPr>
      </w:pPr>
      <w:r>
        <w:rPr>
          <w:iCs/>
        </w:rPr>
      </w:r>
    </w:p>
    <w:p>
      <w:pPr>
        <w:pStyle w:val="Normal"/>
        <w:rPr/>
      </w:pPr>
      <w:r>
        <w:rPr/>
        <w:t>A potentially undesirable empirical property of this method of estimating jump parameters is that it tends to converge on the smallest and most frequent jump component of the actual data.  Energy price return time series can often be characterised has having numerous different jump components typically ranging from very high frequency, low volatility jumps to low frequency, high volatility jumps.  We would usually want capture the lower frequency, high volatility component with a jump model.  Maximum likelihood estimation may therefore not have the properties we are looking for in a jump parameter estimation procedure.</w:t>
      </w:r>
    </w:p>
    <w:p>
      <w:pPr>
        <w:pStyle w:val="Normal"/>
        <w:rPr/>
      </w:pPr>
      <w:r>
        <w:rPr/>
      </w:r>
    </w:p>
    <w:p>
      <w:pPr>
        <w:pStyle w:val="Heading2"/>
        <w:ind w:hanging="0" w:start="0"/>
        <w:rPr/>
      </w:pPr>
      <w:r>
        <w:rPr/>
        <w:t>Time Varying Patterns</w:t>
      </w:r>
    </w:p>
    <w:p>
      <w:pPr>
        <w:pStyle w:val="Normal"/>
        <w:rPr/>
      </w:pPr>
      <w:r>
        <w:rPr/>
      </w:r>
    </w:p>
    <w:p>
      <w:pPr>
        <w:pStyle w:val="Normal"/>
        <w:rPr/>
      </w:pPr>
      <w:r>
        <w:rPr/>
        <w:t>For energies other than electricity, jump frequencies and volatilities are in general relatively low and therefore a significant period of daily data (at least the order of a year) would be needed to obtain reasonable historical estimates.  However, for electricity data it is possible to obtain reliable seasonal estimates on a monthly or even weekly basis.  Figure 3a and 3b plot weekly estimates of jump frequency and jump volatility for the same NSW in figure 1.</w:t>
      </w:r>
    </w:p>
    <w:p>
      <w:pPr>
        <w:pStyle w:val="Normal"/>
        <w:rPr/>
      </w:pPr>
      <w:r>
        <w:rPr/>
      </w:r>
    </w:p>
    <w:p>
      <w:pPr>
        <w:pStyle w:val="Heading6"/>
        <w:ind w:hanging="0" w:start="0"/>
        <w:rPr/>
      </w:pPr>
      <w:r>
        <w:rPr/>
        <w:t>Figure 3a : Jump Frequency of NSW Electricity Pool Prices on a Weekly Basis</w:t>
      </w:r>
    </w:p>
    <w:p>
      <w:pPr>
        <w:pStyle w:val="Normal"/>
        <w:numPr>
          <w:ilvl w:val="0"/>
          <w:numId w:val="0"/>
        </w:numPr>
        <w:rPr/>
      </w:pPr>
      <w:r>
        <w:rPr/>
        <w:drawing>
          <wp:anchor behindDoc="0" distT="0" distB="0" distL="114935" distR="114935" simplePos="0" locked="0" layoutInCell="0" allowOverlap="1" relativeHeight="10">
            <wp:simplePos x="0" y="0"/>
            <wp:positionH relativeFrom="column">
              <wp:posOffset>179705</wp:posOffset>
            </wp:positionH>
            <wp:positionV relativeFrom="paragraph">
              <wp:posOffset>2540</wp:posOffset>
            </wp:positionV>
            <wp:extent cx="5481320" cy="3368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1320" cy="3368040"/>
                    </a:xfrm>
                    <a:prstGeom prst="rect">
                      <a:avLst/>
                    </a:prstGeom>
                    <a:noFill/>
                  </pic:spPr>
                </pic:pic>
              </a:graphicData>
            </a:graphic>
          </wp:anchor>
        </w:drawing>
      </w:r>
      <w:r>
        <w:br w:type="page"/>
      </w:r>
    </w:p>
    <w:p>
      <w:pPr>
        <w:pStyle w:val="Normal"/>
        <w:rPr/>
      </w:pPr>
      <w:r>
        <w:rPr/>
      </w:r>
    </w:p>
    <w:p>
      <w:pPr>
        <w:pStyle w:val="Heading6"/>
        <w:ind w:hanging="0" w:start="0"/>
        <w:rPr/>
      </w:pPr>
      <w:r>
        <w:rPr/>
        <w:t>Figure 3b : Jump Volatility of NSW Electricity Pool Prices on a Weekly Basis</w:t>
      </w:r>
    </w:p>
    <w:p>
      <w:pPr>
        <w:pStyle w:val="Normal"/>
        <w:rPr/>
      </w:pPr>
      <w:r>
        <w:rP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481320" cy="3368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5481320" cy="3368040"/>
                    </a:xfrm>
                    <a:prstGeom prst="rect">
                      <a:avLst/>
                    </a:prstGeom>
                    <a:noFill/>
                  </pic:spPr>
                </pic:pic>
              </a:graphicData>
            </a:graphic>
          </wp:anchor>
        </w:drawing>
      </w:r>
    </w:p>
    <w:p>
      <w:pPr>
        <w:pStyle w:val="Normal"/>
        <w:rPr/>
      </w:pPr>
      <w:r>
        <w:rPr/>
        <w:t>Although the estimation error is relatively high when using only a week of data, a period of high jump frequency can be clearly seen over the period of February and March 1999.  Interestingly the jump volatility does not show a peak during the same period.  The peaks in the jump volatility correspond to the large price spikes in 1999.  In general the weekly estimates are quite noisy and do not have a simple pattern.  Parameter estimation methods are not a magic wand which can be waved at the data, they must be interpreted in the light of experience and knowledge of the conditions in the market at the time.</w:t>
      </w:r>
    </w:p>
    <w:p>
      <w:pPr>
        <w:pStyle w:val="Normal"/>
        <w:rPr/>
      </w:pPr>
      <w:r>
        <w:rPr/>
      </w:r>
    </w:p>
    <w:p>
      <w:pPr>
        <w:pStyle w:val="Normal"/>
        <w:spacing w:lineRule="auto" w:line="240"/>
        <w:rPr>
          <w:b/>
          <w:sz w:val="20"/>
        </w:rPr>
      </w:pPr>
      <w:r>
        <w:rPr>
          <w:b/>
          <w:sz w:val="20"/>
        </w:rPr>
        <w:t xml:space="preserve">Les Clewlow and Chris Strickland are affiliated to the School of Finance and Economics, University of Technology Sydney, Australia and the Financial Options Research Centre, Warwick Business School, University of Warwick, UK and are Principals of Lacima Group Ltd, </w:t>
      </w:r>
      <w:hyperlink r:id="rId5">
        <w:r>
          <w:rPr>
            <w:rStyle w:val="Hyperlink"/>
            <w:b/>
            <w:sz w:val="20"/>
          </w:rPr>
          <w:t>www.lacimagroup.com</w:t>
        </w:r>
      </w:hyperlink>
    </w:p>
    <w:p>
      <w:pPr>
        <w:pStyle w:val="Normal"/>
        <w:spacing w:lineRule="auto" w:line="240"/>
        <w:rPr>
          <w:b/>
          <w:sz w:val="20"/>
        </w:rPr>
      </w:pPr>
      <w:r>
        <w:rPr>
          <w:b/>
          <w:sz w:val="20"/>
        </w:rPr>
      </w:r>
    </w:p>
    <w:p>
      <w:pPr>
        <w:pStyle w:val="TOC1"/>
        <w:tabs>
          <w:tab w:val="clear" w:pos="9027"/>
        </w:tabs>
        <w:spacing w:lineRule="auto" w:line="240" w:before="0" w:after="0"/>
        <w:rPr>
          <w:bCs/>
          <w:caps w:val="false"/>
          <w:smallCaps w:val="false"/>
        </w:rPr>
      </w:pPr>
      <w:r>
        <w:rPr>
          <w:bCs/>
          <w:caps w:val="false"/>
          <w:smallCaps w:val="false"/>
        </w:rPr>
        <w:t>Vince Kaminski is Managing Director and Head of Research for Enron Corp,</w:t>
      </w:r>
    </w:p>
    <w:p>
      <w:pPr>
        <w:pStyle w:val="Equation"/>
        <w:tabs>
          <w:tab w:val="clear" w:pos="4320"/>
          <w:tab w:val="clear" w:pos="8100"/>
        </w:tabs>
        <w:rPr>
          <w:bCs/>
          <w:caps/>
        </w:rPr>
      </w:pPr>
      <w:r>
        <w:rPr>
          <w:bCs/>
          <w:caps/>
        </w:rPr>
      </w:r>
    </w:p>
    <w:p>
      <w:pPr>
        <w:pStyle w:val="Heading3"/>
        <w:ind w:hanging="0" w:start="0"/>
        <w:rPr/>
      </w:pPr>
      <w:r>
        <w:rPr/>
        <w:t>References</w:t>
      </w:r>
    </w:p>
    <w:p>
      <w:pPr>
        <w:pStyle w:val="Normal"/>
        <w:spacing w:lineRule="auto" w:line="240"/>
        <w:rPr>
          <w:sz w:val="20"/>
        </w:rPr>
      </w:pPr>
      <w:r>
        <w:rPr>
          <w:sz w:val="20"/>
        </w:rPr>
      </w:r>
    </w:p>
    <w:p>
      <w:pPr>
        <w:pStyle w:val="Normal"/>
        <w:spacing w:lineRule="auto" w:line="240"/>
        <w:rPr/>
      </w:pPr>
      <w:r>
        <w:rPr>
          <w:color w:val="000000"/>
          <w:sz w:val="20"/>
        </w:rPr>
        <w:t xml:space="preserve">Ball C.A. and W.N. Torous, 1983, “A Simplified Jump Process for Common Stock Returns”, </w:t>
      </w:r>
      <w:r>
        <w:rPr>
          <w:i/>
          <w:color w:val="000000"/>
          <w:sz w:val="20"/>
        </w:rPr>
        <w:t>Journal of Financial and Quantitative Analysis</w:t>
      </w:r>
      <w:r>
        <w:rPr>
          <w:color w:val="000000"/>
          <w:sz w:val="20"/>
        </w:rPr>
        <w:t xml:space="preserve">, Vol. 18(1), pp. 53-65. </w:t>
      </w:r>
    </w:p>
    <w:p>
      <w:pPr>
        <w:pStyle w:val="Normal"/>
        <w:spacing w:lineRule="auto" w:line="240"/>
        <w:rPr>
          <w:color w:val="000000"/>
          <w:sz w:val="20"/>
        </w:rPr>
      </w:pPr>
      <w:r>
        <w:rPr>
          <w:color w:val="000000"/>
          <w:sz w:val="20"/>
        </w:rPr>
      </w:r>
    </w:p>
    <w:p>
      <w:pPr>
        <w:pStyle w:val="Normal"/>
        <w:spacing w:lineRule="auto" w:line="240"/>
        <w:rPr/>
      </w:pPr>
      <w:r>
        <w:rPr>
          <w:sz w:val="20"/>
        </w:rPr>
        <w:t>Clewlow, L, and C Strickland, 2000, “</w:t>
      </w:r>
      <w:r>
        <w:rPr>
          <w:i/>
          <w:iCs/>
          <w:sz w:val="20"/>
        </w:rPr>
        <w:t>Energy Derivatives: Pricing and Risk Management</w:t>
      </w:r>
      <w:r>
        <w:rPr>
          <w:sz w:val="20"/>
        </w:rPr>
        <w:t>”, Lacima Publications.</w:t>
      </w:r>
    </w:p>
    <w:p>
      <w:pPr>
        <w:pStyle w:val="Normal"/>
        <w:spacing w:lineRule="auto" w:line="240"/>
        <w:rPr>
          <w:sz w:val="20"/>
        </w:rPr>
      </w:pPr>
      <w:r>
        <w:rPr>
          <w:sz w:val="20"/>
        </w:rPr>
      </w:r>
    </w:p>
    <w:sectPr>
      <w:headerReference w:type="default" r:id="rId6"/>
      <w:footerReference w:type="default" r:id="rId7"/>
      <w:footnotePr>
        <w:numFmt w:val="decimal"/>
      </w:footnotePr>
      <w:type w:val="nextPage"/>
      <w:pgSz w:w="11906" w:h="16838"/>
      <w:pgMar w:left="1418" w:right="1418" w:gutter="0" w:header="709"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rPr/>
    </w:pPr>
    <w:r>
      <w:rPr>
        <w:i/>
      </w:rPr>
      <w:fldChar w:fldCharType="begin"/>
    </w:r>
    <w:r>
      <w:rPr>
        <w:i/>
      </w:rPr>
      <w:instrText xml:space="preserve"> FILENAME </w:instrText>
    </w:r>
    <w:r>
      <w:rPr>
        <w:i/>
      </w:rPr>
      <w:fldChar w:fldCharType="separate"/>
    </w:r>
    <w:r>
      <w:rPr>
        <w:i/>
      </w:rPr>
      <w:t>EPRM_03_jd.doc</w:t>
    </w:r>
    <w:r>
      <w:rPr>
        <w:i/>
      </w:rPr>
      <w:fldChar w:fldCharType="end"/>
    </w:r>
    <w:r>
      <w:rPr>
        <w:i/>
      </w:rPr>
      <w:tab/>
      <w:t>© Copyright Les Clewlow, Chris Strickland and Vince Kaminski, 2000</w:t>
      <w:tab/>
    </w:r>
    <w:r>
      <w:rPr/>
      <w:fldChar w:fldCharType="begin"/>
    </w:r>
    <w:r>
      <w:rPr/>
      <w:instrText xml:space="preserve"> PAGE </w:instrText>
    </w:r>
    <w:r>
      <w:rPr/>
      <w:fldChar w:fldCharType="separate"/>
    </w:r>
    <w:r>
      <w:rPr/>
      <w:t>7</w:t>
    </w:r>
    <w:r>
      <w:rPr/>
      <w:fldChar w:fldCharType="end"/>
    </w:r>
    <w: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material in this article is based on chapters 2 and 3 of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20"/>
      </w:rPr>
    </w:pPr>
    <w:r>
      <w:rPr>
        <w:i/>
        <w:sz w:val="20"/>
      </w:rPr>
      <w:t>Jumps in Energy Prices – Modelling and Estimation</w:t>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jc w:val="center"/>
      <w:outlineLvl w:val="5"/>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false"/>
      <w:autoSpaceDE w:val="false"/>
      <w:spacing w:lineRule="auto" w:line="240"/>
      <w:jc w:val="center"/>
      <w:textAlignment w:val="baseline"/>
    </w:pPr>
    <w:rPr>
      <w:b/>
      <w:color w:val="000000"/>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Equation">
    <w:name w:val="Equation"/>
    <w:basedOn w:val="Normal"/>
    <w:qFormat/>
    <w:pPr>
      <w:tabs>
        <w:tab w:val="clear" w:pos="720"/>
        <w:tab w:val="center" w:pos="4320" w:leader="none"/>
        <w:tab w:val="left" w:pos="8100" w:leader="none"/>
      </w:tabs>
      <w:spacing w:lineRule="auto" w:line="240"/>
    </w:pPr>
    <w:rPr/>
  </w:style>
  <w:style w:type="paragraph" w:styleId="FootnoteText">
    <w:name w:val="footnote text"/>
    <w:basedOn w:val="Normal"/>
    <w:pPr/>
    <w:rPr>
      <w:sz w:val="20"/>
    </w:rPr>
  </w:style>
  <w:style w:type="paragraph" w:styleId="TOC6">
    <w:name w:val="toc 6"/>
    <w:basedOn w:val="Normal"/>
    <w:next w:val="Normal"/>
    <w:pPr>
      <w:spacing w:lineRule="auto" w:line="240"/>
      <w:ind w:hanging="0" w:start="2000" w:end="0"/>
    </w:pPr>
    <w:rPr>
      <w:color w:val="000000"/>
      <w:sz w:val="18"/>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overflowPunct w:val="false"/>
      <w:autoSpaceDE w:val="false"/>
      <w:spacing w:lineRule="auto" w:line="240"/>
      <w:jc w:val="center"/>
      <w:textAlignment w:val="baseline"/>
    </w:pPr>
    <w:rPr>
      <w:b/>
      <w:color w:val="00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www.lacima.co.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2000-09-11T22:36:00Z</dcterms:created>
  <dc:creator>Chris Strickland</dc:creator>
  <dc:description/>
  <dc:language>en-CA</dc:language>
  <cp:lastModifiedBy>Les Clewlow</cp:lastModifiedBy>
  <cp:lastPrinted>2000-10-08T22:14:00Z</cp:lastPrinted>
  <dcterms:modified xsi:type="dcterms:W3CDTF">2000-10-11T04:08:00Z</dcterms:modified>
  <cp:revision>19</cp:revision>
  <dc:subject>Introduction and outline</dc:subject>
  <dc:title>Numerical Methods Course (session 01)</dc:title>
</cp:coreProperties>
</file>