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Mean Reversion in Energy Prices – Modelling and Estimation</w:t>
      </w:r>
      <w:r>
        <w:rPr>
          <w:rStyle w:val="FootnoteCharacters"/>
          <w:rStyle w:val="FootnoteReference"/>
          <w:sz w:val="32"/>
        </w:rPr>
        <w:footnoteReference w:id="2"/>
      </w:r>
    </w:p>
    <w:p>
      <w:pPr>
        <w:pStyle w:val="Normal"/>
        <w:rPr>
          <w:sz w:val="32"/>
        </w:rPr>
      </w:pPr>
      <w:r>
        <w:rPr>
          <w:sz w:val="32"/>
        </w:rPr>
      </w:r>
    </w:p>
    <w:p>
      <w:pPr>
        <w:pStyle w:val="Subtitle"/>
        <w:rPr>
          <w:sz w:val="28"/>
        </w:rPr>
      </w:pPr>
      <w:r>
        <w:rPr>
          <w:sz w:val="28"/>
        </w:rPr>
        <w:t>Les Clewlow, Chris Strickland and Vince Kaminski</w:t>
      </w:r>
    </w:p>
    <w:p>
      <w:pPr>
        <w:pStyle w:val="Normal"/>
        <w:rPr>
          <w:sz w:val="28"/>
        </w:rPr>
      </w:pPr>
      <w:r>
        <w:rPr>
          <w:sz w:val="28"/>
        </w:rPr>
      </w:r>
    </w:p>
    <w:p>
      <w:pPr>
        <w:pStyle w:val="Normal"/>
        <w:jc w:val="center"/>
        <w:rPr>
          <w:b/>
          <w:bCs/>
          <w:i/>
          <w:i/>
          <w:iCs/>
        </w:rPr>
      </w:pPr>
      <w:r>
        <w:rPr>
          <w:b/>
          <w:bCs/>
          <w:i/>
          <w:iCs/>
        </w:rPr>
        <w:t>For Energy and Power Risk Management</w:t>
      </w:r>
    </w:p>
    <w:p>
      <w:pPr>
        <w:pStyle w:val="Normal"/>
        <w:rPr>
          <w:b/>
          <w:bCs/>
          <w:i/>
          <w:i/>
          <w:iCs/>
        </w:rPr>
      </w:pPr>
      <w:r>
        <w:rPr>
          <w:b/>
          <w:bCs/>
          <w:i/>
          <w:iCs/>
        </w:rPr>
      </w:r>
    </w:p>
    <w:p>
      <w:pPr>
        <w:pStyle w:val="Normal"/>
        <w:rPr/>
      </w:pPr>
      <w:r>
        <w:rPr>
          <w:color w:val="000000"/>
        </w:rPr>
        <w:t xml:space="preserve">The usual assumption made for asset price evolution in many markets is the Geometric Brownian Motion model employed by Black-Scholes-Merton.  However this model allows prices to wander off to unrealistic levels when applied to energy markets.  The same approach, used in the modelling of two related commodities, like natural gas and power, or peak and off-peak electricity prices, may produce unrealistic spreads between them.  Departures from “normal” price spreads are possible in the short run under abnormal market conditions, but in the long-term, supply will be adjusted and the prices will move to the level dictated by the marginal cost of production.  In this article we analyse this so-called mean reversion, which was first described by Vasicek (1977) for modelling interest rate dynamics and which has subsequently been widely adapted.  </w:t>
      </w:r>
      <w:r>
        <w:rPr/>
        <w:t>Figure 1 shows the Henry Hub Natural Gas spot price and the daily average New South Wales (NSW) electricity pool price for the period from 1 January 1999 to 31 December 1999.  Although both time series display differing characteristics, a common feature is the tendency of the prices to revert back to some long term level and not drift off to higher and higher values.</w:t>
      </w:r>
      <w:r>
        <w:br w:type="page"/>
      </w:r>
    </w:p>
    <w:p>
      <w:pPr>
        <w:pStyle w:val="Normal"/>
        <w:rPr/>
      </w:pPr>
      <w:r>
        <w:rPr/>
      </w:r>
    </w:p>
    <w:p>
      <w:pPr>
        <w:pStyle w:val="Header"/>
        <w:tabs>
          <w:tab w:val="clear" w:pos="4320"/>
          <w:tab w:val="clear" w:pos="8640"/>
        </w:tabs>
        <w:jc w:val="center"/>
        <w:rPr>
          <w:b/>
          <w:bCs/>
        </w:rPr>
      </w:pPr>
      <w:r>
        <w:rPr>
          <w:b/>
          <w:bCs/>
        </w:rPr>
        <w:t>Figure 1: Henry Hub Natural Gas Spot Price and NSW Daily Average Pool Price</w:t>
      </w:r>
    </w:p>
    <w:p>
      <w:pPr>
        <w:pStyle w:val="Normal"/>
        <w:jc w:val="center"/>
        <w:rPr>
          <w:b/>
        </w:rPr>
      </w:pPr>
      <w:r>
        <w:drawing>
          <wp:anchor behindDoc="0" distT="0" distB="0" distL="114935" distR="114935" simplePos="0" locked="0" layoutInCell="0" allowOverlap="1" relativeHeight="19">
            <wp:simplePos x="0" y="0"/>
            <wp:positionH relativeFrom="column">
              <wp:posOffset>636905</wp:posOffset>
            </wp:positionH>
            <wp:positionV relativeFrom="paragraph">
              <wp:posOffset>357505</wp:posOffset>
            </wp:positionV>
            <wp:extent cx="4572000" cy="280860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4572000" cy="2808605"/>
                    </a:xfrm>
                    <a:prstGeom prst="rect">
                      <a:avLst/>
                    </a:prstGeom>
                    <a:noFill/>
                  </pic:spPr>
                </pic:pic>
              </a:graphicData>
            </a:graphic>
          </wp:anchor>
        </w:drawing>
      </w:r>
      <w:r>
        <w:rPr>
          <w:b/>
        </w:rPr>
        <w:t>1 January 1999 to 31 December 1999</w:t>
      </w:r>
    </w:p>
    <w:p>
      <w:pPr>
        <w:pStyle w:val="Normal"/>
        <w:rPr>
          <w:b/>
          <w:color w:val="000000"/>
        </w:rPr>
      </w:pPr>
      <w:r>
        <w:rPr>
          <w:b/>
          <w:color w:val="000000"/>
        </w:rPr>
      </w:r>
    </w:p>
    <w:p>
      <w:pPr>
        <w:pStyle w:val="Normal"/>
        <w:rPr/>
      </w:pPr>
      <w:r>
        <w:rPr/>
        <w:t>Mean reversion can be understood by looking at a simple model of a mean reverting spot price represented by the following equation;</w:t>
      </w:r>
    </w:p>
    <w:p>
      <w:pPr>
        <w:pStyle w:val="Normal"/>
        <w:rPr/>
      </w:pPr>
      <w:r>
        <w:rPr/>
      </w:r>
    </w:p>
    <w:p>
      <w:pPr>
        <w:pStyle w:val="Equation"/>
        <w:rPr/>
      </w:pPr>
      <w:r>
        <w:rPr/>
        <w:tab/>
      </w:r>
      <w:r>
        <w:rPr>
          <w:sz w:val="20"/>
        </w:rPr>
      </w:r>
      <m:oMath xmlns:m="http://schemas.openxmlformats.org/officeDocument/2006/math">
        <m:r>
          <m:rPr>
            <m:lit/>
            <m:nor/>
          </m:rPr>
          <m:t xml:space="preserve">dS</m:t>
        </m:r>
        <m:r>
          <m:t xml:space="preserve">=</m:t>
        </m:r>
        <m:r>
          <m:t xml:space="preserve">α</m:t>
        </m:r>
        <m:d>
          <m:dPr>
            <m:begChr m:val="("/>
            <m:endChr m:val=")"/>
          </m:dPr>
          <m:e>
            <m:r>
              <m:rPr>
                <m:lit/>
                <m:nor/>
              </m:rPr>
              <m:t xml:space="preserve">μ-</m:t>
            </m:r>
            <m:r>
              <m:rPr>
                <m:lit/>
                <m:nor/>
              </m:rPr>
              <m:t xml:space="preserve">ln</m:t>
            </m:r>
            <m:r>
              <m:t xml:space="preserve">S</m:t>
            </m:r>
          </m:e>
        </m:d>
        <m:r>
          <m:rPr>
            <m:lit/>
            <m:nor/>
          </m:rPr>
          <m:t xml:space="preserve">Sdt</m:t>
        </m:r>
        <m:r>
          <m:t xml:space="preserve">+</m:t>
        </m:r>
        <m:r>
          <m:t xml:space="preserve">σ</m:t>
        </m:r>
        <m:r>
          <m:rPr>
            <m:lit/>
            <m:nor/>
          </m:rPr>
          <m:t xml:space="preserve">Sdz</m:t>
        </m:r>
      </m:oMath>
      <w:r>
        <w:rPr/>
        <w:tab/>
        <w:t>(1)</w:t>
      </w:r>
    </w:p>
    <w:p>
      <w:pPr>
        <w:pStyle w:val="Normal"/>
        <w:rPr/>
      </w:pPr>
      <w:r>
        <w:rPr/>
      </w:r>
    </w:p>
    <w:p>
      <w:pPr>
        <w:pStyle w:val="Normal"/>
        <w:rPr/>
      </w:pPr>
      <w:r>
        <w:rPr/>
        <w:t xml:space="preserve">In this model the spot price mean reverts to the long-term level </w:t>
      </w:r>
      <w:r>
        <w:rPr/>
      </w:r>
      <m:oMath xmlns:m="http://schemas.openxmlformats.org/officeDocument/2006/math">
        <m:acc>
          <m:accPr>
            <m:chr m:val="¯"/>
          </m:accPr>
          <m:e>
            <m:r>
              <m:t xml:space="preserve">S</m:t>
            </m:r>
          </m:e>
        </m:acc>
        <m:r>
          <m:t xml:space="preserve">=</m:t>
        </m:r>
        <m:sSup>
          <m:e>
            <m:r>
              <m:t xml:space="preserve">e</m:t>
            </m:r>
          </m:e>
          <m:sup>
            <m:r>
              <m:t xml:space="preserve">μ</m:t>
            </m:r>
          </m:sup>
        </m:sSup>
      </m:oMath>
      <w:r>
        <w:rPr/>
        <w:t xml:space="preserve"> at a speed given by the mean reversion rate, </w:t>
      </w:r>
      <w:r>
        <w:rPr>
          <w:rFonts w:cs="Symbol" w:ascii="Symbol" w:hAnsi="Symbol"/>
          <w:i/>
        </w:rPr>
        <w:sym w:font="Symbol" w:char="f061"/>
      </w:r>
      <w:r>
        <w:rPr>
          <w:rFonts w:cs="Symbol" w:ascii="Symbol" w:hAnsi="Symbol"/>
          <w:iCs/>
        </w:rPr>
        <w:sym w:font="Symbol" w:char="f02c"/>
      </w:r>
      <w:r>
        <w:rPr>
          <w:iCs/>
        </w:rPr>
        <w:t xml:space="preserve"> which is taken to be strictly positive</w:t>
      </w:r>
      <w:r>
        <w:rPr/>
        <w:t xml:space="preserve">.  If the spot price is above the long-term level </w:t>
      </w:r>
      <w:r>
        <w:rPr/>
      </w:r>
      <m:oMath xmlns:m="http://schemas.openxmlformats.org/officeDocument/2006/math">
        <m:acc>
          <m:accPr>
            <m:chr m:val="¯"/>
          </m:accPr>
          <m:e>
            <m:r>
              <m:t xml:space="preserve">S</m:t>
            </m:r>
          </m:e>
        </m:acc>
      </m:oMath>
      <w:r>
        <w:rPr/>
        <w:t xml:space="preserve"> then the drift of the spot price will be negative and the price will tend to revert back towards the long-term level.  Similarly, if the spot price is below the long-term level then the drift will be positive and the price will tend to move back towards </w:t>
      </w:r>
      <w:r>
        <w:rPr/>
      </w:r>
      <m:oMath xmlns:m="http://schemas.openxmlformats.org/officeDocument/2006/math">
        <m:acc>
          <m:accPr>
            <m:chr m:val="¯"/>
          </m:accPr>
          <m:e>
            <m:r>
              <m:t xml:space="preserve">S</m:t>
            </m:r>
          </m:e>
        </m:acc>
      </m:oMath>
      <w:r>
        <w:rPr/>
        <w:t xml:space="preserve">.  Note that at any point in time the spot price will not necessarily move back towards the long term level as the random change in the spot price may be of the opposite sign and greater in magnitude than the drift component.  A key property of a mean reverting process is the half-life.  This is the time taken for the price to revert half way back to its long-term level from its current level if no more random shocks arrive.  For the model in equation (1) we have that the half life is given by </w:t>
      </w:r>
      <w:r>
        <w:rPr>
          <w:i/>
        </w:rPr>
        <w:t>t</w:t>
      </w:r>
      <w:r>
        <w:rPr>
          <w:vertAlign w:val="subscript"/>
        </w:rPr>
        <w:t>1/2</w:t>
      </w:r>
      <w:r>
        <w:rPr/>
        <w:t xml:space="preserve"> = ln(2)/</w:t>
      </w:r>
      <w:r>
        <w:rPr>
          <w:rFonts w:cs="Symbol" w:ascii="Symbol" w:hAnsi="Symbol"/>
          <w:i/>
        </w:rPr>
        <w:sym w:font="Symbol" w:char="f061"/>
      </w:r>
      <w:r>
        <w:rPr>
          <w:rFonts w:cs="Symbol" w:ascii="Symbol" w:hAnsi="Symbol"/>
          <w:iCs/>
        </w:rPr>
        <w:sym w:font="Symbol" w:char="f02e"/>
      </w:r>
      <w:r>
        <w:rPr>
          <w:iCs/>
        </w:rPr>
        <w:t xml:space="preserve">  The mean reversion rate of the spot gas price and the average electricity price of figure 1 is approximately 5.2 and 98.5 respectively, implying that the spot price for gas tends to be pulled back to its long term level over a period of roughly 7 weeks whilst for average electricity prices this is 2.5 days.  </w:t>
      </w:r>
      <w:r>
        <w:rPr/>
        <w:t>Table 1 gives the half-life for a range of values of the mean reversion rate.</w:t>
      </w:r>
    </w:p>
    <w:p>
      <w:pPr>
        <w:pStyle w:val="Normal"/>
        <w:rPr/>
      </w:pPr>
      <w:r>
        <w:rPr/>
      </w:r>
    </w:p>
    <w:p>
      <w:pPr>
        <w:pStyle w:val="Normal"/>
        <w:jc w:val="center"/>
        <w:rPr/>
      </w:pPr>
      <w:r>
        <w:rPr/>
        <w:t>Table 1: Mean Reversion Rates and the Corresponding Half-Lives</w:t>
      </w:r>
    </w:p>
    <w:tbl>
      <w:tblPr>
        <w:tblW w:w="3969" w:type="dxa"/>
        <w:jc w:val="start"/>
        <w:tblInd w:w="2660" w:type="dxa"/>
        <w:tblLayout w:type="fixed"/>
        <w:tblCellMar>
          <w:top w:w="0" w:type="dxa"/>
          <w:start w:w="108" w:type="dxa"/>
          <w:bottom w:w="0" w:type="dxa"/>
          <w:end w:w="108" w:type="dxa"/>
        </w:tblCellMar>
      </w:tblPr>
      <w:tblGrid>
        <w:gridCol w:w="1962"/>
        <w:gridCol w:w="2007"/>
      </w:tblGrid>
      <w:tr>
        <w:trPr/>
        <w:tc>
          <w:tcPr>
            <w:tcW w:w="196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rPr>
            </w:pPr>
            <w:r>
              <w:rPr>
                <w:rFonts w:cs="Symbol" w:ascii="Symbol" w:hAnsi="Symbol"/>
                <w:b/>
                <w:i/>
              </w:rPr>
              <w:sym w:font="Symbol" w:char="f061"/>
            </w:r>
          </w:p>
        </w:tc>
        <w:tc>
          <w:tcPr>
            <w:tcW w:w="200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rPr>
            </w:pPr>
            <w:r>
              <w:rPr>
                <w:b/>
                <w:i/>
              </w:rPr>
              <w:t>t</w:t>
            </w:r>
            <w:r>
              <w:rPr>
                <w:b/>
                <w:vertAlign w:val="subscript"/>
              </w:rPr>
              <w:t>1/2</w:t>
            </w:r>
          </w:p>
        </w:tc>
      </w:tr>
      <w:tr>
        <w:trPr/>
        <w:tc>
          <w:tcPr>
            <w:tcW w:w="196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pPr>
            <w:r>
              <w:rPr/>
              <w:t>1</w:t>
            </w:r>
          </w:p>
        </w:tc>
        <w:tc>
          <w:tcPr>
            <w:tcW w:w="200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pPr>
            <w:r>
              <w:rPr/>
              <w:t>8 months</w:t>
            </w:r>
          </w:p>
        </w:tc>
      </w:tr>
      <w:tr>
        <w:trPr/>
        <w:tc>
          <w:tcPr>
            <w:tcW w:w="196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pPr>
            <w:r>
              <w:rPr/>
              <w:t>10</w:t>
            </w:r>
          </w:p>
        </w:tc>
        <w:tc>
          <w:tcPr>
            <w:tcW w:w="200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pPr>
            <w:r>
              <w:rPr/>
              <w:t>25 days</w:t>
            </w:r>
          </w:p>
        </w:tc>
      </w:tr>
      <w:tr>
        <w:trPr/>
        <w:tc>
          <w:tcPr>
            <w:tcW w:w="196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pPr>
            <w:r>
              <w:rPr/>
              <w:t>100</w:t>
            </w:r>
          </w:p>
        </w:tc>
        <w:tc>
          <w:tcPr>
            <w:tcW w:w="200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pPr>
            <w:r>
              <w:rPr/>
              <w:t>2.53 days</w:t>
            </w:r>
          </w:p>
        </w:tc>
      </w:tr>
      <w:tr>
        <w:trPr/>
        <w:tc>
          <w:tcPr>
            <w:tcW w:w="196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pPr>
            <w:r>
              <w:rPr/>
              <w:t>1000</w:t>
            </w:r>
          </w:p>
        </w:tc>
        <w:tc>
          <w:tcPr>
            <w:tcW w:w="200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pPr>
            <w:r>
              <w:rPr/>
              <w:t>6 hours</w:t>
            </w:r>
          </w:p>
        </w:tc>
      </w:tr>
    </w:tbl>
    <w:p>
      <w:pPr>
        <w:pStyle w:val="Header"/>
        <w:tabs>
          <w:tab w:val="clear" w:pos="4320"/>
          <w:tab w:val="clear" w:pos="8640"/>
        </w:tabs>
        <w:rPr/>
      </w:pPr>
      <w:r>
        <w:rPr/>
      </w:r>
    </w:p>
    <w:p>
      <w:pPr>
        <w:pStyle w:val="Normal"/>
        <w:rPr/>
      </w:pPr>
      <w:r>
        <w:rPr/>
        <w:t>It is important to realise that these times are averages.  Only on average over a long time period, will shocks to the spot price take the time given by the half-life to decay to half their deviation from the long term level.</w:t>
      </w:r>
    </w:p>
    <w:p>
      <w:pPr>
        <w:pStyle w:val="Normal"/>
        <w:rPr/>
      </w:pPr>
      <w:r>
        <w:rPr/>
      </w:r>
    </w:p>
    <w:p>
      <w:pPr>
        <w:pStyle w:val="Heading2"/>
        <w:ind w:hanging="0" w:start="0"/>
        <w:rPr/>
      </w:pPr>
      <w:r>
        <w:rPr/>
        <w:t>Estimation of the Mean Reversion Rate</w:t>
      </w:r>
    </w:p>
    <w:p>
      <w:pPr>
        <w:pStyle w:val="Normal"/>
        <w:rPr/>
      </w:pPr>
      <w:r>
        <w:rPr/>
      </w:r>
    </w:p>
    <w:p>
      <w:pPr>
        <w:pStyle w:val="Normal"/>
        <w:rPr/>
      </w:pPr>
      <w:r>
        <w:rPr/>
        <w:t xml:space="preserve">The mean reversion rate of the spot energy price can be estimated relatively simply and robustly via linear regression.  Although it is not difficult to extend the analysis to more complicated processes we consider here the simple mean reverting process for the natural logarithm form of the energy spot price in equation (1), </w:t>
      </w:r>
      <w:r>
        <w:rPr/>
      </w:r>
      <m:oMath xmlns:m="http://schemas.openxmlformats.org/officeDocument/2006/math">
        <m:r>
          <m:t xml:space="preserve">x</m:t>
        </m:r>
        <m:r>
          <m:t xml:space="preserve">=</m:t>
        </m:r>
        <m:r>
          <m:rPr>
            <m:lit/>
            <m:nor/>
          </m:rPr>
          <m:t xml:space="preserve">ln</m:t>
        </m:r>
        <m:r>
          <m:t xml:space="preserve">S</m:t>
        </m:r>
      </m:oMath>
      <w:r>
        <w:rPr/>
        <w:t>;</w:t>
      </w:r>
    </w:p>
    <w:p>
      <w:pPr>
        <w:pStyle w:val="Normal"/>
        <w:rPr/>
      </w:pPr>
      <w:r>
        <w:rPr/>
      </w:r>
    </w:p>
    <w:p>
      <w:pPr>
        <w:pStyle w:val="Equation"/>
        <w:rPr/>
      </w:pPr>
      <w:r>
        <w:rPr/>
        <w:tab/>
      </w:r>
      <w:r>
        <w:rPr>
          <w:sz w:val="20"/>
        </w:rPr>
      </w:r>
      <m:oMath xmlns:m="http://schemas.openxmlformats.org/officeDocument/2006/math">
        <m:r>
          <m:rPr>
            <m:lit/>
            <m:nor/>
          </m:rPr>
          <m:t xml:space="preserve">dx</m:t>
        </m:r>
        <m:r>
          <m:t xml:space="preserve">=</m:t>
        </m:r>
        <m:r>
          <m:t xml:space="preserve">α</m:t>
        </m:r>
        <m:d>
          <m:dPr>
            <m:begChr m:val="("/>
            <m:endChr m:val=")"/>
          </m:dPr>
          <m:e>
            <m:acc>
              <m:accPr>
                <m:chr m:val="¯"/>
              </m:accPr>
              <m:e>
                <m:r>
                  <m:t xml:space="preserve">x</m:t>
                </m:r>
              </m:e>
            </m:acc>
            <m:r>
              <m:t xml:space="preserve">−</m:t>
            </m:r>
            <m:r>
              <m:t xml:space="preserve">x</m:t>
            </m:r>
          </m:e>
        </m:d>
        <m:r>
          <m:rPr>
            <m:lit/>
            <m:nor/>
          </m:rPr>
          <m:t xml:space="preserve">dt</m:t>
        </m:r>
        <m:r>
          <m:t xml:space="preserve">+</m:t>
        </m:r>
        <m:r>
          <m:t xml:space="preserve">σ</m:t>
        </m:r>
        <m:r>
          <m:rPr>
            <m:lit/>
            <m:nor/>
          </m:rPr>
          <m:t xml:space="preserve">dz</m:t>
        </m:r>
      </m:oMath>
      <w:r>
        <w:rPr/>
        <w:tab/>
        <w:t>(2)</w:t>
      </w:r>
    </w:p>
    <w:p>
      <w:pPr>
        <w:pStyle w:val="Normal"/>
        <w:rPr/>
      </w:pPr>
      <w:r>
        <w:rPr/>
      </w:r>
    </w:p>
    <w:p>
      <w:pPr>
        <w:pStyle w:val="Normal"/>
        <w:rPr/>
      </w:pPr>
      <w:r>
        <w:rPr/>
        <w:t>This can be discretised as follows;</w:t>
      </w:r>
    </w:p>
    <w:p>
      <w:pPr>
        <w:pStyle w:val="Normal"/>
        <w:rPr/>
      </w:pPr>
      <w:r>
        <w:rPr/>
      </w:r>
    </w:p>
    <w:p>
      <w:pPr>
        <w:pStyle w:val="Equation"/>
        <w:rPr/>
      </w:pPr>
      <w:r>
        <w:rPr/>
        <w:tab/>
      </w:r>
      <w:r>
        <w:rPr>
          <w:sz w:val="20"/>
        </w:rPr>
      </w:r>
      <m:oMath xmlns:m="http://schemas.openxmlformats.org/officeDocument/2006/math">
        <m:sSub>
          <m:e>
            <m:r>
              <m:t xml:space="preserve">Δx</m:t>
            </m:r>
          </m:e>
          <m:sub>
            <m:r>
              <m:t xml:space="preserve">t</m:t>
            </m:r>
          </m:sub>
        </m:sSub>
        <m:r>
          <m:t xml:space="preserve">=</m:t>
        </m:r>
        <m:sSub>
          <m:e>
            <m:r>
              <m:t xml:space="preserve">α</m:t>
            </m:r>
          </m:e>
          <m:sub>
            <m:r>
              <m:t xml:space="preserve">0</m:t>
            </m:r>
          </m:sub>
        </m:sSub>
        <m:r>
          <m:t xml:space="preserve">+</m:t>
        </m:r>
        <m:sSub>
          <m:e>
            <m:r>
              <m:t xml:space="preserve">α</m:t>
            </m:r>
          </m:e>
          <m:sub>
            <m:r>
              <m:t xml:space="preserve">1</m:t>
            </m:r>
          </m:sub>
        </m:sSub>
        <m:sSub>
          <m:e>
            <m:r>
              <m:t xml:space="preserve">x</m:t>
            </m:r>
          </m:e>
          <m:sub>
            <m:r>
              <m:t xml:space="preserve">t</m:t>
            </m:r>
          </m:sub>
        </m:sSub>
        <m:r>
          <m:t xml:space="preserve">+</m:t>
        </m:r>
        <m:sSub>
          <m:e>
            <m:r>
              <m:rPr>
                <m:lit/>
                <m:nor/>
              </m:rPr>
              <m:t xml:space="preserve">σε</m:t>
            </m:r>
          </m:e>
          <m:sub>
            <m:r>
              <m:t xml:space="preserve">t</m:t>
            </m:r>
          </m:sub>
        </m:sSub>
      </m:oMath>
      <w:r>
        <w:rPr/>
        <w:t xml:space="preserve">,      </w:t>
      </w:r>
      <w:r>
        <w:rPr>
          <w:sz w:val="20"/>
        </w:rPr>
      </w:r>
      <m:oMath xmlns:m="http://schemas.openxmlformats.org/officeDocument/2006/math">
        <m:sSub>
          <m:e>
            <m:r>
              <m:t xml:space="preserve">ε</m:t>
            </m:r>
          </m:e>
          <m:sub>
            <m:r>
              <m:t xml:space="preserve">t</m:t>
            </m:r>
          </m:sub>
        </m:sSub>
        <m:r>
          <m:rPr>
            <m:lit/>
            <m:nor/>
          </m:rPr>
          <m:t xml:space="preserve">~</m:t>
        </m:r>
        <m:r>
          <m:t xml:space="preserve">N</m:t>
        </m:r>
        <m:r>
          <m:t xml:space="preserve">(</m:t>
        </m:r>
        <m:r>
          <m:t xml:space="preserve">0,1</m:t>
        </m:r>
        <m:r>
          <m:t xml:space="preserve">)</m:t>
        </m:r>
      </m:oMath>
      <w:r>
        <w:rPr/>
        <w:tab/>
        <w:t>(3)</w:t>
      </w:r>
    </w:p>
    <w:p>
      <w:pPr>
        <w:pStyle w:val="Normal"/>
        <w:rPr/>
      </w:pPr>
      <w:r>
        <w:rPr/>
      </w:r>
    </w:p>
    <w:p>
      <w:pPr>
        <w:pStyle w:val="Normal"/>
        <w:rPr/>
      </w:pPr>
      <w:r>
        <w:rPr/>
        <w:t xml:space="preserve">where </w:t>
      </w:r>
      <w:r>
        <w:rPr>
          <w:sz w:val="20"/>
        </w:rPr>
      </w:r>
      <m:oMath xmlns:m="http://schemas.openxmlformats.org/officeDocument/2006/math">
        <m:sSub>
          <m:e>
            <m:r>
              <m:t xml:space="preserve">α</m:t>
            </m:r>
          </m:e>
          <m:sub>
            <m:r>
              <m:t xml:space="preserve">0</m:t>
            </m:r>
          </m:sub>
        </m:sSub>
        <m:r>
          <m:t xml:space="preserve">=</m:t>
        </m:r>
        <m:r>
          <m:t xml:space="preserve">α</m:t>
        </m:r>
        <m:acc>
          <m:accPr>
            <m:chr m:val="¯"/>
          </m:accPr>
          <m:e>
            <m:r>
              <m:t xml:space="preserve">x</m:t>
            </m:r>
          </m:e>
        </m:acc>
        <m:r>
          <m:t xml:space="preserve">Δt</m:t>
        </m:r>
      </m:oMath>
      <w:r>
        <w:rPr/>
        <w:t xml:space="preserve">and </w:t>
      </w:r>
      <w:r>
        <w:rPr>
          <w:sz w:val="20"/>
        </w:rPr>
      </w:r>
      <m:oMath xmlns:m="http://schemas.openxmlformats.org/officeDocument/2006/math">
        <m:sSub>
          <m:e>
            <m:r>
              <m:t xml:space="preserve">α</m:t>
            </m:r>
          </m:e>
          <m:sub>
            <m:r>
              <m:t xml:space="preserve">1</m:t>
            </m:r>
          </m:sub>
        </m:sSub>
        <m:r>
          <m:t xml:space="preserve">=</m:t>
        </m:r>
        <m:r>
          <m:t xml:space="preserve">−</m:t>
        </m:r>
        <m:r>
          <m:t xml:space="preserve">αΔt</m:t>
        </m:r>
      </m:oMath>
      <w:r>
        <w:rPr/>
        <w:t xml:space="preserve">.  This implies that observations of the spot price through time can be considered as observations of the linear relationship between </w:t>
      </w:r>
      <w:r>
        <w:rPr>
          <w:rFonts w:cs="Symbol" w:ascii="Symbol" w:hAnsi="Symbol"/>
        </w:rPr>
        <w:sym w:font="Symbol" w:char="f044"/>
      </w:r>
      <w:r>
        <w:rPr>
          <w:i/>
        </w:rPr>
        <w:t>x</w:t>
      </w:r>
      <w:r>
        <w:rPr>
          <w:i/>
          <w:vertAlign w:val="subscript"/>
        </w:rPr>
        <w:t>t</w:t>
      </w:r>
      <w:r>
        <w:rPr/>
        <w:t xml:space="preserve"> and </w:t>
      </w:r>
      <w:r>
        <w:rPr>
          <w:i/>
        </w:rPr>
        <w:t>x</w:t>
      </w:r>
      <w:r>
        <w:rPr>
          <w:i/>
          <w:vertAlign w:val="subscript"/>
        </w:rPr>
        <w:t>t</w:t>
      </w:r>
      <w:r>
        <w:rPr/>
        <w:t xml:space="preserve"> in the presence of noise (represented by </w:t>
      </w:r>
      <w:r>
        <w:rPr>
          <w:rFonts w:cs="Symbol" w:ascii="Symbol" w:hAnsi="Symbol"/>
          <w:i/>
        </w:rPr>
        <w:sym w:font="Symbol" w:char="f073"/>
        <w:sym w:font="Symbol" w:char="f065"/>
      </w:r>
      <w:r>
        <w:rPr>
          <w:i/>
          <w:vertAlign w:val="subscript"/>
        </w:rPr>
        <w:t>t</w:t>
      </w:r>
      <w:r>
        <w:rPr/>
        <w:t xml:space="preserve">).  Therefore, if we regress observations of </w:t>
      </w:r>
      <w:r>
        <w:rPr>
          <w:rFonts w:cs="Symbol" w:ascii="Symbol" w:hAnsi="Symbol"/>
        </w:rPr>
        <w:sym w:font="Symbol" w:char="f044"/>
      </w:r>
      <w:r>
        <w:rPr>
          <w:i/>
        </w:rPr>
        <w:t>x</w:t>
      </w:r>
      <w:r>
        <w:rPr>
          <w:i/>
          <w:vertAlign w:val="subscript"/>
        </w:rPr>
        <w:t>t</w:t>
      </w:r>
      <w:r>
        <w:rPr/>
        <w:t xml:space="preserve"> against </w:t>
      </w:r>
      <w:r>
        <w:rPr>
          <w:i/>
        </w:rPr>
        <w:t>x</w:t>
      </w:r>
      <w:r>
        <w:rPr>
          <w:i/>
          <w:vertAlign w:val="subscript"/>
        </w:rPr>
        <w:t>t</w:t>
      </w:r>
      <w:r>
        <w:rPr/>
        <w:t xml:space="preserve"> we can obtain estimates of </w:t>
      </w:r>
      <w:r>
        <w:rPr>
          <w:sz w:val="20"/>
        </w:rPr>
      </w:r>
      <m:oMath xmlns:m="http://schemas.openxmlformats.org/officeDocument/2006/math">
        <m:sSub>
          <m:e>
            <m:r>
              <m:t xml:space="preserve">α</m:t>
            </m:r>
          </m:e>
          <m:sub>
            <m:r>
              <m:t xml:space="preserve">0</m:t>
            </m:r>
          </m:sub>
        </m:sSub>
        <m:r>
          <m:t xml:space="preserve">=</m:t>
        </m:r>
        <m:r>
          <m:t xml:space="preserve">α</m:t>
        </m:r>
        <m:acc>
          <m:accPr>
            <m:chr m:val="¯"/>
          </m:accPr>
          <m:e>
            <m:r>
              <m:t xml:space="preserve">x</m:t>
            </m:r>
          </m:e>
        </m:acc>
        <m:r>
          <m:t xml:space="preserve">Δt</m:t>
        </m:r>
      </m:oMath>
      <w:r>
        <w:rPr/>
        <w:t xml:space="preserve"> and </w:t>
      </w:r>
      <w:r>
        <w:rPr>
          <w:sz w:val="20"/>
        </w:rPr>
      </w:r>
      <m:oMath xmlns:m="http://schemas.openxmlformats.org/officeDocument/2006/math">
        <m:sSub>
          <m:e>
            <m:r>
              <m:t xml:space="preserve">α</m:t>
            </m:r>
          </m:e>
          <m:sub>
            <m:r>
              <m:t xml:space="preserve">1</m:t>
            </m:r>
          </m:sub>
        </m:sSub>
        <m:r>
          <m:t xml:space="preserve">=</m:t>
        </m:r>
        <m:r>
          <m:t xml:space="preserve">−</m:t>
        </m:r>
        <m:r>
          <m:t xml:space="preserve">αΔt</m:t>
        </m:r>
      </m:oMath>
      <w:r>
        <w:rPr/>
        <w:t xml:space="preserve"> as the estimates of the intercept and slope of the linear relationship.  Since we know the time interval between observations </w:t>
      </w:r>
      <w:r>
        <w:rPr>
          <w:rFonts w:cs="Symbol" w:ascii="Symbol" w:hAnsi="Symbol"/>
        </w:rPr>
        <w:sym w:font="Symbol" w:char="f044"/>
      </w:r>
      <w:r>
        <w:rPr>
          <w:i/>
        </w:rPr>
        <w:t>t</w:t>
      </w:r>
      <w:r>
        <w:rPr/>
        <w:t xml:space="preserve"> we can obtain estimates of </w:t>
      </w:r>
      <w:r>
        <w:rPr>
          <w:rFonts w:cs="Symbol" w:ascii="Symbol" w:hAnsi="Symbol"/>
          <w:i/>
        </w:rPr>
        <w:sym w:font="Symbol" w:char="f061"/>
      </w:r>
      <w:r>
        <w:rPr/>
        <w:t xml:space="preserve"> and </w:t>
      </w:r>
      <w:r>
        <w:rPr>
          <w:sz w:val="20"/>
        </w:rPr>
      </w:r>
      <m:oMath xmlns:m="http://schemas.openxmlformats.org/officeDocument/2006/math">
        <m:acc>
          <m:accPr>
            <m:chr m:val="¯"/>
          </m:accPr>
          <m:e>
            <m:r>
              <m:t xml:space="preserve">x</m:t>
            </m:r>
          </m:e>
        </m:acc>
      </m:oMath>
      <w:r>
        <w:rPr/>
        <w:t xml:space="preserve">.  The volatility </w:t>
      </w:r>
      <w:r>
        <w:rPr>
          <w:rFonts w:eastAsia="Symbol" w:cs="Symbol" w:ascii="Symbol" w:hAnsi="Symbol"/>
        </w:rPr>
        <w:sym w:font="Symbol" w:char="f073"/>
      </w:r>
      <w:r>
        <w:rPr/>
        <w:t xml:space="preserve"> can also be calculated straightforwardly from the normal distribution of the error term.</w:t>
      </w:r>
    </w:p>
    <w:p>
      <w:pPr>
        <w:pStyle w:val="Header"/>
        <w:tabs>
          <w:tab w:val="clear" w:pos="4320"/>
          <w:tab w:val="clear" w:pos="8640"/>
        </w:tabs>
        <w:rPr/>
      </w:pPr>
      <w:r>
        <w:rPr/>
      </w:r>
    </w:p>
    <w:p>
      <w:pPr>
        <w:pStyle w:val="Heading4"/>
        <w:ind w:hanging="0" w:start="0"/>
        <w:rPr/>
      </w:pPr>
      <w:r>
        <w:rPr/>
        <w:t>Estimation of the Mean Reversion Rate of Natural Gas Spot Prices</w:t>
      </w:r>
    </w:p>
    <w:p>
      <w:pPr>
        <w:pStyle w:val="Normal"/>
        <w:rPr/>
      </w:pPr>
      <w:r>
        <w:rPr/>
      </w:r>
    </w:p>
    <w:p>
      <w:pPr>
        <w:pStyle w:val="Normal"/>
        <w:rPr/>
      </w:pPr>
      <w:r>
        <w:rPr/>
        <w:t xml:space="preserve">As an example we take the Henry Hub Natural Gas spot price from figure 1 yielding 260 data items with </w:t>
      </w:r>
      <w:r>
        <w:rPr>
          <w:rFonts w:cs="Symbol" w:ascii="Symbol" w:hAnsi="Symbol"/>
        </w:rPr>
        <w:sym w:font="Symbol" w:char="f044"/>
      </w:r>
      <w:r>
        <w:rPr>
          <w:i/>
        </w:rPr>
        <w:t>t</w:t>
      </w:r>
      <w:r>
        <w:rPr/>
        <w:t xml:space="preserve"> = 0.003846.  Figure 2 illustrates the data in terms of changes </w:t>
      </w:r>
      <w:r>
        <w:rPr>
          <w:rFonts w:cs="Symbol" w:ascii="Symbol" w:hAnsi="Symbol"/>
        </w:rPr>
        <w:sym w:font="Symbol" w:char="f044"/>
      </w:r>
      <w:r>
        <w:rPr>
          <w:i/>
        </w:rPr>
        <w:t>x</w:t>
      </w:r>
      <w:r>
        <w:rPr/>
        <w:t xml:space="preserve"> plotted against </w:t>
      </w:r>
      <w:r>
        <w:rPr>
          <w:i/>
        </w:rPr>
        <w:t>x</w:t>
      </w:r>
      <w:r>
        <w:rPr/>
        <w:t xml:space="preserve"> and also the linear regression estimated straight-line fit to the data.</w:t>
      </w:r>
    </w:p>
    <w:p>
      <w:pPr>
        <w:pStyle w:val="Normal"/>
        <w:rPr/>
      </w:pPr>
      <w:r>
        <w:rPr/>
      </w:r>
    </w:p>
    <w:p>
      <w:pPr>
        <w:pStyle w:val="BodyText"/>
        <w:rPr/>
      </w:pPr>
      <w:r>
        <w:rPr/>
        <w:t>Figure 2 : Linear Regression Estimation of the Mean Reversion Rate of Henry Hub Natural Gas 1 January 1999 to 31 December 1999 (USD/MMBTU)</w:t>
      </w:r>
    </w:p>
    <w:p>
      <w:pPr>
        <w:pStyle w:val="Normal"/>
        <w:rPr/>
      </w:pPr>
      <w:r>
        <w:rPr/>
        <w:drawing>
          <wp:anchor behindDoc="0" distT="0" distB="0" distL="114935" distR="114935" simplePos="0" locked="0" layoutInCell="0" allowOverlap="1" relativeHeight="20">
            <wp:simplePos x="0" y="0"/>
            <wp:positionH relativeFrom="column">
              <wp:posOffset>0</wp:posOffset>
            </wp:positionH>
            <wp:positionV relativeFrom="paragraph">
              <wp:posOffset>635</wp:posOffset>
            </wp:positionV>
            <wp:extent cx="5481320" cy="336804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6" r="-4" b="-6"/>
                    <a:stretch>
                      <a:fillRect/>
                    </a:stretch>
                  </pic:blipFill>
                  <pic:spPr bwMode="auto">
                    <a:xfrm>
                      <a:off x="0" y="0"/>
                      <a:ext cx="5481320" cy="3368040"/>
                    </a:xfrm>
                    <a:prstGeom prst="rect">
                      <a:avLst/>
                    </a:prstGeom>
                    <a:noFill/>
                  </pic:spPr>
                </pic:pic>
              </a:graphicData>
            </a:graphic>
          </wp:anchor>
        </w:drawing>
      </w:r>
    </w:p>
    <w:p>
      <w:pPr>
        <w:pStyle w:val="Normal"/>
        <w:rPr/>
      </w:pPr>
      <w:r>
        <w:rPr/>
        <w:t>The estimates from the linear regression are (standard errors in parentheses):</w:t>
      </w:r>
    </w:p>
    <w:p>
      <w:pPr>
        <w:pStyle w:val="Normal"/>
        <w:jc w:val="center"/>
        <w:rPr/>
      </w:pPr>
      <w:r>
        <w:rPr>
          <w:sz w:val="20"/>
        </w:rPr>
      </w:r>
      <m:oMath xmlns:m="http://schemas.openxmlformats.org/officeDocument/2006/math">
        <m:sSub>
          <m:e>
            <m:r>
              <m:t xml:space="preserve">α</m:t>
            </m:r>
          </m:e>
          <m:sub>
            <m:r>
              <m:t xml:space="preserve">0</m:t>
            </m:r>
          </m:sub>
        </m:sSub>
      </m:oMath>
      <w:r>
        <w:rPr/>
        <w:t>=  0.0168 ( 0.0097 )</w:t>
      </w:r>
    </w:p>
    <w:p>
      <w:pPr>
        <w:pStyle w:val="Normal"/>
        <w:jc w:val="center"/>
        <w:rPr/>
      </w:pPr>
      <w:r>
        <w:rPr>
          <w:sz w:val="20"/>
        </w:rPr>
      </w:r>
      <m:oMath xmlns:m="http://schemas.openxmlformats.org/officeDocument/2006/math">
        <m:sSub>
          <m:e>
            <m:r>
              <m:t xml:space="preserve">α</m:t>
            </m:r>
          </m:e>
          <m:sub>
            <m:r>
              <m:t xml:space="preserve">1</m:t>
            </m:r>
          </m:sub>
        </m:sSub>
      </m:oMath>
      <w:r>
        <w:rPr/>
        <w:t>= -0.0200 ( 0.0119 )</w:t>
      </w:r>
    </w:p>
    <w:p>
      <w:pPr>
        <w:pStyle w:val="Normal"/>
        <w:rPr/>
      </w:pPr>
      <w:r>
        <w:rPr/>
        <w:t xml:space="preserve">which implies </w:t>
      </w:r>
      <w:r>
        <w:rPr>
          <w:rFonts w:cs="Symbol" w:ascii="Symbol" w:hAnsi="Symbol"/>
          <w:i/>
        </w:rPr>
        <w:sym w:font="Symbol" w:char="f061"/>
      </w:r>
      <w:r>
        <w:rPr/>
        <w:t xml:space="preserve"> = 5.21 ( 3.09 ).  This value of </w:t>
      </w:r>
      <w:r>
        <w:rPr>
          <w:rFonts w:cs="Symbol" w:ascii="Symbol" w:hAnsi="Symbol"/>
          <w:i/>
        </w:rPr>
        <w:sym w:font="Symbol" w:char="f061"/>
      </w:r>
      <w:r>
        <w:rPr/>
        <w:t xml:space="preserve"> and standard error implies a half-life for price shocks of between 1 and 4 months.</w:t>
      </w:r>
    </w:p>
    <w:p>
      <w:pPr>
        <w:pStyle w:val="Normal"/>
        <w:rPr/>
      </w:pPr>
      <w:r>
        <w:rPr/>
      </w:r>
    </w:p>
    <w:p>
      <w:pPr>
        <w:pStyle w:val="Normal"/>
        <w:rPr/>
      </w:pPr>
      <w:r>
        <w:rPr/>
        <w:t>Using data for the calendar year 1999 Table 2 shows the mean reversion analysis for a range of spot energy prices; Brent crude oil, WTI crude oil, Henry Hub natural gas (HH nat. gas), NSW daily average spot electricity prices (NSW daily), NSW half hour spot electricity prices (NSW 1/2h) and California Power Exchange (CalPX) daily prices.</w:t>
      </w:r>
    </w:p>
    <w:p>
      <w:pPr>
        <w:pStyle w:val="Heading5"/>
        <w:ind w:hanging="0" w:start="0"/>
        <w:rPr/>
      </w:pPr>
      <w:r>
        <w:rPr/>
        <w:t>Table 2: Mean reversion analysis for a range of spot energy prices</w:t>
      </w:r>
    </w:p>
    <w:p>
      <w:pPr>
        <w:pStyle w:val="Normal"/>
        <w:rPr/>
      </w:pPr>
      <w:r>
        <w:rPr/>
      </w:r>
    </w:p>
    <w:tbl>
      <w:tblPr>
        <w:tblW w:w="9287" w:type="dxa"/>
        <w:jc w:val="start"/>
        <w:tblInd w:w="0" w:type="dxa"/>
        <w:tblLayout w:type="fixed"/>
        <w:tblCellMar>
          <w:top w:w="0" w:type="dxa"/>
          <w:start w:w="108" w:type="dxa"/>
          <w:bottom w:w="0" w:type="dxa"/>
          <w:end w:w="108" w:type="dxa"/>
        </w:tblCellMar>
      </w:tblPr>
      <w:tblGrid>
        <w:gridCol w:w="1548"/>
        <w:gridCol w:w="1104"/>
        <w:gridCol w:w="1327"/>
        <w:gridCol w:w="1327"/>
        <w:gridCol w:w="1327"/>
        <w:gridCol w:w="1327"/>
        <w:gridCol w:w="1327"/>
      </w:tblGrid>
      <w:tr>
        <w:trPr/>
        <w:tc>
          <w:tcPr>
            <w:tcW w:w="1548"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Energy</w:t>
            </w:r>
          </w:p>
        </w:tc>
        <w:tc>
          <w:tcPr>
            <w:tcW w:w="2431"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sz w:val="20"/>
              </w:rPr>
            </w:pPr>
            <w:r>
              <w:rPr>
                <w:sz w:val="20"/>
              </w:rPr>
            </w:r>
            <m:oMathPara xmlns:m="http://schemas.openxmlformats.org/officeDocument/2006/math">
              <m:oMathParaPr>
                <m:jc m:val="center"/>
              </m:oMathParaPr>
              <m:oMath>
                <m:sSub>
                  <m:e>
                    <m:r>
                      <m:t xml:space="preserve">α</m:t>
                    </m:r>
                  </m:e>
                  <m:sub>
                    <m:r>
                      <m:t xml:space="preserve">0</m:t>
                    </m:r>
                  </m:sub>
                </m:sSub>
              </m:oMath>
            </m:oMathPara>
          </w:p>
        </w:tc>
        <w:tc>
          <w:tcPr>
            <w:tcW w:w="265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sz w:val="20"/>
              </w:rPr>
            </w:pPr>
            <w:r>
              <w:rPr>
                <w:sz w:val="20"/>
              </w:rPr>
            </w:r>
            <m:oMathPara xmlns:m="http://schemas.openxmlformats.org/officeDocument/2006/math">
              <m:oMathParaPr>
                <m:jc m:val="center"/>
              </m:oMathParaPr>
              <m:oMath>
                <m:sSub>
                  <m:e>
                    <m:r>
                      <m:t xml:space="preserve">α</m:t>
                    </m:r>
                  </m:e>
                  <m:sub>
                    <m:r>
                      <m:t xml:space="preserve">1</m:t>
                    </m:r>
                  </m:sub>
                </m:sSub>
              </m:oMath>
            </m:oMathPara>
          </w:p>
        </w:tc>
        <w:tc>
          <w:tcPr>
            <w:tcW w:w="265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rFonts w:ascii="Symbol" w:hAnsi="Symbol" w:eastAsia="Symbol" w:cs="Symbol"/>
              </w:rPr>
            </w:pPr>
            <w:r>
              <w:rPr>
                <w:rFonts w:eastAsia="Symbol" w:cs="Symbol" w:ascii="Symbol" w:hAnsi="Symbol"/>
              </w:rPr>
              <w:sym w:font="Symbol" w:char="f061"/>
            </w:r>
          </w:p>
        </w:tc>
      </w:tr>
      <w:tr>
        <w:trPr/>
        <w:tc>
          <w:tcPr>
            <w:tcW w:w="1548" w:type="dxa"/>
            <w:tcBorders>
              <w:top w:val="single" w:sz="4" w:space="0" w:color="000000"/>
              <w:start w:val="single" w:sz="4" w:space="0" w:color="000000"/>
              <w:end w:val="single" w:sz="4" w:space="0" w:color="000000"/>
            </w:tcBorders>
          </w:tcPr>
          <w:p>
            <w:pPr>
              <w:pStyle w:val="Normal"/>
              <w:spacing w:lineRule="auto" w:line="240"/>
              <w:rPr/>
            </w:pPr>
            <w:r>
              <w:rPr/>
              <w:t>Brent crude</w:t>
            </w:r>
          </w:p>
        </w:tc>
        <w:tc>
          <w:tcPr>
            <w:tcW w:w="1104" w:type="dxa"/>
            <w:tcBorders>
              <w:top w:val="single" w:sz="4" w:space="0" w:color="000000"/>
              <w:start w:val="single" w:sz="4" w:space="0" w:color="000000"/>
            </w:tcBorders>
          </w:tcPr>
          <w:p>
            <w:pPr>
              <w:pStyle w:val="Normal"/>
              <w:spacing w:lineRule="auto" w:line="240"/>
              <w:jc w:val="end"/>
              <w:rPr/>
            </w:pPr>
            <w:r>
              <w:rPr/>
              <w:t>0.0196</w:t>
            </w:r>
          </w:p>
        </w:tc>
        <w:tc>
          <w:tcPr>
            <w:tcW w:w="1327" w:type="dxa"/>
            <w:tcBorders>
              <w:top w:val="single" w:sz="4" w:space="0" w:color="000000"/>
              <w:end w:val="single" w:sz="4" w:space="0" w:color="000000"/>
            </w:tcBorders>
          </w:tcPr>
          <w:p>
            <w:pPr>
              <w:pStyle w:val="Normal"/>
              <w:spacing w:lineRule="auto" w:line="240"/>
              <w:jc w:val="end"/>
              <w:rPr/>
            </w:pPr>
            <w:r>
              <w:rPr/>
              <w:t>(0.0144)</w:t>
            </w:r>
          </w:p>
        </w:tc>
        <w:tc>
          <w:tcPr>
            <w:tcW w:w="1327" w:type="dxa"/>
            <w:tcBorders>
              <w:top w:val="single" w:sz="4" w:space="0" w:color="000000"/>
              <w:start w:val="single" w:sz="4" w:space="0" w:color="000000"/>
            </w:tcBorders>
          </w:tcPr>
          <w:p>
            <w:pPr>
              <w:pStyle w:val="Normal"/>
              <w:spacing w:lineRule="auto" w:line="240"/>
              <w:jc w:val="end"/>
              <w:rPr/>
            </w:pPr>
            <w:r>
              <w:rPr/>
              <w:t>-0.0056</w:t>
            </w:r>
          </w:p>
        </w:tc>
        <w:tc>
          <w:tcPr>
            <w:tcW w:w="1327" w:type="dxa"/>
            <w:tcBorders>
              <w:top w:val="single" w:sz="4" w:space="0" w:color="000000"/>
              <w:end w:val="single" w:sz="4" w:space="0" w:color="000000"/>
            </w:tcBorders>
          </w:tcPr>
          <w:p>
            <w:pPr>
              <w:pStyle w:val="Normal"/>
              <w:spacing w:lineRule="auto" w:line="240"/>
              <w:jc w:val="end"/>
              <w:rPr/>
            </w:pPr>
            <w:r>
              <w:rPr/>
              <w:t>(0.0050)</w:t>
            </w:r>
          </w:p>
        </w:tc>
        <w:tc>
          <w:tcPr>
            <w:tcW w:w="1327" w:type="dxa"/>
            <w:tcBorders>
              <w:top w:val="single" w:sz="4" w:space="0" w:color="000000"/>
              <w:start w:val="single" w:sz="4" w:space="0" w:color="000000"/>
            </w:tcBorders>
          </w:tcPr>
          <w:p>
            <w:pPr>
              <w:pStyle w:val="Normal"/>
              <w:spacing w:lineRule="auto" w:line="240"/>
              <w:jc w:val="end"/>
              <w:rPr/>
            </w:pPr>
            <w:r>
              <w:rPr/>
              <w:t>1.4664</w:t>
            </w:r>
          </w:p>
        </w:tc>
        <w:tc>
          <w:tcPr>
            <w:tcW w:w="1327" w:type="dxa"/>
            <w:tcBorders>
              <w:top w:val="single" w:sz="4" w:space="0" w:color="000000"/>
              <w:end w:val="single" w:sz="4" w:space="0" w:color="000000"/>
            </w:tcBorders>
          </w:tcPr>
          <w:p>
            <w:pPr>
              <w:pStyle w:val="Normal"/>
              <w:spacing w:lineRule="auto" w:line="240"/>
              <w:jc w:val="end"/>
              <w:rPr/>
            </w:pPr>
            <w:r>
              <w:rPr/>
              <w:t>(1.3000)</w:t>
            </w:r>
          </w:p>
        </w:tc>
      </w:tr>
      <w:tr>
        <w:trPr/>
        <w:tc>
          <w:tcPr>
            <w:tcW w:w="1548" w:type="dxa"/>
            <w:tcBorders>
              <w:start w:val="single" w:sz="4" w:space="0" w:color="000000"/>
              <w:end w:val="single" w:sz="4" w:space="0" w:color="000000"/>
            </w:tcBorders>
          </w:tcPr>
          <w:p>
            <w:pPr>
              <w:pStyle w:val="Normal"/>
              <w:spacing w:lineRule="auto" w:line="240"/>
              <w:rPr/>
            </w:pPr>
            <w:r>
              <w:rPr/>
              <w:t>WTI crude</w:t>
            </w:r>
          </w:p>
        </w:tc>
        <w:tc>
          <w:tcPr>
            <w:tcW w:w="1104" w:type="dxa"/>
            <w:tcBorders>
              <w:start w:val="single" w:sz="4" w:space="0" w:color="000000"/>
            </w:tcBorders>
          </w:tcPr>
          <w:p>
            <w:pPr>
              <w:pStyle w:val="Normal"/>
              <w:spacing w:lineRule="auto" w:line="240"/>
              <w:jc w:val="end"/>
              <w:rPr/>
            </w:pPr>
            <w:r>
              <w:rPr/>
              <w:t>0.0234</w:t>
            </w:r>
          </w:p>
        </w:tc>
        <w:tc>
          <w:tcPr>
            <w:tcW w:w="1327" w:type="dxa"/>
            <w:tcBorders>
              <w:end w:val="single" w:sz="4" w:space="0" w:color="000000"/>
            </w:tcBorders>
          </w:tcPr>
          <w:p>
            <w:pPr>
              <w:pStyle w:val="Normal"/>
              <w:spacing w:lineRule="auto" w:line="240"/>
              <w:jc w:val="end"/>
              <w:rPr/>
            </w:pPr>
            <w:r>
              <w:rPr/>
              <w:t>(0.0163)</w:t>
            </w:r>
          </w:p>
        </w:tc>
        <w:tc>
          <w:tcPr>
            <w:tcW w:w="1327" w:type="dxa"/>
            <w:tcBorders>
              <w:start w:val="single" w:sz="4" w:space="0" w:color="000000"/>
            </w:tcBorders>
          </w:tcPr>
          <w:p>
            <w:pPr>
              <w:pStyle w:val="Normal"/>
              <w:spacing w:lineRule="auto" w:line="240"/>
              <w:jc w:val="end"/>
              <w:rPr/>
            </w:pPr>
            <w:r>
              <w:rPr/>
              <w:t>-0.0070</w:t>
            </w:r>
          </w:p>
        </w:tc>
        <w:tc>
          <w:tcPr>
            <w:tcW w:w="1327" w:type="dxa"/>
            <w:tcBorders>
              <w:end w:val="single" w:sz="4" w:space="0" w:color="000000"/>
            </w:tcBorders>
          </w:tcPr>
          <w:p>
            <w:pPr>
              <w:pStyle w:val="Normal"/>
              <w:spacing w:lineRule="auto" w:line="240"/>
              <w:jc w:val="end"/>
              <w:rPr/>
            </w:pPr>
            <w:r>
              <w:rPr/>
              <w:t>(0.0056)</w:t>
            </w:r>
          </w:p>
        </w:tc>
        <w:tc>
          <w:tcPr>
            <w:tcW w:w="1327" w:type="dxa"/>
            <w:tcBorders>
              <w:start w:val="single" w:sz="4" w:space="0" w:color="000000"/>
            </w:tcBorders>
          </w:tcPr>
          <w:p>
            <w:pPr>
              <w:pStyle w:val="Normal"/>
              <w:spacing w:lineRule="auto" w:line="240"/>
              <w:jc w:val="end"/>
              <w:rPr/>
            </w:pPr>
            <w:r>
              <w:rPr/>
              <w:t>1.8225</w:t>
            </w:r>
          </w:p>
        </w:tc>
        <w:tc>
          <w:tcPr>
            <w:tcW w:w="1327" w:type="dxa"/>
            <w:tcBorders>
              <w:end w:val="single" w:sz="4" w:space="0" w:color="000000"/>
            </w:tcBorders>
          </w:tcPr>
          <w:p>
            <w:pPr>
              <w:pStyle w:val="Normal"/>
              <w:spacing w:lineRule="auto" w:line="240"/>
              <w:jc w:val="end"/>
              <w:rPr/>
            </w:pPr>
            <w:r>
              <w:rPr/>
              <w:t>(1.4445)</w:t>
            </w:r>
          </w:p>
        </w:tc>
      </w:tr>
      <w:tr>
        <w:trPr/>
        <w:tc>
          <w:tcPr>
            <w:tcW w:w="1548" w:type="dxa"/>
            <w:tcBorders>
              <w:start w:val="single" w:sz="4" w:space="0" w:color="000000"/>
              <w:end w:val="single" w:sz="4" w:space="0" w:color="000000"/>
            </w:tcBorders>
          </w:tcPr>
          <w:p>
            <w:pPr>
              <w:pStyle w:val="Normal"/>
              <w:spacing w:lineRule="auto" w:line="240"/>
              <w:rPr/>
            </w:pPr>
            <w:r>
              <w:rPr/>
              <w:t>HH nat. gas</w:t>
            </w:r>
          </w:p>
        </w:tc>
        <w:tc>
          <w:tcPr>
            <w:tcW w:w="1104" w:type="dxa"/>
            <w:tcBorders>
              <w:start w:val="single" w:sz="4" w:space="0" w:color="000000"/>
            </w:tcBorders>
          </w:tcPr>
          <w:p>
            <w:pPr>
              <w:pStyle w:val="Normal"/>
              <w:spacing w:lineRule="auto" w:line="240"/>
              <w:jc w:val="end"/>
              <w:rPr/>
            </w:pPr>
            <w:r>
              <w:rPr/>
              <w:t>0.0168</w:t>
            </w:r>
          </w:p>
        </w:tc>
        <w:tc>
          <w:tcPr>
            <w:tcW w:w="1327" w:type="dxa"/>
            <w:tcBorders>
              <w:end w:val="single" w:sz="4" w:space="0" w:color="000000"/>
            </w:tcBorders>
          </w:tcPr>
          <w:p>
            <w:pPr>
              <w:pStyle w:val="Normal"/>
              <w:spacing w:lineRule="auto" w:line="240"/>
              <w:jc w:val="end"/>
              <w:rPr/>
            </w:pPr>
            <w:r>
              <w:rPr/>
              <w:t>(0.0097)</w:t>
            </w:r>
          </w:p>
        </w:tc>
        <w:tc>
          <w:tcPr>
            <w:tcW w:w="1327" w:type="dxa"/>
            <w:tcBorders>
              <w:start w:val="single" w:sz="4" w:space="0" w:color="000000"/>
            </w:tcBorders>
          </w:tcPr>
          <w:p>
            <w:pPr>
              <w:pStyle w:val="Normal"/>
              <w:spacing w:lineRule="auto" w:line="240"/>
              <w:jc w:val="end"/>
              <w:rPr/>
            </w:pPr>
            <w:r>
              <w:rPr/>
              <w:t>-0.0200</w:t>
            </w:r>
          </w:p>
        </w:tc>
        <w:tc>
          <w:tcPr>
            <w:tcW w:w="1327" w:type="dxa"/>
            <w:tcBorders>
              <w:end w:val="single" w:sz="4" w:space="0" w:color="000000"/>
            </w:tcBorders>
          </w:tcPr>
          <w:p>
            <w:pPr>
              <w:pStyle w:val="Normal"/>
              <w:spacing w:lineRule="auto" w:line="240"/>
              <w:jc w:val="end"/>
              <w:rPr/>
            </w:pPr>
            <w:r>
              <w:rPr/>
              <w:t>(0.0119)</w:t>
            </w:r>
          </w:p>
        </w:tc>
        <w:tc>
          <w:tcPr>
            <w:tcW w:w="1327" w:type="dxa"/>
            <w:tcBorders>
              <w:start w:val="single" w:sz="4" w:space="0" w:color="000000"/>
            </w:tcBorders>
          </w:tcPr>
          <w:p>
            <w:pPr>
              <w:pStyle w:val="Normal"/>
              <w:spacing w:lineRule="auto" w:line="240"/>
              <w:jc w:val="end"/>
              <w:rPr/>
            </w:pPr>
            <w:r>
              <w:rPr/>
              <w:t>5.2115</w:t>
            </w:r>
          </w:p>
        </w:tc>
        <w:tc>
          <w:tcPr>
            <w:tcW w:w="1327" w:type="dxa"/>
            <w:tcBorders>
              <w:end w:val="single" w:sz="4" w:space="0" w:color="000000"/>
            </w:tcBorders>
          </w:tcPr>
          <w:p>
            <w:pPr>
              <w:pStyle w:val="Normal"/>
              <w:spacing w:lineRule="auto" w:line="240"/>
              <w:jc w:val="end"/>
              <w:rPr/>
            </w:pPr>
            <w:r>
              <w:rPr/>
              <w:t>(3.0920)</w:t>
            </w:r>
          </w:p>
        </w:tc>
      </w:tr>
      <w:tr>
        <w:trPr/>
        <w:tc>
          <w:tcPr>
            <w:tcW w:w="1548" w:type="dxa"/>
            <w:tcBorders>
              <w:start w:val="single" w:sz="4" w:space="0" w:color="000000"/>
              <w:end w:val="single" w:sz="4" w:space="0" w:color="000000"/>
            </w:tcBorders>
          </w:tcPr>
          <w:p>
            <w:pPr>
              <w:pStyle w:val="Normal"/>
              <w:spacing w:lineRule="auto" w:line="240"/>
              <w:rPr/>
            </w:pPr>
            <w:r>
              <w:rPr/>
              <w:t>NSW daily</w:t>
            </w:r>
          </w:p>
        </w:tc>
        <w:tc>
          <w:tcPr>
            <w:tcW w:w="1104" w:type="dxa"/>
            <w:tcBorders>
              <w:start w:val="single" w:sz="4" w:space="0" w:color="000000"/>
            </w:tcBorders>
          </w:tcPr>
          <w:p>
            <w:pPr>
              <w:pStyle w:val="Normal"/>
              <w:spacing w:lineRule="auto" w:line="240"/>
              <w:jc w:val="end"/>
              <w:rPr/>
            </w:pPr>
            <w:r>
              <w:rPr/>
              <w:t>0.8301</w:t>
            </w:r>
          </w:p>
        </w:tc>
        <w:tc>
          <w:tcPr>
            <w:tcW w:w="1327" w:type="dxa"/>
            <w:tcBorders>
              <w:end w:val="single" w:sz="4" w:space="0" w:color="000000"/>
            </w:tcBorders>
          </w:tcPr>
          <w:p>
            <w:pPr>
              <w:pStyle w:val="Normal"/>
              <w:spacing w:lineRule="auto" w:line="240"/>
              <w:jc w:val="end"/>
              <w:rPr/>
            </w:pPr>
            <w:r>
              <w:rPr/>
              <w:t>(0.1115)</w:t>
            </w:r>
          </w:p>
        </w:tc>
        <w:tc>
          <w:tcPr>
            <w:tcW w:w="1327" w:type="dxa"/>
            <w:tcBorders>
              <w:start w:val="single" w:sz="4" w:space="0" w:color="000000"/>
            </w:tcBorders>
          </w:tcPr>
          <w:p>
            <w:pPr>
              <w:pStyle w:val="Normal"/>
              <w:spacing w:lineRule="auto" w:line="240"/>
              <w:jc w:val="end"/>
              <w:rPr/>
            </w:pPr>
            <w:r>
              <w:rPr/>
              <w:t>-0.2699</w:t>
            </w:r>
          </w:p>
        </w:tc>
        <w:tc>
          <w:tcPr>
            <w:tcW w:w="1327" w:type="dxa"/>
            <w:tcBorders>
              <w:end w:val="single" w:sz="4" w:space="0" w:color="000000"/>
            </w:tcBorders>
          </w:tcPr>
          <w:p>
            <w:pPr>
              <w:pStyle w:val="Normal"/>
              <w:spacing w:lineRule="auto" w:line="240"/>
              <w:jc w:val="end"/>
              <w:rPr/>
            </w:pPr>
            <w:r>
              <w:rPr/>
              <w:t>(0.0361)</w:t>
            </w:r>
          </w:p>
        </w:tc>
        <w:tc>
          <w:tcPr>
            <w:tcW w:w="1327" w:type="dxa"/>
            <w:tcBorders>
              <w:start w:val="single" w:sz="4" w:space="0" w:color="000000"/>
            </w:tcBorders>
          </w:tcPr>
          <w:p>
            <w:pPr>
              <w:pStyle w:val="Normal"/>
              <w:spacing w:lineRule="auto" w:line="240"/>
              <w:jc w:val="end"/>
              <w:rPr/>
            </w:pPr>
            <w:r>
              <w:rPr/>
              <w:t>98.5128</w:t>
            </w:r>
          </w:p>
        </w:tc>
        <w:tc>
          <w:tcPr>
            <w:tcW w:w="1327" w:type="dxa"/>
            <w:tcBorders>
              <w:end w:val="single" w:sz="4" w:space="0" w:color="000000"/>
            </w:tcBorders>
          </w:tcPr>
          <w:p>
            <w:pPr>
              <w:pStyle w:val="Normal"/>
              <w:spacing w:lineRule="auto" w:line="240"/>
              <w:jc w:val="end"/>
              <w:rPr/>
            </w:pPr>
            <w:r>
              <w:rPr/>
              <w:t>(13.1649)</w:t>
            </w:r>
          </w:p>
        </w:tc>
      </w:tr>
      <w:tr>
        <w:trPr/>
        <w:tc>
          <w:tcPr>
            <w:tcW w:w="1548" w:type="dxa"/>
            <w:tcBorders>
              <w:start w:val="single" w:sz="4" w:space="0" w:color="000000"/>
              <w:end w:val="single" w:sz="4" w:space="0" w:color="000000"/>
            </w:tcBorders>
          </w:tcPr>
          <w:p>
            <w:pPr>
              <w:pStyle w:val="Normal"/>
              <w:spacing w:lineRule="auto" w:line="240"/>
              <w:rPr/>
            </w:pPr>
            <w:r>
              <w:rPr/>
              <w:t>NSW 1/2h</w:t>
            </w:r>
          </w:p>
        </w:tc>
        <w:tc>
          <w:tcPr>
            <w:tcW w:w="1104" w:type="dxa"/>
            <w:tcBorders>
              <w:start w:val="single" w:sz="4" w:space="0" w:color="000000"/>
            </w:tcBorders>
          </w:tcPr>
          <w:p>
            <w:pPr>
              <w:pStyle w:val="Normal"/>
              <w:spacing w:lineRule="auto" w:line="240"/>
              <w:jc w:val="end"/>
              <w:rPr/>
            </w:pPr>
            <w:r>
              <w:rPr/>
              <w:t>0.3059</w:t>
            </w:r>
          </w:p>
        </w:tc>
        <w:tc>
          <w:tcPr>
            <w:tcW w:w="1327" w:type="dxa"/>
            <w:tcBorders>
              <w:end w:val="single" w:sz="4" w:space="0" w:color="000000"/>
            </w:tcBorders>
          </w:tcPr>
          <w:p>
            <w:pPr>
              <w:pStyle w:val="Normal"/>
              <w:spacing w:lineRule="auto" w:line="240"/>
              <w:jc w:val="end"/>
              <w:rPr/>
            </w:pPr>
            <w:r>
              <w:rPr/>
              <w:t>(0.0101)</w:t>
            </w:r>
          </w:p>
        </w:tc>
        <w:tc>
          <w:tcPr>
            <w:tcW w:w="1327" w:type="dxa"/>
            <w:tcBorders>
              <w:start w:val="single" w:sz="4" w:space="0" w:color="000000"/>
            </w:tcBorders>
          </w:tcPr>
          <w:p>
            <w:pPr>
              <w:pStyle w:val="Normal"/>
              <w:spacing w:lineRule="auto" w:line="240"/>
              <w:jc w:val="end"/>
              <w:rPr/>
            </w:pPr>
            <w:r>
              <w:rPr/>
              <w:t>-0.1010</w:t>
            </w:r>
          </w:p>
        </w:tc>
        <w:tc>
          <w:tcPr>
            <w:tcW w:w="1327" w:type="dxa"/>
            <w:tcBorders>
              <w:end w:val="single" w:sz="4" w:space="0" w:color="000000"/>
            </w:tcBorders>
          </w:tcPr>
          <w:p>
            <w:pPr>
              <w:pStyle w:val="Normal"/>
              <w:spacing w:lineRule="auto" w:line="240"/>
              <w:jc w:val="end"/>
              <w:rPr/>
            </w:pPr>
            <w:r>
              <w:rPr/>
              <w:t>(0.0033)</w:t>
            </w:r>
          </w:p>
        </w:tc>
        <w:tc>
          <w:tcPr>
            <w:tcW w:w="1327" w:type="dxa"/>
            <w:tcBorders>
              <w:start w:val="single" w:sz="4" w:space="0" w:color="000000"/>
            </w:tcBorders>
          </w:tcPr>
          <w:p>
            <w:pPr>
              <w:pStyle w:val="Normal"/>
              <w:spacing w:lineRule="auto" w:line="240"/>
              <w:jc w:val="end"/>
              <w:rPr/>
            </w:pPr>
            <w:r>
              <w:rPr/>
              <w:t>1769.9766</w:t>
            </w:r>
          </w:p>
        </w:tc>
        <w:tc>
          <w:tcPr>
            <w:tcW w:w="1327" w:type="dxa"/>
            <w:tcBorders>
              <w:end w:val="single" w:sz="4" w:space="0" w:color="000000"/>
            </w:tcBorders>
          </w:tcPr>
          <w:p>
            <w:pPr>
              <w:pStyle w:val="Normal"/>
              <w:spacing w:lineRule="auto" w:line="240"/>
              <w:jc w:val="end"/>
              <w:rPr/>
            </w:pPr>
            <w:r>
              <w:rPr/>
              <w:t>(57.9761)</w:t>
            </w:r>
          </w:p>
        </w:tc>
      </w:tr>
      <w:tr>
        <w:trPr/>
        <w:tc>
          <w:tcPr>
            <w:tcW w:w="1548" w:type="dxa"/>
            <w:tcBorders>
              <w:start w:val="single" w:sz="4" w:space="0" w:color="000000"/>
              <w:bottom w:val="single" w:sz="4" w:space="0" w:color="000000"/>
              <w:end w:val="single" w:sz="4" w:space="0" w:color="000000"/>
            </w:tcBorders>
          </w:tcPr>
          <w:p>
            <w:pPr>
              <w:pStyle w:val="Normal"/>
              <w:spacing w:lineRule="auto" w:line="240"/>
              <w:rPr/>
            </w:pPr>
            <w:r>
              <w:rPr/>
              <w:t>CalPX</w:t>
            </w:r>
          </w:p>
        </w:tc>
        <w:tc>
          <w:tcPr>
            <w:tcW w:w="1104" w:type="dxa"/>
            <w:tcBorders>
              <w:start w:val="single" w:sz="4" w:space="0" w:color="000000"/>
              <w:bottom w:val="single" w:sz="4" w:space="0" w:color="000000"/>
            </w:tcBorders>
          </w:tcPr>
          <w:p>
            <w:pPr>
              <w:pStyle w:val="Normal"/>
              <w:spacing w:lineRule="auto" w:line="240"/>
              <w:jc w:val="end"/>
              <w:rPr/>
            </w:pPr>
            <w:r>
              <w:rPr/>
              <w:t>0.4406</w:t>
            </w:r>
          </w:p>
        </w:tc>
        <w:tc>
          <w:tcPr>
            <w:tcW w:w="1327" w:type="dxa"/>
            <w:tcBorders>
              <w:bottom w:val="single" w:sz="4" w:space="0" w:color="000000"/>
              <w:end w:val="single" w:sz="4" w:space="0" w:color="000000"/>
            </w:tcBorders>
          </w:tcPr>
          <w:p>
            <w:pPr>
              <w:pStyle w:val="Normal"/>
              <w:spacing w:lineRule="auto" w:line="240"/>
              <w:jc w:val="end"/>
              <w:rPr/>
            </w:pPr>
            <w:r>
              <w:rPr/>
              <w:t>(0.0846)</w:t>
            </w:r>
          </w:p>
        </w:tc>
        <w:tc>
          <w:tcPr>
            <w:tcW w:w="1327" w:type="dxa"/>
            <w:tcBorders>
              <w:start w:val="single" w:sz="4" w:space="0" w:color="000000"/>
              <w:bottom w:val="single" w:sz="4" w:space="0" w:color="000000"/>
            </w:tcBorders>
          </w:tcPr>
          <w:p>
            <w:pPr>
              <w:pStyle w:val="Normal"/>
              <w:spacing w:lineRule="auto" w:line="240"/>
              <w:jc w:val="end"/>
              <w:rPr/>
            </w:pPr>
            <w:r>
              <w:rPr/>
              <w:t>-0.1337</w:t>
            </w:r>
          </w:p>
        </w:tc>
        <w:tc>
          <w:tcPr>
            <w:tcW w:w="1327" w:type="dxa"/>
            <w:tcBorders>
              <w:bottom w:val="single" w:sz="4" w:space="0" w:color="000000"/>
              <w:end w:val="single" w:sz="4" w:space="0" w:color="000000"/>
            </w:tcBorders>
          </w:tcPr>
          <w:p>
            <w:pPr>
              <w:pStyle w:val="Normal"/>
              <w:spacing w:lineRule="auto" w:line="240"/>
              <w:jc w:val="end"/>
              <w:rPr/>
            </w:pPr>
            <w:r>
              <w:rPr/>
              <w:t>(0.0256)</w:t>
            </w:r>
          </w:p>
        </w:tc>
        <w:tc>
          <w:tcPr>
            <w:tcW w:w="1327" w:type="dxa"/>
            <w:tcBorders>
              <w:start w:val="single" w:sz="4" w:space="0" w:color="000000"/>
              <w:bottom w:val="single" w:sz="4" w:space="0" w:color="000000"/>
            </w:tcBorders>
          </w:tcPr>
          <w:p>
            <w:pPr>
              <w:pStyle w:val="Normal"/>
              <w:spacing w:lineRule="auto" w:line="240"/>
              <w:jc w:val="end"/>
              <w:rPr/>
            </w:pPr>
            <w:r>
              <w:rPr/>
              <w:t>48.8159</w:t>
            </w:r>
          </w:p>
        </w:tc>
        <w:tc>
          <w:tcPr>
            <w:tcW w:w="1327" w:type="dxa"/>
            <w:tcBorders>
              <w:bottom w:val="single" w:sz="4" w:space="0" w:color="000000"/>
              <w:end w:val="single" w:sz="4" w:space="0" w:color="000000"/>
            </w:tcBorders>
          </w:tcPr>
          <w:p>
            <w:pPr>
              <w:pStyle w:val="Normal"/>
              <w:spacing w:lineRule="auto" w:line="240"/>
              <w:jc w:val="end"/>
              <w:rPr/>
            </w:pPr>
            <w:r>
              <w:rPr/>
              <w:t>(9.3611)</w:t>
            </w:r>
          </w:p>
        </w:tc>
      </w:tr>
    </w:tbl>
    <w:p>
      <w:pPr>
        <w:pStyle w:val="Header"/>
        <w:tabs>
          <w:tab w:val="clear" w:pos="4320"/>
          <w:tab w:val="clear" w:pos="8640"/>
        </w:tabs>
        <w:rPr/>
      </w:pPr>
      <w:r>
        <w:rPr/>
      </w:r>
    </w:p>
    <w:p>
      <w:pPr>
        <w:pStyle w:val="Normal"/>
        <w:rPr/>
      </w:pPr>
      <w:r>
        <w:rPr/>
        <w:t>Mean reversion rates for most energy prices, with the obvious exception of electricity, are relatively low with half lives typically between one and six months.  Half lives for electricity prices are generally a few hours – for example the figure for half hourly NSW electricity prices is approximately 3.5 hours.  The low levels of mean reversion imply that typically at least a years worth of daily data is required to obtain reasonably accurate estimates of the mean reversion rate.  In electricity markets the spot price can often be observed on an hourly or half-hourly basis which gives between roughly 720 and 1440 data points per month.  Therefore it is possible, for electricity spot prices, to estimate seasonal mean reversion parameters on a monthly or even weekly basis.  Figure 3 displays estimates of the mean reversion rate for NSW spot prices on a weekly basis, using half hourly observed prices for 1999.</w:t>
      </w:r>
    </w:p>
    <w:p>
      <w:pPr>
        <w:pStyle w:val="Normal"/>
        <w:rPr/>
      </w:pPr>
      <w:r>
        <w:rPr/>
      </w:r>
    </w:p>
    <w:p>
      <w:pPr>
        <w:pStyle w:val="Normal"/>
        <w:jc w:val="center"/>
        <w:rPr>
          <w:b/>
        </w:rPr>
      </w:pPr>
      <w:r>
        <w:drawing>
          <wp:anchor behindDoc="0" distT="0" distB="0" distL="114935" distR="114935" simplePos="0" locked="0" layoutInCell="0" allowOverlap="1" relativeHeight="21">
            <wp:simplePos x="0" y="0"/>
            <wp:positionH relativeFrom="column">
              <wp:posOffset>979805</wp:posOffset>
            </wp:positionH>
            <wp:positionV relativeFrom="paragraph">
              <wp:posOffset>432435</wp:posOffset>
            </wp:positionV>
            <wp:extent cx="4114800" cy="252984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4" t="-6" r="-4" b="-6"/>
                    <a:stretch>
                      <a:fillRect/>
                    </a:stretch>
                  </pic:blipFill>
                  <pic:spPr bwMode="auto">
                    <a:xfrm>
                      <a:off x="0" y="0"/>
                      <a:ext cx="4114800" cy="2529840"/>
                    </a:xfrm>
                    <a:prstGeom prst="rect">
                      <a:avLst/>
                    </a:prstGeom>
                    <a:noFill/>
                  </pic:spPr>
                </pic:pic>
              </a:graphicData>
            </a:graphic>
          </wp:anchor>
        </w:drawing>
      </w:r>
      <w:r>
        <w:rPr>
          <w:b/>
        </w:rPr>
        <w:t>Figure 3 : Mean Reversion Rate of NSW Electricity Pool Prices on a Weekly Basis</w:t>
      </w:r>
    </w:p>
    <w:p>
      <w:pPr>
        <w:pStyle w:val="Normal"/>
        <w:rPr>
          <w:b/>
        </w:rPr>
      </w:pPr>
      <w:r>
        <w:rPr>
          <w:b/>
        </w:rPr>
      </w:r>
    </w:p>
    <w:p>
      <w:pPr>
        <w:pStyle w:val="Normal"/>
        <w:rPr>
          <w:color w:val="000000"/>
        </w:rPr>
      </w:pPr>
      <w:r>
        <w:rPr>
          <w:color w:val="000000"/>
        </w:rPr>
      </w:r>
    </w:p>
    <w:p>
      <w:pPr>
        <w:pStyle w:val="Heading7"/>
        <w:ind w:hanging="0" w:start="0"/>
        <w:rPr/>
      </w:pPr>
      <w:r>
        <w:rPr/>
        <w:t>Concluding remarks</w:t>
      </w:r>
    </w:p>
    <w:p>
      <w:pPr>
        <w:pStyle w:val="Normal"/>
        <w:rPr>
          <w:color w:val="000000"/>
        </w:rPr>
      </w:pPr>
      <w:r>
        <w:rPr>
          <w:color w:val="000000"/>
        </w:rPr>
      </w:r>
    </w:p>
    <w:p>
      <w:pPr>
        <w:pStyle w:val="Normal"/>
        <w:rPr>
          <w:color w:val="000000"/>
        </w:rPr>
      </w:pPr>
      <w:r>
        <w:rPr>
          <w:color w:val="000000"/>
        </w:rPr>
        <w:t>For some energy commodities, particularly power, more complex behaviour than the pure mean reversion model of this article may exist and should be incorporated in trading systems.  First of all, the speed of mean reversion may be different below and above the long-term level.  Secondly, in many markets, especially in the case of electricity, one can expect more departures to the upside, than to the downside.  Thirdly, price spikes are often observed which frequently appear to be ‘neutralized’ shortly after the initial spike.  The mean reversion process generally produces a re-adjustment that is less abrupt.  However, in markets such as oil and gas the pure mean reversion model gives a simple and robust way to capture a key property of the data.  In our next article we discuss explicitly incorporating price jumps into the model.</w:t>
      </w:r>
    </w:p>
    <w:p>
      <w:pPr>
        <w:pStyle w:val="Normal"/>
        <w:rPr/>
      </w:pPr>
      <w:r>
        <w:rPr/>
      </w:r>
    </w:p>
    <w:p>
      <w:pPr>
        <w:pStyle w:val="Normal"/>
        <w:spacing w:lineRule="auto" w:line="240"/>
        <w:rPr>
          <w:b/>
          <w:sz w:val="20"/>
        </w:rPr>
      </w:pPr>
      <w:r>
        <w:rPr>
          <w:b/>
          <w:sz w:val="20"/>
        </w:rPr>
        <w:t xml:space="preserve">Les Clewlow and Chris Strickland are affiliated to the School of Finance and Economics, University of Technology Sydney, Australia and the Financial Options Research Centre, Warwick Business School, University of Warwick, UK and are Principals of Lacima Group Ltd, </w:t>
      </w:r>
      <w:hyperlink r:id="rId5">
        <w:r>
          <w:rPr>
            <w:rStyle w:val="Hyperlink"/>
            <w:b/>
            <w:sz w:val="20"/>
          </w:rPr>
          <w:t>www.lacimagroup.com</w:t>
        </w:r>
      </w:hyperlink>
    </w:p>
    <w:p>
      <w:pPr>
        <w:pStyle w:val="Normal"/>
        <w:spacing w:lineRule="auto" w:line="240"/>
        <w:rPr>
          <w:b/>
          <w:sz w:val="20"/>
        </w:rPr>
      </w:pPr>
      <w:r>
        <w:rPr>
          <w:b/>
          <w:sz w:val="20"/>
        </w:rPr>
      </w:r>
    </w:p>
    <w:p>
      <w:pPr>
        <w:pStyle w:val="TOC1"/>
        <w:tabs>
          <w:tab w:val="clear" w:pos="9027"/>
        </w:tabs>
        <w:spacing w:lineRule="auto" w:line="240" w:before="0" w:after="0"/>
        <w:rPr>
          <w:bCs/>
          <w:caps w:val="false"/>
          <w:smallCaps w:val="false"/>
        </w:rPr>
      </w:pPr>
      <w:r>
        <w:rPr>
          <w:bCs/>
          <w:caps w:val="false"/>
          <w:smallCaps w:val="false"/>
        </w:rPr>
        <w:t>Vince Kaminski is Managing Director and Head of Research for Enron Corp,</w:t>
      </w:r>
    </w:p>
    <w:p>
      <w:pPr>
        <w:pStyle w:val="Equation"/>
        <w:tabs>
          <w:tab w:val="clear" w:pos="4320"/>
          <w:tab w:val="clear" w:pos="8100"/>
        </w:tabs>
        <w:rPr>
          <w:bCs/>
          <w:caps/>
        </w:rPr>
      </w:pPr>
      <w:r>
        <w:rPr>
          <w:bCs/>
          <w:caps/>
        </w:rPr>
      </w:r>
    </w:p>
    <w:p>
      <w:pPr>
        <w:pStyle w:val="Heading3"/>
        <w:ind w:hanging="0" w:start="0"/>
        <w:rPr/>
      </w:pPr>
      <w:r>
        <w:rPr/>
        <w:t>References</w:t>
      </w:r>
    </w:p>
    <w:p>
      <w:pPr>
        <w:pStyle w:val="Normal"/>
        <w:spacing w:lineRule="auto" w:line="240"/>
        <w:rPr>
          <w:sz w:val="20"/>
        </w:rPr>
      </w:pPr>
      <w:r>
        <w:rPr>
          <w:sz w:val="20"/>
        </w:rPr>
      </w:r>
    </w:p>
    <w:p>
      <w:pPr>
        <w:pStyle w:val="Normal"/>
        <w:ind w:end="-331"/>
        <w:rPr/>
      </w:pPr>
      <w:r>
        <w:rPr>
          <w:color w:val="000000"/>
          <w:sz w:val="20"/>
        </w:rPr>
        <w:t xml:space="preserve">Vasicek O., 1977, "An Equilibrium Characterisation of the Term Structure", </w:t>
      </w:r>
      <w:r>
        <w:rPr>
          <w:i/>
          <w:color w:val="000000"/>
          <w:sz w:val="20"/>
        </w:rPr>
        <w:t>Journal of Financial Economics</w:t>
      </w:r>
      <w:r>
        <w:rPr>
          <w:color w:val="000000"/>
          <w:sz w:val="20"/>
        </w:rPr>
        <w:t>, No. 5, pp. 177-188.</w:t>
      </w:r>
    </w:p>
    <w:p>
      <w:pPr>
        <w:pStyle w:val="Normal"/>
        <w:spacing w:lineRule="auto" w:line="240"/>
        <w:rPr>
          <w:color w:val="000000"/>
          <w:sz w:val="20"/>
        </w:rPr>
      </w:pPr>
      <w:r>
        <w:rPr>
          <w:color w:val="000000"/>
          <w:sz w:val="20"/>
        </w:rPr>
      </w:r>
    </w:p>
    <w:p>
      <w:pPr>
        <w:pStyle w:val="Normal"/>
        <w:spacing w:lineRule="auto" w:line="240"/>
        <w:rPr/>
      </w:pPr>
      <w:r>
        <w:rPr>
          <w:sz w:val="20"/>
        </w:rPr>
        <w:t>Clewlow, L, and C Strickland, 2000, “</w:t>
      </w:r>
      <w:r>
        <w:rPr>
          <w:i/>
          <w:iCs/>
          <w:sz w:val="20"/>
        </w:rPr>
        <w:t>Energy Derivatives: Pricing and Risk Management</w:t>
      </w:r>
      <w:r>
        <w:rPr>
          <w:sz w:val="20"/>
        </w:rPr>
        <w:t>”, Lacima Publications.</w:t>
      </w:r>
    </w:p>
    <w:p>
      <w:pPr>
        <w:pStyle w:val="Normal"/>
        <w:rPr>
          <w:sz w:val="20"/>
        </w:rPr>
      </w:pPr>
      <w:r>
        <w:rPr>
          <w:sz w:val="20"/>
        </w:rPr>
      </w:r>
    </w:p>
    <w:sectPr>
      <w:headerReference w:type="default" r:id="rId6"/>
      <w:footerReference w:type="default" r:id="rId7"/>
      <w:footnotePr>
        <w:numFmt w:val="decimal"/>
      </w:footnotePr>
      <w:type w:val="nextPage"/>
      <w:pgSz w:w="11906" w:h="16838"/>
      <w:pgMar w:left="1418" w:right="1418" w:gutter="0" w:header="709" w:top="1418"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536" w:leader="none"/>
        <w:tab w:val="right" w:pos="8931" w:leader="none"/>
      </w:tabs>
      <w:rPr/>
    </w:pPr>
    <w:r>
      <w:rPr>
        <w:i/>
      </w:rPr>
      <w:fldChar w:fldCharType="begin"/>
    </w:r>
    <w:r>
      <w:rPr>
        <w:i/>
      </w:rPr>
      <w:instrText xml:space="preserve"> FILENAME </w:instrText>
    </w:r>
    <w:r>
      <w:rPr>
        <w:i/>
      </w:rPr>
      <w:fldChar w:fldCharType="separate"/>
    </w:r>
    <w:r>
      <w:rPr>
        <w:i/>
      </w:rPr>
      <w:t>EPRM_02_mr.doc</w:t>
    </w:r>
    <w:r>
      <w:rPr>
        <w:i/>
      </w:rPr>
      <w:fldChar w:fldCharType="end"/>
    </w:r>
    <w:r>
      <w:rPr>
        <w:i/>
      </w:rPr>
      <w:tab/>
      <w:t>© Copyright Les Clewlow, Chris Strickland and Vince Kaminski, 2000</w:t>
      <w:tab/>
    </w:r>
    <w:r>
      <w:rPr/>
      <w:fldChar w:fldCharType="begin"/>
    </w:r>
    <w:r>
      <w:rPr/>
      <w:instrText xml:space="preserve"> PAGE </w:instrText>
    </w:r>
    <w:r>
      <w:rPr/>
      <w:fldChar w:fldCharType="separate"/>
    </w:r>
    <w:r>
      <w:rPr/>
      <w:t>6</w:t>
    </w:r>
    <w:r>
      <w:rPr/>
      <w:fldChar w:fldCharType="end"/>
    </w:r>
    <w:r>
      <w:rPr/>
      <w:t>/</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material in this article is based on chapters 2 and 3 of Clewlow and Strickland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536" w:leader="none"/>
        <w:tab w:val="right" w:pos="8931" w:leader="none"/>
      </w:tabs>
      <w:rPr>
        <w:i/>
        <w:i/>
        <w:sz w:val="20"/>
      </w:rPr>
    </w:pPr>
    <w:r>
      <w:rPr>
        <w:i/>
        <w:sz w:val="20"/>
      </w:rPr>
      <w:t>Mean Reversion in Energy Prices – Models and Estimation</w:t>
      <w:tab/>
      <w:t>Energy and Power Risk Management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Times New Roman" w:hAnsi="Times New Roman" w:eastAsia="Times New Roman" w:cs="Times New Roman"/>
      <w:color w:val="000000"/>
      <w:sz w:val="24"/>
      <w:szCs w:val="20"/>
      <w:lang w:val="en-GB" w:bidi="ar-SA" w:eastAsia="zh-CN"/>
    </w:rPr>
  </w:style>
  <w:style w:type="paragraph" w:styleId="Heading1">
    <w:name w:val="heading 1"/>
    <w:basedOn w:val="Normal"/>
    <w:next w:val="Normal"/>
    <w:qFormat/>
    <w:pPr>
      <w:numPr>
        <w:ilvl w:val="0"/>
        <w:numId w:val="1"/>
      </w:numPr>
      <w:jc w:val="center"/>
      <w:outlineLvl w:val="0"/>
    </w:pPr>
    <w:rPr>
      <w:b/>
      <w:color w:val="FF0000"/>
      <w:sz w:val="32"/>
    </w:rPr>
  </w:style>
  <w:style w:type="paragraph" w:styleId="Heading2">
    <w:name w:val="heading 2"/>
    <w:basedOn w:val="Normal"/>
    <w:next w:val="Normal"/>
    <w:qFormat/>
    <w:pPr>
      <w:numPr>
        <w:ilvl w:val="1"/>
        <w:numId w:val="1"/>
      </w:numPr>
      <w:outlineLvl w:val="1"/>
    </w:pPr>
    <w:rPr>
      <w:b/>
      <w:color w:val="FF0000"/>
    </w:rPr>
  </w:style>
  <w:style w:type="paragraph" w:styleId="Heading3">
    <w:name w:val="heading 3"/>
    <w:basedOn w:val="Normal"/>
    <w:next w:val="Normal"/>
    <w:qFormat/>
    <w:pPr>
      <w:numPr>
        <w:ilvl w:val="2"/>
        <w:numId w:val="1"/>
      </w:numPr>
      <w:outlineLvl w:val="2"/>
    </w:pPr>
    <w:rPr>
      <w:b/>
      <w:color w:val="FF0000"/>
    </w:rPr>
  </w:style>
  <w:style w:type="paragraph" w:styleId="Heading4">
    <w:name w:val="heading 4"/>
    <w:basedOn w:val="Normal"/>
    <w:next w:val="Normal"/>
    <w:qFormat/>
    <w:pPr>
      <w:keepNext w:val="true"/>
      <w:numPr>
        <w:ilvl w:val="3"/>
        <w:numId w:val="1"/>
      </w:numPr>
      <w:outlineLvl w:val="3"/>
    </w:pPr>
    <w:rPr>
      <w:b/>
      <w:bCs/>
    </w:rPr>
  </w:style>
  <w:style w:type="paragraph" w:styleId="Heading5">
    <w:name w:val="heading 5"/>
    <w:basedOn w:val="Normal"/>
    <w:next w:val="Normal"/>
    <w:qFormat/>
    <w:pPr>
      <w:keepNext w:val="true"/>
      <w:numPr>
        <w:ilvl w:val="4"/>
        <w:numId w:val="1"/>
      </w:numPr>
      <w:jc w:val="center"/>
      <w:outlineLvl w:val="4"/>
    </w:pPr>
    <w:rPr>
      <w:b/>
      <w:bCs/>
    </w:rPr>
  </w:style>
  <w:style w:type="paragraph" w:styleId="Heading6">
    <w:name w:val="heading 6"/>
    <w:basedOn w:val="Normal"/>
    <w:next w:val="Normal"/>
    <w:qFormat/>
    <w:pPr>
      <w:keepNext w:val="true"/>
      <w:numPr>
        <w:ilvl w:val="5"/>
        <w:numId w:val="1"/>
      </w:numPr>
      <w:outlineLvl w:val="5"/>
    </w:pPr>
    <w:rPr>
      <w:i/>
      <w:iCs/>
    </w:rPr>
  </w:style>
  <w:style w:type="paragraph" w:styleId="Heading7">
    <w:name w:val="heading 7"/>
    <w:basedOn w:val="Normal"/>
    <w:next w:val="Normal"/>
    <w:qFormat/>
    <w:pPr>
      <w:keepNext w:val="true"/>
      <w:numPr>
        <w:ilvl w:val="6"/>
        <w:numId w:val="1"/>
      </w:numPr>
      <w:outlineLvl w:val="6"/>
    </w:pPr>
    <w:rPr>
      <w:b/>
      <w:bCs/>
      <w:color w:val="000000"/>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overflowPunct w:val="false"/>
      <w:autoSpaceDE w:val="false"/>
      <w:spacing w:lineRule="auto" w:line="240"/>
      <w:jc w:val="center"/>
      <w:textAlignment w:val="baseline"/>
    </w:pPr>
    <w:rPr>
      <w:b/>
      <w:color w:val="000000"/>
    </w:rPr>
  </w:style>
  <w:style w:type="paragraph" w:styleId="BodyText">
    <w:name w:val="Body Text"/>
    <w:basedOn w:val="Normal"/>
    <w:pPr>
      <w:jc w:val="center"/>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Equation">
    <w:name w:val="Equation"/>
    <w:basedOn w:val="Normal"/>
    <w:qFormat/>
    <w:pPr>
      <w:tabs>
        <w:tab w:val="clear" w:pos="720"/>
        <w:tab w:val="center" w:pos="4320" w:leader="none"/>
        <w:tab w:val="left" w:pos="8100" w:leader="none"/>
      </w:tabs>
      <w:spacing w:lineRule="auto" w:line="240"/>
    </w:pPr>
    <w:rPr/>
  </w:style>
  <w:style w:type="paragraph" w:styleId="FootnoteText">
    <w:name w:val="footnote text"/>
    <w:basedOn w:val="Normal"/>
    <w:pPr/>
    <w:rPr>
      <w:sz w:val="20"/>
    </w:rPr>
  </w:style>
  <w:style w:type="paragraph" w:styleId="TOC6">
    <w:name w:val="toc 6"/>
    <w:basedOn w:val="Normal"/>
    <w:next w:val="Normal"/>
    <w:pPr>
      <w:spacing w:lineRule="auto" w:line="240"/>
      <w:ind w:hanging="0" w:start="2000" w:end="0"/>
    </w:pPr>
    <w:rPr>
      <w:color w:val="000000"/>
      <w:sz w:val="18"/>
    </w:rPr>
  </w:style>
  <w:style w:type="paragraph" w:styleId="DocumentMap">
    <w:name w:val="Document Map"/>
    <w:basedOn w:val="Normal"/>
    <w:qFormat/>
    <w:pPr>
      <w:shd w:fill="000080" w:val="clear"/>
    </w:pPr>
    <w:rPr>
      <w:rFonts w:ascii="Tahoma" w:hAnsi="Tahoma" w:cs="Tahoma"/>
    </w:rPr>
  </w:style>
  <w:style w:type="paragraph" w:styleId="Subtitle">
    <w:name w:val="Subtitle"/>
    <w:basedOn w:val="Normal"/>
    <w:next w:val="BodyText"/>
    <w:qFormat/>
    <w:pPr>
      <w:overflowPunct w:val="false"/>
      <w:autoSpaceDE w:val="false"/>
      <w:spacing w:lineRule="auto" w:line="240"/>
      <w:jc w:val="center"/>
      <w:textAlignment w:val="baseline"/>
    </w:pPr>
    <w:rPr>
      <w:b/>
      <w:color w:val="000000"/>
    </w:rPr>
  </w:style>
  <w:style w:type="paragraph" w:styleId="BodyText2">
    <w:name w:val="Body Text 2"/>
    <w:basedOn w:val="Normal"/>
    <w:qFormat/>
    <w:pPr/>
    <w:rPr>
      <w:i/>
      <w:iCs/>
    </w:rPr>
  </w:style>
  <w:style w:type="paragraph" w:styleId="TOC1">
    <w:name w:val="toc 1"/>
    <w:basedOn w:val="Normal"/>
    <w:next w:val="Normal"/>
    <w:pPr>
      <w:tabs>
        <w:tab w:val="clear" w:pos="720"/>
        <w:tab w:val="right" w:pos="9027" w:leader="dot"/>
      </w:tabs>
      <w:spacing w:before="120" w:after="120"/>
    </w:pPr>
    <w:rPr>
      <w:b/>
      <w:cap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hyperlink" Target="http://www.lacima.co.uk/"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2000-09-11T22:36:00Z</dcterms:created>
  <dc:creator>Chris Strickland</dc:creator>
  <dc:description/>
  <dc:language>en-CA</dc:language>
  <cp:lastModifiedBy>Les Clewlow</cp:lastModifiedBy>
  <cp:lastPrinted>2000-10-08T18:32:00Z</cp:lastPrinted>
  <dcterms:modified xsi:type="dcterms:W3CDTF">2000-10-10T04:28:00Z</dcterms:modified>
  <cp:revision>19</cp:revision>
  <dc:subject>Introduction and outline</dc:subject>
  <dc:title>Numerical Methods Course (session 01)</dc:title>
</cp:coreProperties>
</file>