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Before the Federal Energy Regulatory Commission</w:t>
      </w:r>
    </w:p>
    <w:p>
      <w:pPr>
        <w:pStyle w:val="Heading"/>
        <w:rPr/>
      </w:pPr>
      <w:r>
        <w:rPr/>
      </w:r>
    </w:p>
    <w:p>
      <w:pPr>
        <w:pStyle w:val="Heading"/>
        <w:rPr/>
      </w:pPr>
      <w:r>
        <w:rPr/>
        <w:t xml:space="preserve">Technical Conference Concerning </w:t>
      </w:r>
    </w:p>
    <w:p>
      <w:pPr>
        <w:pStyle w:val="Heading"/>
        <w:rPr/>
      </w:pPr>
      <w:r>
        <w:rPr/>
        <w:t>West-wide Price Mitigation for the Winter Season</w:t>
      </w:r>
    </w:p>
    <w:p>
      <w:pPr>
        <w:pStyle w:val="Heading"/>
        <w:rPr/>
      </w:pPr>
      <w:r>
        <w:rPr/>
        <w:t>October 29, 2001</w:t>
      </w:r>
    </w:p>
    <w:p>
      <w:pPr>
        <w:pStyle w:val="Heading"/>
        <w:rPr/>
      </w:pPr>
      <w:r>
        <w:rPr/>
      </w:r>
    </w:p>
    <w:p>
      <w:pPr>
        <w:pStyle w:val="Heading"/>
        <w:rPr/>
      </w:pPr>
      <w:r>
        <w:rPr/>
        <w:t>Comments of Enron Electric Power Marketing (EPMI)</w:t>
      </w:r>
    </w:p>
    <w:p>
      <w:pPr>
        <w:pStyle w:val="Normal"/>
        <w:rPr>
          <w:bCs/>
        </w:rPr>
      </w:pPr>
      <w:r>
        <w:rPr>
          <w:bCs/>
        </w:rPr>
      </w:r>
    </w:p>
    <w:p>
      <w:pPr>
        <w:pStyle w:val="Normal"/>
        <w:numPr>
          <w:ilvl w:val="0"/>
          <w:numId w:val="2"/>
        </w:numPr>
        <w:rPr>
          <w:bCs/>
        </w:rPr>
      </w:pPr>
      <w:r>
        <w:rPr>
          <w:b/>
        </w:rPr>
        <w:t>Introduction</w:t>
      </w:r>
      <w:r>
        <w:rPr>
          <w:bCs/>
        </w:rPr>
        <w:t xml:space="preserve">.  Good afternoon, I am Alan Comnes, Director of Government Affairs for Enron Corp.  I support Enron’s power marketing affiliate, Enron Power Marketing, Incorporated, or EPMI.  EPMI has operated as a power marketer in the Western Interconnection since 1994.  Today, EPMI operates in all major markets in the Interconnection.  EPMI does not own an appreciable amount of generation in the West and as a marketer serves both customers and suppliers.  EPMI trades both physical power and financial hedges and trades power on both a short- and long-term basis.  EPMI is a member of the Transaction Finality Group, or TGF, and is affiliated with Portland General--both of these entities have speakers at today’s workshop.  As a marketer with a broad scope, </w:t>
      </w:r>
      <w:r>
        <w:rPr>
          <w:b/>
        </w:rPr>
        <w:t>EPMI requested to directly participate today to assist the Commission in understanding the implications of continuing the West-wide cap</w:t>
      </w:r>
      <w:r>
        <w:rPr>
          <w:bCs/>
        </w:rPr>
        <w:t>. I work on EPMI’s trading floor on a daily basis and have first-hand knowledge of how the Commission’s cap has affected markets thus far.</w:t>
      </w:r>
    </w:p>
    <w:p>
      <w:pPr>
        <w:pStyle w:val="Normal"/>
        <w:numPr>
          <w:ilvl w:val="0"/>
          <w:numId w:val="2"/>
        </w:numPr>
        <w:rPr>
          <w:bCs/>
        </w:rPr>
      </w:pPr>
      <w:r>
        <w:rPr>
          <w:bCs/>
        </w:rPr>
        <w:t xml:space="preserve">Dr. Tabors has given (will give) you information on how the West operates as an integrated market and the importance of the opportunity cost of hydroelectric power in defining efficient, competitive prices.  EPMI supports TGF's comments in this regard.  </w:t>
      </w:r>
      <w:r>
        <w:rPr>
          <w:b/>
        </w:rPr>
        <w:t xml:space="preserve"> The message I want to deliver you today is the need for the Commission to provide consistent rules to restore confidence in the market place</w:t>
      </w:r>
      <w:r>
        <w:rPr>
          <w:bCs/>
        </w:rPr>
        <w:t>. Consider that so far</w:t>
      </w:r>
    </w:p>
    <w:p>
      <w:pPr>
        <w:pStyle w:val="Normal"/>
        <w:numPr>
          <w:ilvl w:val="1"/>
          <w:numId w:val="2"/>
        </w:numPr>
        <w:rPr>
          <w:bCs/>
        </w:rPr>
      </w:pPr>
      <w:r>
        <w:rPr>
          <w:bCs/>
        </w:rPr>
        <w:t xml:space="preserve">The Commission’s price mitigation in California or the West has had </w:t>
      </w:r>
      <w:r>
        <w:rPr>
          <w:bCs/>
          <w:i/>
          <w:iCs/>
        </w:rPr>
        <w:t>seven</w:t>
      </w:r>
      <w:r>
        <w:rPr>
          <w:bCs/>
        </w:rPr>
        <w:t xml:space="preserve"> formulas in the last 18 months.</w:t>
      </w:r>
      <w:r>
        <w:rPr>
          <w:rStyle w:val="FootnoteCharacters"/>
          <w:rStyle w:val="FootnoteReference"/>
          <w:bCs/>
        </w:rPr>
        <w:footnoteReference w:id="2"/>
      </w:r>
    </w:p>
    <w:p>
      <w:pPr>
        <w:pStyle w:val="Normal"/>
        <w:numPr>
          <w:ilvl w:val="1"/>
          <w:numId w:val="2"/>
        </w:numPr>
        <w:rPr>
          <w:bCs/>
        </w:rPr>
      </w:pPr>
      <w:r>
        <w:rPr>
          <w:bCs/>
        </w:rPr>
        <w:t>The current price mitigation for the entire Western Interconnection is controlled by the California ISO, which in turn is controlled by the governor of California.</w:t>
      </w:r>
    </w:p>
    <w:p>
      <w:pPr>
        <w:pStyle w:val="Normal"/>
        <w:numPr>
          <w:ilvl w:val="1"/>
          <w:numId w:val="2"/>
        </w:numPr>
        <w:rPr>
          <w:bCs/>
        </w:rPr>
      </w:pPr>
      <w:r>
        <w:rPr>
          <w:bCs/>
        </w:rPr>
        <w:t>The current mitigation can change in any hour and cannot be known in advance with certainty</w:t>
      </w:r>
    </w:p>
    <w:p>
      <w:pPr>
        <w:pStyle w:val="Normal"/>
        <w:numPr>
          <w:ilvl w:val="1"/>
          <w:numId w:val="2"/>
        </w:numPr>
        <w:rPr>
          <w:bCs/>
        </w:rPr>
      </w:pPr>
      <w:r>
        <w:rPr>
          <w:bCs/>
        </w:rPr>
        <w:t>In that regard, if the California ISO were to declare a Stage 1 emergency for a full hour today, the price ceiling for the Western Interconnection would fall to $27.90/MWh</w:t>
      </w:r>
      <w:r>
        <w:rPr>
          <w:rStyle w:val="FootnoteCharacters"/>
          <w:rStyle w:val="FootnoteReference"/>
          <w:bCs/>
        </w:rPr>
        <w:footnoteReference w:id="3"/>
      </w:r>
      <w:r>
        <w:rPr>
          <w:bCs/>
        </w:rPr>
        <w:t xml:space="preserve"> This price level would be far too low to provide reliable supplies to the grid this winter.</w:t>
      </w:r>
    </w:p>
    <w:p>
      <w:pPr>
        <w:pStyle w:val="Normal"/>
        <w:numPr>
          <w:ilvl w:val="1"/>
          <w:numId w:val="2"/>
        </w:numPr>
        <w:rPr>
          <w:bCs/>
        </w:rPr>
      </w:pPr>
      <w:r>
        <w:rPr>
          <w:bCs/>
        </w:rPr>
        <w:t xml:space="preserve">The Commission’s “must offer” rules along with its decisions denying cost recovery of above-proxy transactions send the message that generating resources, especially peaking resources, will not be compensated in the future. </w:t>
      </w:r>
    </w:p>
    <w:p>
      <w:pPr>
        <w:pStyle w:val="Normal"/>
        <w:ind w:start="1080" w:end="0"/>
        <w:rPr>
          <w:bCs/>
        </w:rPr>
      </w:pPr>
      <w:r>
        <w:rPr>
          <w:bCs/>
        </w:rPr>
        <w:t>Uncertainty of this kind placed on the market in the last 18 months has increased risk premiums and transaction costs.</w:t>
      </w:r>
    </w:p>
    <w:p>
      <w:pPr>
        <w:pStyle w:val="Normal"/>
        <w:numPr>
          <w:ilvl w:val="0"/>
          <w:numId w:val="2"/>
        </w:numPr>
        <w:rPr>
          <w:bCs/>
        </w:rPr>
      </w:pPr>
      <w:r>
        <w:rPr>
          <w:bCs/>
        </w:rPr>
        <w:t>The current mitigation mechanism has been more or less pegged at $91.87/MWh since June 21</w:t>
      </w:r>
      <w:r>
        <w:rPr>
          <w:bCs/>
          <w:vertAlign w:val="superscript"/>
        </w:rPr>
        <w:t>st</w:t>
      </w:r>
      <w:r>
        <w:rPr>
          <w:bCs/>
        </w:rPr>
        <w:t xml:space="preserve">.  For only a handful of hours on a couple of days have market prices been at or near the cap. </w:t>
      </w:r>
      <w:r>
        <w:rPr>
          <w:b/>
        </w:rPr>
        <w:t xml:space="preserve"> Thus the current cap has had little effect in controlling prices thus far. </w:t>
      </w:r>
      <w:r>
        <w:rPr>
          <w:bCs/>
        </w:rPr>
        <w:t xml:space="preserve"> Instead market fundamentals have caused the substantial price drop seen beginning in late May.  The changes in market fundamentals are well known: price-induced demand response, 10,000 MW of new generation capacity, and cooler-than-normal weather in parts of the West. Although the cap may serve to limit price spikes it the future, it will degrade reliability, thwart the development of peaking resources, and delay the day that meaningful on-peak demand responsiveness programs will be created.</w:t>
      </w:r>
    </w:p>
    <w:p>
      <w:pPr>
        <w:pStyle w:val="Normal"/>
        <w:numPr>
          <w:ilvl w:val="0"/>
          <w:numId w:val="2"/>
        </w:numPr>
        <w:rPr>
          <w:b/>
        </w:rPr>
      </w:pPr>
      <w:r>
        <w:rPr>
          <w:bCs/>
        </w:rPr>
        <w:t xml:space="preserve">Given that the market has functioned well in responding to changes in fundamentals, </w:t>
      </w:r>
      <w:r>
        <w:rPr>
          <w:b/>
        </w:rPr>
        <w:t>EPMI recommends that the Commission remove the West-wide mitigation altogether.</w:t>
      </w:r>
    </w:p>
    <w:p>
      <w:pPr>
        <w:pStyle w:val="Normal"/>
        <w:numPr>
          <w:ilvl w:val="1"/>
          <w:numId w:val="2"/>
        </w:numPr>
        <w:rPr>
          <w:bCs/>
        </w:rPr>
      </w:pPr>
      <w:r>
        <w:rPr>
          <w:b/>
        </w:rPr>
        <w:t>To the extent the Commission leaves any West-wide wide price mitigation in place, the Commission should make the cap consistent West-wide and remove any control of it by the California ISO</w:t>
      </w:r>
      <w:r>
        <w:rPr>
          <w:bCs/>
        </w:rPr>
        <w:t xml:space="preserve">.  </w:t>
      </w:r>
    </w:p>
    <w:p>
      <w:pPr>
        <w:pStyle w:val="Normal"/>
        <w:numPr>
          <w:ilvl w:val="2"/>
          <w:numId w:val="2"/>
        </w:numPr>
        <w:rPr>
          <w:bCs/>
        </w:rPr>
      </w:pPr>
      <w:r>
        <w:rPr>
          <w:bCs/>
        </w:rPr>
        <w:t>The best way to do this is to adopt a high “damage control” or “circuit breaker” cap of $1,000/MWh similar to the caps currently in place in ERCOT, the New England ISO, PJM, and the New York ISO.</w:t>
      </w:r>
    </w:p>
    <w:p>
      <w:pPr>
        <w:pStyle w:val="Normal"/>
        <w:numPr>
          <w:ilvl w:val="2"/>
          <w:numId w:val="2"/>
        </w:numPr>
        <w:rPr>
          <w:bCs/>
        </w:rPr>
      </w:pPr>
      <w:r>
        <w:rPr>
          <w:bCs/>
        </w:rPr>
        <w:t xml:space="preserve">If the Commission must retain a lower cap that is likely to be below cost in some hours, you must provide an escape valve for gas prices.  In other words, make the cap equal to the </w:t>
      </w:r>
      <w:r>
        <w:rPr>
          <w:bCs/>
          <w:i/>
          <w:iCs/>
        </w:rPr>
        <w:t>higher</w:t>
      </w:r>
      <w:r>
        <w:rPr>
          <w:bCs/>
        </w:rPr>
        <w:t xml:space="preserve"> of a fixed cap or a gas-based index.</w:t>
      </w:r>
    </w:p>
    <w:p>
      <w:pPr>
        <w:pStyle w:val="Normal"/>
        <w:numPr>
          <w:ilvl w:val="3"/>
          <w:numId w:val="2"/>
        </w:numPr>
        <w:rPr>
          <w:b/>
        </w:rPr>
      </w:pPr>
      <w:r>
        <w:rPr>
          <w:bCs/>
        </w:rPr>
        <w:t>Furthermore, any gas-based index must be based on daily gas prices, not month-ahead prices.  At this point prices will only rise above the $91.87/MWh level due to a supply disruption or weather event.  Such events are short-term in nature and month-ahead gas prices will not properly reflect opportunity costs on such days.</w:t>
      </w:r>
    </w:p>
    <w:p>
      <w:pPr>
        <w:pStyle w:val="Normal"/>
        <w:numPr>
          <w:ilvl w:val="1"/>
          <w:numId w:val="2"/>
        </w:numPr>
        <w:rPr>
          <w:b/>
        </w:rPr>
      </w:pPr>
      <w:r>
        <w:rPr>
          <w:bCs/>
        </w:rPr>
        <w:t>The proposal in the workshop notice is flawed in that it keeps the California ISO in control of the West-wide price and uses a monthly gas price.</w:t>
      </w:r>
    </w:p>
    <w:p>
      <w:pPr>
        <w:pStyle w:val="Normal"/>
        <w:numPr>
          <w:ilvl w:val="0"/>
          <w:numId w:val="2"/>
        </w:numPr>
        <w:rPr>
          <w:bCs/>
        </w:rPr>
      </w:pPr>
      <w:r>
        <w:rPr>
          <w:bCs/>
        </w:rPr>
        <w:t xml:space="preserve">EPMI recognizes that the concern over the current cap is that it puts the reliability of customers residing in winter-peaking systems at risk. The current cap will make it difficult to elicit supply, especially from hydroelectric and out-of-area resources should a price spike occur.  </w:t>
      </w:r>
      <w:r>
        <w:rPr>
          <w:b/>
        </w:rPr>
        <w:t xml:space="preserve">However, true improvement to reliability in the Pacific Northwest and the rest of the West will only come via the aggressive pursuit of independent, integrated RTOs. </w:t>
      </w:r>
      <w:r>
        <w:rPr>
          <w:bCs/>
        </w:rPr>
        <w:t xml:space="preserve"> </w:t>
      </w:r>
    </w:p>
    <w:p>
      <w:pPr>
        <w:pStyle w:val="Normal"/>
        <w:numPr>
          <w:ilvl w:val="1"/>
          <w:numId w:val="2"/>
        </w:numPr>
        <w:rPr>
          <w:bCs/>
        </w:rPr>
      </w:pPr>
      <w:r>
        <w:rPr>
          <w:bCs/>
        </w:rPr>
        <w:t>The California ISO still has unilateral control over export capacity to the Pacific Northwest from California and the Desert Southwest.  Even if the Commission wrestles control of the cap from the California ISO, the California ISO will still be able to manipulate the market via its control of export capacity to the Pacific Northwest.  This is not an idle threat.  The Pacific Northwest experienced a precipitous drop in South-to-North export capacity beginning last winter as a result of unilateral decisions made by the California ISO.  This directly reduces the amount of resources available to the region.</w:t>
      </w:r>
    </w:p>
    <w:p>
      <w:pPr>
        <w:pStyle w:val="Normal"/>
        <w:numPr>
          <w:ilvl w:val="1"/>
          <w:numId w:val="2"/>
        </w:numPr>
        <w:rPr/>
      </w:pPr>
      <w:r>
        <w:rPr>
          <w:bCs/>
        </w:rPr>
        <w:t>Only a return to independent board governance at California ISO and the creation of a single Western RTO or alternatively, seamless coordination between the California ISO and the rest of the West, will the Pacific Northwest really get the reliability and stability that parties seek here today.</w:t>
      </w:r>
    </w:p>
    <w:sectPr>
      <w:headerReference w:type="default" r:id="rId2"/>
      <w:footnotePr>
        <w:numFmt w:val="decimal"/>
      </w:footnotePr>
      <w:type w:val="nextPage"/>
      <w:pgSz w:w="12240" w:h="15840"/>
      <w:pgMar w:left="1152" w:right="1152" w:gutter="0" w:header="720" w:top="108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Price controls on the California ISO and/or Western spot markets in the last 18 months include the $750/MWh cap through early July 2000; $500/MWh cap effective early July 2000; $250/MWh cap effective mid-August 2000; $250/MWh soft cap effective December 8, 2000; $150/MWh soft cap effective January 1, 2001; emergency-only, gas-based proxy adopted April 26, 2001; and, finally, a West-wide, all-hour, gas-based proxy adopted June 19, 2001.</w:t>
      </w:r>
    </w:p>
  </w:footnote>
  <w:footnote w:id="3">
    <w:p>
      <w:pPr>
        <w:pStyle w:val="FootnoteText"/>
        <w:rPr/>
      </w:pPr>
      <w:r>
        <w:rPr>
          <w:rStyle w:val="FootnoteCharacters"/>
        </w:rPr>
        <w:footnoteRef/>
      </w:r>
      <w:r>
        <w:rPr/>
        <w:t xml:space="preserve"> </w:t>
      </w:r>
      <w:r>
        <w:rPr/>
        <w:t>Based on October bid week California “border” average of $1.75/MMBtu, a marginal heat rate of 15,300 MMBtu/hour, and an O&amp;M adder of $6/MWh.</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b/>
        <w:bCs/>
      </w:rPr>
      <w:t xml:space="preserve">Page </w:t>
    </w: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rPr>
      <w:t>2</w:t>
    </w:r>
    <w:r>
      <w:rPr>
        <w:rStyle w:val="PageNumber"/>
        <w:b/>
        <w:bCs/>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7z0">
    <w:name w:val="WW8Num7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224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2001-10-26T14:10:00Z</dcterms:created>
  <dc:creator>CMF</dc:creator>
  <dc:description/>
  <dc:language>en-CA</dc:language>
  <cp:lastModifiedBy>acomnes</cp:lastModifiedBy>
  <cp:lastPrinted>2001-10-26T11:28:00Z</cp:lastPrinted>
  <dcterms:modified xsi:type="dcterms:W3CDTF">2001-10-26T18:43:00Z</dcterms:modified>
  <cp:revision>15</cp:revision>
  <dc:subject/>
  <dc:title>West Wide Price Mitigation</dc:title>
</cp:coreProperties>
</file>