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rPr/>
            </w:pPr>
            <w:r>
              <w:rPr/>
              <w:t>Julia Murray</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Risk Memo - EPMI Sale of Capacity and Energy to ComEd</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ind w:hanging="360" w:start="1080" w:end="720"/>
        <w:jc w:val="both"/>
        <w:rPr/>
      </w:pPr>
      <w:r>
        <w:rPr>
          <w:b/>
        </w:rPr>
        <w:t>A.</w:t>
        <w:tab/>
      </w:r>
      <w:r>
        <w:rPr>
          <w:b/>
          <w:u w:val="single"/>
        </w:rPr>
        <w:t>Deal Structure</w:t>
      </w:r>
      <w:r>
        <w:rPr/>
        <w:t>.  EPMI is proposing to sell 600 MW of regulatory capacity and energy to Commonwealth Edison Company, Chicago, Illinois ("ComEd") for the summer months during the next three years.  The amount of the capacity payments would be $36 million.  The energy would be priced based upon a "market price" as the energy is requested by ComEd.  The regulatory capacity would be supplied by EPMI from a plant currently under construction in Lincoln, IL that EPMI anticipates will be operational by June 1, 2000.  Energy would be supplied at ComEd's election either from the market ("Marketer Energy") (in which case standard LDs would apply) or from the Lincoln Center ("Lincoln Energy") (in which case the energy would be unit contingent).  The deal structure is unique, complex and due to the difficulty in determining market prices when no market index exist, necessarily subjective.  See the attached flow chart and draft agreement for more details on the deal structure.</w:t>
      </w:r>
    </w:p>
    <w:p>
      <w:pPr>
        <w:pStyle w:val="Body"/>
        <w:ind w:start="720" w:end="720"/>
        <w:jc w:val="both"/>
        <w:rPr>
          <w:b/>
          <w:u w:val="single"/>
        </w:rPr>
      </w:pPr>
      <w:r>
        <w:rPr>
          <w:b/>
          <w:u w:val="single"/>
        </w:rPr>
      </w:r>
    </w:p>
    <w:p>
      <w:pPr>
        <w:pStyle w:val="Body"/>
        <w:ind w:hanging="360" w:start="1080" w:end="720"/>
        <w:jc w:val="both"/>
        <w:rPr/>
      </w:pPr>
      <w:r>
        <w:rPr>
          <w:b/>
        </w:rPr>
        <w:t>B.</w:t>
        <w:tab/>
      </w:r>
      <w:r>
        <w:rPr>
          <w:b/>
          <w:u w:val="single"/>
        </w:rPr>
        <w:t>Legal Risks</w:t>
      </w:r>
      <w:r>
        <w:rPr/>
        <w:t>.  The following is a list of some of the major legal risks involved, and to the extent applicable, any mitigation factors:</w:t>
      </w:r>
    </w:p>
    <w:p>
      <w:pPr>
        <w:pStyle w:val="Body"/>
        <w:ind w:hanging="360" w:start="1080" w:end="720"/>
        <w:jc w:val="both"/>
        <w:rPr/>
      </w:pPr>
      <w:r>
        <w:rPr/>
      </w:r>
    </w:p>
    <w:p>
      <w:pPr>
        <w:pStyle w:val="Body"/>
        <w:tabs>
          <w:tab w:val="left" w:pos="4248" w:leader="none"/>
          <w:tab w:val="left" w:pos="10188" w:leader="none"/>
        </w:tabs>
        <w:ind w:hanging="360" w:start="1440" w:end="720"/>
        <w:jc w:val="both"/>
        <w:rPr/>
      </w:pPr>
      <w:r>
        <w:rPr/>
        <w:t>1.</w:t>
      </w:r>
      <w:r>
        <w:rPr>
          <w:b/>
        </w:rPr>
        <w:tab/>
      </w:r>
      <w:r>
        <w:rPr>
          <w:b/>
          <w:u w:val="single"/>
        </w:rPr>
        <w:t>High Profile Nature of Deal in Illiquid Market</w:t>
      </w:r>
      <w:r>
        <w:rPr>
          <w:b/>
        </w:rPr>
        <w:t xml:space="preserve">.  </w:t>
      </w:r>
      <w:r>
        <w:rPr/>
        <w:t>ComEd is under fire for not performing this past summer (black-outs for days resulting in numerous lawsuits) and is under intense pressure to increase its capacity.  ComEd's market is illiquid, energy is in critical shortage and ComEd's purchase of EPMI's capacity  is expected to solve this problem.  If for any reason disagreements occur regarding performance obligations under the Agreement, the fallout could be public and acrimonious.</w:t>
      </w:r>
    </w:p>
    <w:p>
      <w:pPr>
        <w:pStyle w:val="Body"/>
        <w:tabs>
          <w:tab w:val="left" w:pos="4248" w:leader="none"/>
          <w:tab w:val="left" w:pos="10188" w:leader="none"/>
        </w:tabs>
        <w:ind w:hanging="360" w:start="1440" w:end="720"/>
        <w:jc w:val="both"/>
        <w:rPr>
          <w:b/>
        </w:rPr>
      </w:pPr>
      <w:r>
        <w:rPr>
          <w:b/>
        </w:rPr>
        <w:tab/>
      </w:r>
    </w:p>
    <w:p>
      <w:pPr>
        <w:pStyle w:val="Body"/>
        <w:tabs>
          <w:tab w:val="left" w:pos="4248" w:leader="none"/>
          <w:tab w:val="left" w:pos="10188" w:leader="none"/>
        </w:tabs>
        <w:ind w:hanging="360" w:start="1440" w:end="720"/>
        <w:jc w:val="both"/>
        <w:rPr/>
      </w:pPr>
      <w:r>
        <w:rPr/>
        <w:t>2.</w:t>
      </w:r>
      <w:r>
        <w:rPr>
          <w:b/>
        </w:rPr>
        <w:tab/>
      </w:r>
      <w:r>
        <w:rPr>
          <w:b/>
          <w:u w:val="single"/>
        </w:rPr>
        <w:t>Determination of Market Price</w:t>
      </w:r>
      <w:r>
        <w:rPr>
          <w:b/>
        </w:rPr>
        <w:t xml:space="preserve">.  </w:t>
      </w:r>
      <w:r>
        <w:rPr/>
        <w:t>There is a complex mechanism for determining the price of energy.  Procedures involve securing quotes from 4 brokers in 50 MW blocks for all 600 MWs.  If no brokers' quotes are available, then a Market Price Default shall be deemed to have occurred and price may be set by EPMI.  Administration of the contract in a complete and fair manner will be critical.  Administration procedures, however, are a litigation magnet due to both the difficulty in administration and the subjectivity involved.  Possible touchstones for litigation include:</w:t>
      </w:r>
    </w:p>
    <w:p>
      <w:pPr>
        <w:pStyle w:val="Body"/>
        <w:tabs>
          <w:tab w:val="left" w:pos="4248" w:leader="none"/>
          <w:tab w:val="left" w:pos="10188" w:leader="none"/>
        </w:tabs>
        <w:ind w:hanging="360" w:start="1800" w:end="1440"/>
        <w:rPr>
          <w:b/>
        </w:rPr>
      </w:pPr>
      <w:r>
        <w:rPr>
          <w:b/>
        </w:rPr>
        <w:tab/>
      </w:r>
    </w:p>
    <w:p>
      <w:pPr>
        <w:pStyle w:val="Body"/>
        <w:numPr>
          <w:ilvl w:val="0"/>
          <w:numId w:val="2"/>
        </w:numPr>
        <w:tabs>
          <w:tab w:val="left" w:pos="1800" w:leader="none"/>
        </w:tabs>
        <w:ind w:hanging="360" w:start="1800" w:end="1440"/>
        <w:jc w:val="both"/>
        <w:rPr/>
      </w:pPr>
      <w:r>
        <w:rPr/>
        <w:t>whether the Broker's offer is a "bona fide" offer from an Acceptable Counterparty, which standard will go to whether or not a Market Price Default has occurred (attempted to mitigate by stating procedures utilized to determine availability and capability must be similar to those used in EPMI's proprietary trading)</w:t>
      </w:r>
    </w:p>
    <w:p>
      <w:pPr>
        <w:pStyle w:val="Body"/>
        <w:tabs>
          <w:tab w:val="left" w:pos="1800" w:leader="none"/>
        </w:tabs>
        <w:ind w:hanging="360" w:start="1800" w:end="1440"/>
        <w:jc w:val="both"/>
        <w:rPr>
          <w:b/>
        </w:rPr>
      </w:pPr>
      <w:r>
        <w:rPr>
          <w:b/>
        </w:rPr>
        <w:tab/>
      </w:r>
    </w:p>
    <w:p>
      <w:pPr>
        <w:pStyle w:val="Body"/>
        <w:numPr>
          <w:ilvl w:val="0"/>
          <w:numId w:val="2"/>
        </w:numPr>
        <w:tabs>
          <w:tab w:val="left" w:pos="1800" w:leader="none"/>
        </w:tabs>
        <w:ind w:hanging="360" w:start="1800" w:end="1440"/>
        <w:jc w:val="both"/>
        <w:rPr/>
      </w:pPr>
      <w:r>
        <w:rPr/>
        <w:t>whether EPMI used sufficient efforts to lift an offer, which standard will go to whether or not a Market Price Default has occurred</w:t>
      </w:r>
    </w:p>
    <w:p>
      <w:pPr>
        <w:pStyle w:val="Body"/>
        <w:tabs>
          <w:tab w:val="left" w:pos="1800" w:leader="none"/>
        </w:tabs>
        <w:ind w:hanging="360" w:start="1800" w:end="1440"/>
        <w:jc w:val="both"/>
        <w:rPr>
          <w:b/>
        </w:rPr>
      </w:pPr>
      <w:r>
        <w:rPr>
          <w:b/>
        </w:rPr>
        <w:tab/>
      </w:r>
    </w:p>
    <w:p>
      <w:pPr>
        <w:pStyle w:val="Body"/>
        <w:numPr>
          <w:ilvl w:val="0"/>
          <w:numId w:val="2"/>
        </w:numPr>
        <w:tabs>
          <w:tab w:val="left" w:pos="1800" w:leader="none"/>
        </w:tabs>
        <w:ind w:hanging="360" w:start="1800" w:end="1440"/>
        <w:jc w:val="both"/>
        <w:rPr/>
      </w:pPr>
      <w:r>
        <w:rPr/>
        <w:t>whether EPMI's price in a Market Price Default is "commercially reasonable" (attempted to mitigate by representations as to volatility of market and waiver of right to introduce evidence of other offers; added statement that EPMI's offer must be made in a commercially reasonable manner taking into consideration such factors as EPMI in its sole discretion determines relevant)</w:t>
      </w:r>
    </w:p>
    <w:p>
      <w:pPr>
        <w:pStyle w:val="Body"/>
        <w:tabs>
          <w:tab w:val="left" w:pos="1800" w:leader="none"/>
        </w:tabs>
        <w:ind w:hanging="360" w:start="1800" w:end="1440"/>
        <w:jc w:val="both"/>
        <w:rPr>
          <w:b/>
        </w:rPr>
      </w:pPr>
      <w:r>
        <w:rPr>
          <w:b/>
        </w:rPr>
        <w:tab/>
      </w:r>
    </w:p>
    <w:p>
      <w:pPr>
        <w:pStyle w:val="Body"/>
        <w:numPr>
          <w:ilvl w:val="0"/>
          <w:numId w:val="2"/>
        </w:numPr>
        <w:tabs>
          <w:tab w:val="left" w:pos="1800" w:leader="none"/>
        </w:tabs>
        <w:ind w:hanging="360" w:start="1800" w:end="1440"/>
        <w:jc w:val="both"/>
        <w:rPr/>
      </w:pPr>
      <w:r>
        <w:rPr/>
        <w:t>whether the Market Price procedures, in their totality, work (EPMI will be required to secure up to 24 quotes or more per day) and if not, the possible ramification, including contract being declared void due to "impossibility of performance" (risk mitigated due to acknowledgement that quotes may not always be available and then default is to EPMI's price)</w:t>
      </w:r>
    </w:p>
    <w:p>
      <w:pPr>
        <w:pStyle w:val="Body"/>
        <w:tabs>
          <w:tab w:val="left" w:pos="1800" w:leader="none"/>
        </w:tabs>
        <w:ind w:hanging="360" w:start="1800" w:end="1440"/>
        <w:rPr>
          <w:b/>
        </w:rPr>
      </w:pPr>
      <w:r>
        <w:rPr>
          <w:b/>
        </w:rPr>
        <w:tab/>
      </w:r>
    </w:p>
    <w:p>
      <w:pPr>
        <w:pStyle w:val="Body"/>
        <w:numPr>
          <w:ilvl w:val="0"/>
          <w:numId w:val="2"/>
        </w:numPr>
        <w:tabs>
          <w:tab w:val="left" w:pos="1800" w:leader="none"/>
        </w:tabs>
        <w:ind w:hanging="360" w:start="1800" w:end="1440"/>
        <w:jc w:val="both"/>
        <w:rPr/>
      </w:pPr>
      <w:r>
        <w:rPr/>
        <w:t>energy from Lincoln is "based on prices" from Brokers;  ComEd likely thinks this means "lowest".  We will need to determine actual approach, e.g., average of prices before implementation and be consistent.</w:t>
      </w:r>
    </w:p>
    <w:p>
      <w:pPr>
        <w:pStyle w:val="Body"/>
        <w:tabs>
          <w:tab w:val="left" w:pos="1800" w:leader="none"/>
        </w:tabs>
        <w:ind w:hanging="360" w:start="1800" w:end="1440"/>
        <w:jc w:val="both"/>
        <w:rPr>
          <w:b/>
        </w:rPr>
      </w:pPr>
      <w:r>
        <w:rPr>
          <w:b/>
        </w:rPr>
        <w:tab/>
      </w:r>
    </w:p>
    <w:p>
      <w:pPr>
        <w:pStyle w:val="Body"/>
        <w:numPr>
          <w:ilvl w:val="0"/>
          <w:numId w:val="2"/>
        </w:numPr>
        <w:tabs>
          <w:tab w:val="left" w:pos="1800" w:leader="none"/>
        </w:tabs>
        <w:ind w:hanging="360" w:start="1800" w:end="1440"/>
        <w:jc w:val="both"/>
        <w:rPr/>
      </w:pPr>
      <w:r>
        <w:rPr/>
        <w:t>whether the parties complied with the detailed procedures to solicit quotes promptly and respond immediately</w:t>
      </w:r>
    </w:p>
    <w:p>
      <w:pPr>
        <w:pStyle w:val="Body"/>
        <w:tabs>
          <w:tab w:val="left" w:pos="4248" w:leader="none"/>
          <w:tab w:val="left" w:pos="10188" w:leader="none"/>
        </w:tabs>
        <w:ind w:start="738" w:end="72"/>
        <w:rPr>
          <w:b/>
        </w:rPr>
      </w:pPr>
      <w:r>
        <w:rPr>
          <w:b/>
        </w:rPr>
        <w:tab/>
      </w:r>
    </w:p>
    <w:p>
      <w:pPr>
        <w:pStyle w:val="Body"/>
        <w:tabs>
          <w:tab w:val="left" w:pos="10188" w:leader="none"/>
        </w:tabs>
        <w:ind w:hanging="342" w:start="1440" w:end="720"/>
        <w:jc w:val="both"/>
        <w:rPr/>
      </w:pPr>
      <w:r>
        <w:rPr/>
        <w:t>3.</w:t>
        <w:tab/>
      </w:r>
      <w:r>
        <w:rPr>
          <w:b/>
          <w:u w:val="single"/>
        </w:rPr>
        <w:t>Gaming the Available Market Price</w:t>
      </w:r>
      <w:r>
        <w:rPr>
          <w:b/>
        </w:rPr>
        <w:t xml:space="preserve">.  </w:t>
      </w:r>
      <w:r>
        <w:rPr/>
        <w:t>ComEd has the right to be an offer in the market place for purposes of determining the Market Price.  This is not a huge concern for Marketer Energy since EPMI can lift the offer to determine authenticity of the offer.  To test authenticity of an offer for Lincoln Energy, however, EPMI may be forced to lift the offer, and therefore be long energy in a potentially illiquid market (attempted to mitigate by 9:00 a.m. deadline for request for Lincoln Energy, no limits on EPMI's rights to be in the market place with offers, securing transmission now to ensure possible movement of long energy out of ComEd).</w:t>
      </w:r>
    </w:p>
    <w:p>
      <w:pPr>
        <w:pStyle w:val="Body"/>
        <w:tabs>
          <w:tab w:val="left" w:pos="10188" w:leader="none"/>
        </w:tabs>
        <w:ind w:hanging="342" w:start="1440" w:end="720"/>
        <w:jc w:val="both"/>
        <w:rPr/>
      </w:pPr>
      <w:r>
        <w:rPr/>
      </w:r>
    </w:p>
    <w:p>
      <w:pPr>
        <w:pStyle w:val="Body"/>
        <w:tabs>
          <w:tab w:val="left" w:pos="10188" w:leader="none"/>
        </w:tabs>
        <w:ind w:hanging="342" w:start="1440" w:end="720"/>
        <w:jc w:val="both"/>
        <w:rPr/>
      </w:pPr>
      <w:r>
        <w:rPr/>
        <w:t>4.</w:t>
        <w:tab/>
      </w:r>
      <w:r>
        <w:rPr>
          <w:b/>
          <w:u w:val="single"/>
        </w:rPr>
        <w:t>Damages for Failure to Deliver Capacity and Energy</w:t>
      </w:r>
      <w:r>
        <w:rPr>
          <w:b/>
        </w:rPr>
        <w:t xml:space="preserve">.  </w:t>
      </w:r>
      <w:r>
        <w:rPr/>
        <w:t>If for any reason ComEd does not get the benefit of the capacity as a Designated Resource and/or the energy when requested, ComEd may attempt to seek damages.  Issues that could be challenged include the following:</w:t>
      </w:r>
    </w:p>
    <w:p>
      <w:pPr>
        <w:pStyle w:val="Body"/>
        <w:tabs>
          <w:tab w:val="left" w:pos="10188" w:leader="none"/>
        </w:tabs>
        <w:ind w:start="738" w:end="720"/>
        <w:jc w:val="both"/>
        <w:rPr>
          <w:b/>
        </w:rPr>
      </w:pPr>
      <w:r>
        <w:rPr>
          <w:b/>
        </w:rPr>
        <w:tab/>
      </w:r>
    </w:p>
    <w:p>
      <w:pPr>
        <w:pStyle w:val="Body"/>
        <w:numPr>
          <w:ilvl w:val="0"/>
          <w:numId w:val="4"/>
        </w:numPr>
        <w:tabs>
          <w:tab w:val="left" w:pos="1800" w:leader="none"/>
        </w:tabs>
        <w:ind w:hanging="360" w:start="1800" w:end="1440"/>
        <w:jc w:val="both"/>
        <w:rPr/>
      </w:pPr>
      <w:r>
        <w:rPr/>
        <w:t>The contract is silent on what happens if the Lincoln Center is not a Designated Resource.  While unlikely, if not approved as a Designated Resource or if status as a Designated Resource is subsequently revoked for whatever reason, ComEd may want to void the contract (risk is mitigated due to no representations or conditions precedent stated and allocation of risk to ComEd to secure firm transmission from Lincoln)</w:t>
      </w:r>
    </w:p>
    <w:p>
      <w:pPr>
        <w:pStyle w:val="Body"/>
        <w:tabs>
          <w:tab w:val="left" w:pos="1800" w:leader="none"/>
        </w:tabs>
        <w:ind w:hanging="360" w:start="1800" w:end="1440"/>
        <w:jc w:val="both"/>
        <w:rPr>
          <w:b/>
        </w:rPr>
      </w:pPr>
      <w:r>
        <w:rPr>
          <w:b/>
        </w:rPr>
        <w:tab/>
      </w:r>
    </w:p>
    <w:p>
      <w:pPr>
        <w:pStyle w:val="Body"/>
        <w:numPr>
          <w:ilvl w:val="0"/>
          <w:numId w:val="4"/>
        </w:numPr>
        <w:tabs>
          <w:tab w:val="left" w:pos="1800" w:leader="none"/>
        </w:tabs>
        <w:ind w:hanging="360" w:start="1800" w:end="1440"/>
        <w:jc w:val="both"/>
        <w:rPr/>
      </w:pPr>
      <w:r>
        <w:rPr/>
        <w:t xml:space="preserve">Energy from Lincoln is unit contingent, with no damages payable if performance is excused for the following Excused Events:  </w:t>
      </w:r>
    </w:p>
    <w:p>
      <w:pPr>
        <w:pStyle w:val="Body"/>
        <w:tabs>
          <w:tab w:val="left" w:pos="1800" w:leader="none"/>
        </w:tabs>
        <w:ind w:start="0" w:end="1440"/>
        <w:jc w:val="both"/>
        <w:rPr/>
      </w:pPr>
      <w:r>
        <w:rPr/>
      </w:r>
    </w:p>
    <w:p>
      <w:pPr>
        <w:pStyle w:val="Body"/>
        <w:numPr>
          <w:ilvl w:val="0"/>
          <w:numId w:val="3"/>
        </w:numPr>
        <w:tabs>
          <w:tab w:val="left" w:pos="2160" w:leader="none"/>
        </w:tabs>
        <w:ind w:hanging="360" w:start="2160" w:end="1440"/>
        <w:jc w:val="both"/>
        <w:rPr/>
      </w:pPr>
      <w:r>
        <w:rPr/>
        <w:t>the Lincoln Center experiences a forced or unplanned outage</w:t>
      </w:r>
    </w:p>
    <w:p>
      <w:pPr>
        <w:pStyle w:val="Body"/>
        <w:ind w:start="0" w:end="1440"/>
        <w:jc w:val="both"/>
        <w:rPr/>
      </w:pPr>
      <w:r>
        <w:rPr/>
      </w:r>
    </w:p>
    <w:p>
      <w:pPr>
        <w:pStyle w:val="Body"/>
        <w:numPr>
          <w:ilvl w:val="0"/>
          <w:numId w:val="3"/>
        </w:numPr>
        <w:tabs>
          <w:tab w:val="left" w:pos="2160" w:leader="none"/>
        </w:tabs>
        <w:ind w:hanging="360" w:start="2160" w:end="1440"/>
        <w:jc w:val="both"/>
        <w:rPr/>
      </w:pPr>
      <w:r>
        <w:rPr/>
        <w:t>the Lincoln Center is unavailable for any other operating reason relating to equipment failure or other equipment limitations, including without limitation, unavailability related to the disconnecting of the Lincoln Center from ComEd's (or its successor's) transmission system</w:t>
      </w:r>
    </w:p>
    <w:p>
      <w:pPr>
        <w:pStyle w:val="Body"/>
        <w:ind w:start="0" w:end="1440"/>
        <w:jc w:val="both"/>
        <w:rPr/>
      </w:pPr>
      <w:r>
        <w:rPr/>
      </w:r>
    </w:p>
    <w:p>
      <w:pPr>
        <w:pStyle w:val="Body"/>
        <w:numPr>
          <w:ilvl w:val="0"/>
          <w:numId w:val="3"/>
        </w:numPr>
        <w:tabs>
          <w:tab w:val="left" w:pos="2160" w:leader="none"/>
        </w:tabs>
        <w:ind w:hanging="360" w:start="2160" w:end="1440"/>
        <w:jc w:val="both"/>
        <w:rPr/>
      </w:pPr>
      <w:r>
        <w:rPr/>
        <w:t>the Lincoln Center is unavailable as a result of EPMI's or its affiliate's inability to operate the Lincoln Center due to legal, regulatory or permitting restrictions</w:t>
      </w:r>
    </w:p>
    <w:p>
      <w:pPr>
        <w:pStyle w:val="Body"/>
        <w:ind w:start="0" w:end="1440"/>
        <w:jc w:val="both"/>
        <w:rPr/>
      </w:pPr>
      <w:r>
        <w:rPr/>
      </w:r>
    </w:p>
    <w:p>
      <w:pPr>
        <w:pStyle w:val="Body"/>
        <w:numPr>
          <w:ilvl w:val="0"/>
          <w:numId w:val="3"/>
        </w:numPr>
        <w:tabs>
          <w:tab w:val="left" w:pos="2160" w:leader="none"/>
        </w:tabs>
        <w:ind w:hanging="360" w:start="2160" w:end="1440"/>
        <w:jc w:val="both"/>
        <w:rPr/>
      </w:pPr>
      <w:r>
        <w:rPr/>
        <w:t>the Lincoln Center is unavailable for any other reason beyond the reasonable control of EPMI (other than reasons resulting from EPMI's gross negligence)</w:t>
      </w:r>
    </w:p>
    <w:p>
      <w:pPr>
        <w:pStyle w:val="Body"/>
        <w:tabs>
          <w:tab w:val="left" w:pos="2160" w:leader="none"/>
        </w:tabs>
        <w:ind w:start="2160" w:end="1440"/>
        <w:jc w:val="both"/>
        <w:rPr/>
      </w:pPr>
      <w:r>
        <w:rPr/>
      </w:r>
    </w:p>
    <w:p>
      <w:pPr>
        <w:pStyle w:val="Body"/>
        <w:tabs>
          <w:tab w:val="left" w:pos="1800" w:leader="none"/>
        </w:tabs>
        <w:ind w:hanging="360" w:start="1800" w:end="1440"/>
        <w:jc w:val="both"/>
        <w:rPr/>
      </w:pPr>
      <w:r>
        <w:rPr>
          <w:b/>
        </w:rPr>
        <w:tab/>
      </w:r>
      <w:r>
        <w:rPr/>
        <w:t>ComEd may attempt to argue that non-performance was not the result of any of these events.</w:t>
      </w:r>
    </w:p>
    <w:p>
      <w:pPr>
        <w:pStyle w:val="Body"/>
        <w:tabs>
          <w:tab w:val="left" w:pos="1800" w:leader="none"/>
        </w:tabs>
        <w:ind w:hanging="360" w:start="1800" w:end="1440"/>
        <w:jc w:val="both"/>
        <w:rPr>
          <w:b/>
        </w:rPr>
      </w:pPr>
      <w:r>
        <w:rPr>
          <w:b/>
        </w:rPr>
        <w:tab/>
      </w:r>
    </w:p>
    <w:p>
      <w:pPr>
        <w:pStyle w:val="Body"/>
        <w:numPr>
          <w:ilvl w:val="0"/>
          <w:numId w:val="4"/>
        </w:numPr>
        <w:tabs>
          <w:tab w:val="left" w:pos="1800" w:leader="none"/>
        </w:tabs>
        <w:ind w:hanging="360" w:start="1800" w:end="1440"/>
        <w:jc w:val="both"/>
        <w:rPr/>
      </w:pPr>
      <w:r>
        <w:rPr/>
        <w:t>Capacity is to be available throughout the Period of Delivery.  If the Lincoln Center is unavailable for weeks/months, ComEd may attempt to argue damages based either on an LD theory or some other basis (such as breach of a covenant as discussed below) since ComEd will be deprived of a material benefit of Agreement (risk mitigated by Section 2(b)(1) of Confirmation that provides no damages payable for failure to provide "Lincoln Energy (and the associated Capacity") unless due to an Excused Event; LD section of Annex A only applies to Energy and states that section is exclusive remedy for non-delivery; and Demand Charges payable regardless of delivery of Energy)</w:t>
      </w:r>
    </w:p>
    <w:p>
      <w:pPr>
        <w:pStyle w:val="Body"/>
        <w:tabs>
          <w:tab w:val="left" w:pos="1800" w:leader="none"/>
        </w:tabs>
        <w:ind w:hanging="360" w:start="1800" w:end="1440"/>
        <w:jc w:val="both"/>
        <w:rPr>
          <w:b/>
        </w:rPr>
      </w:pPr>
      <w:r>
        <w:rPr>
          <w:b/>
        </w:rPr>
        <w:tab/>
      </w:r>
    </w:p>
    <w:p>
      <w:pPr>
        <w:pStyle w:val="Body"/>
        <w:numPr>
          <w:ilvl w:val="0"/>
          <w:numId w:val="4"/>
        </w:numPr>
        <w:tabs>
          <w:tab w:val="left" w:pos="1800" w:leader="none"/>
        </w:tabs>
        <w:ind w:hanging="360" w:start="1800" w:end="1440"/>
        <w:jc w:val="both"/>
        <w:rPr/>
      </w:pPr>
      <w:r>
        <w:rPr/>
        <w:t>EPMI will be liable for LD's on Marketer Energy</w:t>
      </w:r>
    </w:p>
    <w:p>
      <w:pPr>
        <w:pStyle w:val="Body"/>
        <w:tabs>
          <w:tab w:val="left" w:pos="1800" w:leader="none"/>
        </w:tabs>
        <w:ind w:start="0" w:end="1440"/>
        <w:jc w:val="both"/>
        <w:rPr/>
      </w:pPr>
      <w:r>
        <w:rPr/>
      </w:r>
    </w:p>
    <w:p>
      <w:pPr>
        <w:pStyle w:val="Body"/>
        <w:numPr>
          <w:ilvl w:val="0"/>
          <w:numId w:val="4"/>
        </w:numPr>
        <w:tabs>
          <w:tab w:val="left" w:pos="1800" w:leader="none"/>
        </w:tabs>
        <w:ind w:hanging="360" w:start="1800" w:end="1440"/>
        <w:jc w:val="both"/>
        <w:rPr/>
      </w:pPr>
      <w:r>
        <w:rPr/>
        <w:t>EPMI will be liable for damages on Lincoln Energy if non-delivery not due to an Excused Event (see above for definition)</w:t>
      </w:r>
    </w:p>
    <w:p>
      <w:pPr>
        <w:pStyle w:val="Body"/>
        <w:tabs>
          <w:tab w:val="left" w:pos="1800" w:leader="none"/>
        </w:tabs>
        <w:ind w:hanging="360" w:start="1800" w:end="1440"/>
        <w:jc w:val="both"/>
        <w:rPr>
          <w:b/>
        </w:rPr>
      </w:pPr>
      <w:r>
        <w:rPr>
          <w:b/>
        </w:rPr>
        <w:tab/>
      </w:r>
    </w:p>
    <w:p>
      <w:pPr>
        <w:pStyle w:val="Body"/>
        <w:numPr>
          <w:ilvl w:val="0"/>
          <w:numId w:val="4"/>
        </w:numPr>
        <w:tabs>
          <w:tab w:val="left" w:pos="1800" w:leader="none"/>
        </w:tabs>
        <w:ind w:hanging="360" w:start="1800" w:end="1440"/>
        <w:jc w:val="both"/>
        <w:rPr/>
      </w:pPr>
      <w:r>
        <w:rPr/>
        <w:t>Construction on the Lincoln Center is not complete.  There is a construction out if not fully operational by June 1, 2000.  If significant construction delays occur, ComEd may be under pressure for which they might attempt to renegotiate deal</w:t>
      </w:r>
    </w:p>
    <w:p>
      <w:pPr>
        <w:pStyle w:val="Body"/>
        <w:tabs>
          <w:tab w:val="left" w:pos="10188" w:leader="none"/>
        </w:tabs>
        <w:ind w:start="738" w:end="720"/>
        <w:jc w:val="both"/>
        <w:rPr>
          <w:b/>
        </w:rPr>
      </w:pPr>
      <w:r>
        <w:rPr>
          <w:b/>
        </w:rPr>
        <w:tab/>
      </w:r>
    </w:p>
    <w:p>
      <w:pPr>
        <w:pStyle w:val="Body"/>
        <w:ind w:hanging="342" w:start="1440" w:end="720"/>
        <w:jc w:val="both"/>
        <w:rPr/>
      </w:pPr>
      <w:r>
        <w:rPr/>
        <w:t>5.</w:t>
        <w:tab/>
      </w:r>
      <w:r>
        <w:rPr>
          <w:b/>
          <w:u w:val="single"/>
        </w:rPr>
        <w:t>Transmission</w:t>
      </w:r>
      <w:r>
        <w:rPr>
          <w:b/>
        </w:rPr>
        <w:t xml:space="preserve">.  </w:t>
      </w:r>
      <w:r>
        <w:rPr/>
        <w:t>Marketer Energy is to be supplied from an "Into ComEd, Seller's choice" product.  Product is the most commonly traded product in the East but there is no industry definition of obligations.  We elected not to detail to greater degree since industry is currently attempting to define, and felt we would be better off attempting to "match up" obligations as the market evolves.  Some details were negotiated; to the extent there are differences between what we negotiated and the product we purchase to supply to ComEd and/or confusion about the shifting nature of the parties obligations, disputes may arise.</w:t>
      </w:r>
    </w:p>
    <w:p>
      <w:pPr>
        <w:pStyle w:val="Body"/>
        <w:ind w:start="720" w:end="720"/>
        <w:jc w:val="both"/>
        <w:rPr/>
      </w:pPr>
      <w:r>
        <w:rPr/>
      </w:r>
    </w:p>
    <w:p>
      <w:pPr>
        <w:pStyle w:val="Body"/>
        <w:ind w:hanging="360" w:start="1440" w:end="720"/>
        <w:jc w:val="both"/>
        <w:rPr/>
      </w:pPr>
      <w:r>
        <w:rPr/>
        <w:tab/>
        <w:t>Lincoln Energy is delivered to ComEd's 345 kV line and ComEd is responsible for all transmission.  If there are problems with the Interconnection Agreement (which has not yet been finalized) in the future, it is unclear how this might impact EPMI's obligations.</w:t>
      </w:r>
    </w:p>
    <w:p>
      <w:pPr>
        <w:pStyle w:val="Body"/>
        <w:ind w:hanging="360" w:start="1440" w:end="720"/>
        <w:jc w:val="both"/>
        <w:rPr/>
      </w:pPr>
      <w:r>
        <w:rPr/>
      </w:r>
    </w:p>
    <w:p>
      <w:pPr>
        <w:pStyle w:val="Body"/>
        <w:ind w:hanging="360" w:start="1440" w:end="720"/>
        <w:jc w:val="both"/>
        <w:rPr/>
      </w:pPr>
      <w:r>
        <w:rPr/>
        <w:t>6.</w:t>
        <w:tab/>
      </w:r>
      <w:r>
        <w:rPr>
          <w:b/>
          <w:u w:val="single"/>
        </w:rPr>
        <w:t>Air Permitting</w:t>
      </w:r>
      <w:r>
        <w:rPr/>
        <w:t xml:space="preserve">.  The Lincoln Center is permitted for 3000 hours for which ComEd has the right to 1100 hours.  It is an Excused Event (and therefore no damages payable) if Lincoln Energy is not available due to EPMI's inability to operate the Lincoln Center due to permitting restrictions.  There is a covenant however that EPMI may not enter into any agreement that would preclude ComEd's first call.  If there are reductions in permit and EPMI attempts to limit hours to which ComEd is entitled, ComEd may attempt to argue breach of covenant due to third party sales (attempted to mitigate based on covenant being tied to permits "then in effect").  </w:t>
      </w:r>
    </w:p>
    <w:p>
      <w:pPr>
        <w:pStyle w:val="Body"/>
        <w:ind w:hanging="360" w:start="1440" w:end="720"/>
        <w:jc w:val="both"/>
        <w:rPr/>
      </w:pPr>
      <w:r>
        <w:rPr/>
      </w:r>
    </w:p>
    <w:p>
      <w:pPr>
        <w:pStyle w:val="Body"/>
        <w:ind w:hanging="360" w:start="1440" w:end="720"/>
        <w:jc w:val="both"/>
        <w:rPr/>
      </w:pPr>
      <w:r>
        <w:rPr/>
        <w:t>7.</w:t>
        <w:tab/>
      </w:r>
      <w:r>
        <w:rPr>
          <w:b/>
          <w:u w:val="single"/>
        </w:rPr>
        <w:t>Third Party Sales</w:t>
      </w:r>
      <w:r>
        <w:rPr/>
        <w:t>.  EPMI has the right to enter into sales with other parties but all subsequent third party sales should be subordinate to ComEd's first call.  There is a covenant that EPMI may not enter into any contract that precludes or restricts ComEd's first call.  Like with the air permitting discussed above, if ComEd does not receive the performance it expects, ComEd will likely look to determine if EPMI took any other actions that had the impact of "restricting" its call.</w:t>
      </w:r>
    </w:p>
    <w:p>
      <w:pPr>
        <w:pStyle w:val="Department"/>
        <w:rPr/>
      </w:pPr>
      <w:r>
        <w:rPr/>
      </w:r>
    </w:p>
    <w:p>
      <w:pPr>
        <w:pStyle w:val="Department"/>
        <w:rPr/>
      </w:pPr>
      <w:r>
        <w:rPr/>
      </w:r>
    </w:p>
    <w:p>
      <w:pPr>
        <w:pStyle w:val="Department"/>
        <w:rPr/>
      </w:pPr>
      <w:r>
        <w:rPr/>
        <w:t>cc:</w:t>
        <w:tab/>
        <w:t>Dave Delaney</w:t>
      </w:r>
    </w:p>
    <w:p>
      <w:pPr>
        <w:pStyle w:val="Department"/>
        <w:rPr/>
      </w:pPr>
      <w:r>
        <w:rPr/>
        <w:tab/>
        <w:t>Jim Fallon</w:t>
      </w:r>
    </w:p>
    <w:p>
      <w:pPr>
        <w:pStyle w:val="Department"/>
        <w:rPr/>
      </w:pPr>
      <w:r>
        <w:rPr/>
        <w:tab/>
        <w:t>Rogers Herndon</w:t>
      </w:r>
    </w:p>
    <w:p>
      <w:pPr>
        <w:pStyle w:val="Department"/>
        <w:rPr/>
      </w:pPr>
      <w:r>
        <w:rPr/>
        <w:tab/>
        <w:t>Kevin Presto</w:t>
      </w:r>
    </w:p>
    <w:p>
      <w:pPr>
        <w:pStyle w:val="Department"/>
        <w:rPr/>
      </w:pPr>
      <w:r>
        <w:rPr/>
        <w:tab/>
        <w:t>Greg Whalley</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ucida Console">
    <w:charset w:val="00" w:characterSet="windows-1252"/>
    <w:family w:val="modern"/>
    <w:pitch w:val="default"/>
  </w:font>
  <w:font w:name="Lucida Console">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/mnt/main-storage/datasets/enron-docs/doc/EPMI_Sale_of_Capacity.doc</w:t>
    </w:r>
    <w:r>
      <w:rPr>
        <w:sz w:val="12"/>
        <w:lang w:eastAsia="en-US"/>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/mnt/main-storage/datasets/enron-docs/doc/EPMI_Sale_of_Capacity.doc</w:t>
    </w:r>
    <w:r>
      <w:rPr>
        <w:sz w:val="12"/>
        <w:lang w:eastAsia="en-US"/>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tab/>
    </w:r>
    <w:r>
      <w:rPr>
        <w:b/>
        <w:smallCaps/>
        <w:sz w:val="20"/>
      </w:rPr>
      <w:t xml:space="preserve"> Attorney Client Work Product;</w:t>
    </w:r>
  </w:p>
  <w:p>
    <w:pPr>
      <w:pStyle w:val="Header"/>
      <w:tabs>
        <w:tab w:val="clear" w:pos="4320"/>
        <w:tab w:val="clear" w:pos="8640"/>
        <w:tab w:val="right" w:pos="9360" w:leader="none"/>
      </w:tabs>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Not Discoverable</w:t>
    </w:r>
  </w:p>
  <w:p>
    <w:pPr>
      <w:pStyle w:val="Header"/>
      <w:tabs>
        <w:tab w:val="clear" w:pos="4320"/>
        <w:tab w:val="clear" w:pos="8640"/>
        <w:tab w:val="right" w:pos="9360" w:leader="none"/>
      </w:tabs>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Header"/>
      <w:tabs>
        <w:tab w:val="clear" w:pos="4320"/>
        <w:tab w:val="clear" w:pos="8640"/>
        <w:tab w:val="right" w:pos="9360" w:leader="none"/>
      </w:tabs>
      <w:spacing w:before="0" w:after="240"/>
      <w:rPr>
        <w:sz w:val="20"/>
      </w:rPr>
    </w:pPr>
    <w:r>
      <w:rPr>
        <w:sz w:val="20"/>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3">
    <w:lvl w:ilvl="0">
      <w:start w:val="1"/>
      <w:numFmt w:val="bullet"/>
      <w:lvlText w:val="◊"/>
      <w:lvlJc w:val="start"/>
      <w:pPr>
        <w:tabs>
          <w:tab w:val="num" w:pos="360"/>
        </w:tabs>
        <w:ind w:start="360" w:hanging="360"/>
      </w:pPr>
      <w:rPr>
        <w:rFonts w:ascii="Lucida Console" w:hAnsi="Lucida Console" w:cs="Lucida Console"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Times New Roman" w:hAnsi="Times New Roman" w:cs="Times New Roman"/>
    </w:rPr>
  </w:style>
  <w:style w:type="character" w:styleId="WW8Num2z0">
    <w:name w:val="WW8Num2z0"/>
    <w:qFormat/>
    <w:rPr>
      <w:rFonts w:ascii="Lucida Console" w:hAnsi="Lucida Console" w:cs="Lucida Console"/>
    </w:rPr>
  </w:style>
  <w:style w:type="character" w:styleId="WW8Num3z0">
    <w:name w:val="WW8Num3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1999-11-02T14:18:00Z</dcterms:created>
  <dc:creator>Jeff Ford</dc:creator>
  <dc:description/>
  <dc:language>en-CA</dc:language>
  <cp:lastModifiedBy>esager</cp:lastModifiedBy>
  <cp:lastPrinted>1999-11-04T10:50:00Z</cp:lastPrinted>
  <dcterms:modified xsi:type="dcterms:W3CDTF">1999-11-04T16:58:00Z</dcterms:modified>
  <cp:revision>9</cp:revision>
  <dc:subject>Analysis of ECT's Financial, Power and Gas Forms</dc:subject>
  <dc:title>Eron Capital &amp; Trade Resources Memo</dc:title>
</cp:coreProperties>
</file>