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January 24, 2001</w:t>
      </w:r>
    </w:p>
    <w:p>
      <w:pPr>
        <w:pStyle w:val="Normal"/>
        <w:widowControl/>
        <w:rPr/>
      </w:pPr>
      <w:r>
        <w:rPr/>
      </w:r>
    </w:p>
    <w:p>
      <w:pPr>
        <w:pStyle w:val="Normal"/>
        <w:widowControl/>
        <w:rPr/>
      </w:pPr>
      <w:r>
        <w:rPr/>
        <w:t>Mr. Raymond D. Hart</w:t>
      </w:r>
    </w:p>
    <w:p>
      <w:pPr>
        <w:pStyle w:val="Normal"/>
        <w:widowControl/>
        <w:rPr/>
      </w:pPr>
      <w:r>
        <w:rPr/>
        <w:t>California Department of Water Resources</w:t>
      </w:r>
    </w:p>
    <w:p>
      <w:pPr>
        <w:pStyle w:val="Normal"/>
        <w:widowControl/>
        <w:rPr/>
      </w:pPr>
      <w:r>
        <w:rPr/>
      </w:r>
    </w:p>
    <w:p>
      <w:pPr>
        <w:pStyle w:val="Normal"/>
        <w:widowControl/>
        <w:rPr/>
      </w:pPr>
      <w:r>
        <w:rPr/>
      </w:r>
    </w:p>
    <w:p>
      <w:pPr>
        <w:pStyle w:val="Normal"/>
        <w:widowControl/>
        <w:rPr/>
      </w:pPr>
      <w:r>
        <w:rPr/>
        <w:t>Re:  CDWR RFB E2001-01</w:t>
      </w:r>
    </w:p>
    <w:p>
      <w:pPr>
        <w:pStyle w:val="Normal"/>
        <w:widowControl/>
        <w:rPr/>
      </w:pPr>
      <w:r>
        <w:rPr/>
      </w:r>
    </w:p>
    <w:p>
      <w:pPr>
        <w:pStyle w:val="Normal"/>
        <w:widowControl/>
        <w:rPr/>
      </w:pPr>
      <w:r>
        <w:rPr/>
      </w:r>
    </w:p>
    <w:p>
      <w:pPr>
        <w:pStyle w:val="Normal"/>
        <w:widowControl/>
        <w:rPr/>
      </w:pPr>
      <w:r>
        <w:rPr/>
        <w:t>Dear Mr. Hart:</w:t>
      </w:r>
    </w:p>
    <w:p>
      <w:pPr>
        <w:pStyle w:val="Normal"/>
        <w:widowControl/>
        <w:rPr/>
      </w:pPr>
      <w:r>
        <w:rPr/>
      </w:r>
    </w:p>
    <w:p>
      <w:pPr>
        <w:pStyle w:val="Normal"/>
        <w:keepLines/>
        <w:widowControl/>
        <w:rPr/>
      </w:pPr>
      <w:r>
        <w:rPr/>
        <w:t>Enron Power Marketing, Inc. (EPMI) appreciates the opportunity to respond to the California Department of Water Resources (CDWR) Request for Bids (RFB) for Energy Purchase (CDWR RFB E2001-01, dated January 23, 2001).  As you might be aware, EPMI is not a generator with a physical asset in California.  It appears that the CDWR RFB is directed toward generators having an existing cost structure that EPMI does not have.  Consequently, EPMI does not appear to be a qualifying respondent under the express terms of your RFB.  Nevertheless, EPMI wants to respond to this RFB in the spirit of helping address the serious difficulties facing all of us in the California energy market.  Although this response is not an offer to sell, we have enclosed a review of EPMI estimates of current forward prices as well as a discussion of some issues that would need to be addressed before EPMI and CDWR could enter into substantive negotiations with the intent of establishing the terms and conditions of a transaction.</w:t>
      </w:r>
    </w:p>
    <w:p>
      <w:pPr>
        <w:pStyle w:val="Normal"/>
        <w:widowControl/>
        <w:jc w:val="both"/>
        <w:rPr/>
      </w:pPr>
      <w:r>
        <w:rPr/>
      </w:r>
    </w:p>
    <w:p>
      <w:pPr>
        <w:pStyle w:val="Heading2"/>
        <w:widowControl/>
        <w:ind w:hanging="0" w:start="0"/>
        <w:rPr>
          <w:b/>
          <w:sz w:val="20"/>
        </w:rPr>
      </w:pPr>
      <w:r>
        <w:rPr>
          <w:b/>
          <w:sz w:val="20"/>
        </w:rPr>
        <w:t xml:space="preserve">Long-Term Products </w:t>
      </w:r>
      <w:r>
        <w:fldChar w:fldCharType="begin"/>
      </w:r>
      <w:r>
        <w:rPr/>
        <w:instrText xml:space="preserve"> TC "Long-Term Products " \l 2 </w:instrText>
      </w:r>
      <w:r>
        <w:rPr/>
        <w:fldChar w:fldCharType="separate"/>
      </w:r>
      <w:r>
        <w:rPr/>
      </w:r>
      <w:r>
        <w:rPr/>
        <w:fldChar w:fldCharType="end"/>
      </w:r>
    </w:p>
    <w:p>
      <w:pPr>
        <w:pStyle w:val="Normal"/>
        <w:widowControl/>
        <w:jc w:val="both"/>
        <w:rPr>
          <w:b/>
          <w:sz w:val="20"/>
        </w:rPr>
      </w:pPr>
      <w:r>
        <w:rPr>
          <w:b/>
          <w:sz w:val="20"/>
        </w:rPr>
      </w:r>
    </w:p>
    <w:p>
      <w:pPr>
        <w:pStyle w:val="Normal"/>
        <w:keepLines/>
        <w:widowControl/>
        <w:rPr/>
      </w:pPr>
      <w:r>
        <w:rPr/>
        <w:t>EPMI engages in wholesale sales of electricity throughout the Western Interconnection, including California. We have regularly bought and sold energy in California. EPMI emphasizes that long-term power prices change daily and the prices described herein are subject to change.  Factors that affect price include, but are not limited to, changes in expected physical market conditions in California and the entire Western Interconnection: load growth, temperatures (which influence summer and winter demands), precipitation (which affects hydroelectric production), generation capacity additions, generation unit outages, transmission congestion, transmission capacity additions, delivered natural gas prices, and emission credit prices. In addition to physical market conditions, changes in economic conditions can also affect both the availability and price of power that EPMI sells. Given these factors, a request to hold bids open for seven days creates additional risks that will affect the prices offered.  EPMI respectfully requests that future CDWR RFBs specify that prices only need to be left open for a few hours.</w:t>
      </w:r>
    </w:p>
    <w:p>
      <w:pPr>
        <w:pStyle w:val="Normal"/>
        <w:widowControl/>
        <w:rPr/>
      </w:pPr>
      <w:r>
        <w:rPr/>
      </w:r>
    </w:p>
    <w:p>
      <w:pPr>
        <w:pStyle w:val="Normal"/>
        <w:keepLines/>
        <w:widowControl/>
        <w:rPr/>
      </w:pPr>
      <w:r>
        <w:rPr/>
        <w:t xml:space="preserve">Current indicative prices are shown below.  The product for which prices are shown is "round the clock" (24 x 7) electric energy.  Total available quantity is for up to 50 MW in each zone.  Importantly, these are not offers, but represent EPMI’s observations of forward market prices at this time.  </w:t>
      </w:r>
    </w:p>
    <w:p>
      <w:pPr>
        <w:pStyle w:val="Normal"/>
        <w:widowControl/>
        <w:rPr>
          <w:rFonts w:ascii="CG Times;Times New Roman" w:hAnsi="CG Times;Times New Roman" w:cs="CG Times;Times New Roman"/>
        </w:rPr>
      </w:pPr>
      <w:r>
        <w:rPr>
          <w:rFonts w:cs="CG Times;Times New Roman" w:ascii="CG Times;Times New Roman" w:hAnsi="CG Times;Times New Roman"/>
        </w:rPr>
      </w:r>
    </w:p>
    <w:tbl>
      <w:tblPr>
        <w:tblW w:w="5400" w:type="dxa"/>
        <w:jc w:val="start"/>
        <w:tblInd w:w="16" w:type="dxa"/>
        <w:tblLayout w:type="fixed"/>
        <w:tblCellMar>
          <w:top w:w="0" w:type="dxa"/>
          <w:start w:w="16" w:type="dxa"/>
          <w:bottom w:w="0" w:type="dxa"/>
          <w:end w:w="16" w:type="dxa"/>
        </w:tblCellMar>
      </w:tblPr>
      <w:tblGrid>
        <w:gridCol w:w="540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rPr>
            </w:pPr>
            <w:r>
              <w:rPr>
                <w:rFonts w:cs="Arial" w:ascii="Arial" w:hAnsi="Arial"/>
                <w:b/>
              </w:rPr>
              <w:t xml:space="preserve">Long -Term Wholesale Electricity Price ($/MWh) </w:t>
            </w:r>
          </w:p>
          <w:p>
            <w:pPr>
              <w:pStyle w:val="Normal"/>
              <w:widowControl/>
              <w:spacing w:before="0" w:after="3"/>
              <w:jc w:val="center"/>
              <w:rPr>
                <w:rFonts w:ascii="Arial" w:hAnsi="Arial" w:cs="Arial"/>
                <w:b/>
              </w:rPr>
            </w:pPr>
            <w:r>
              <w:rPr>
                <w:rFonts w:cs="Arial" w:ascii="Arial" w:hAnsi="Arial"/>
                <w:b/>
              </w:rPr>
              <w:t>as of 24 January 2001</w:t>
            </w:r>
          </w:p>
          <w:p>
            <w:pPr>
              <w:pStyle w:val="Normal"/>
              <w:widowControl/>
              <w:spacing w:before="0" w:after="3"/>
              <w:jc w:val="center"/>
              <w:rPr>
                <w:sz w:val="24"/>
              </w:rPr>
            </w:pPr>
            <w:r>
              <w:rPr>
                <w:rFonts w:cs="Arial" w:ascii="Arial" w:hAnsi="Arial"/>
                <w:b/>
              </w:rPr>
              <w:t>(indicative prices, not an offer for sale)</w:t>
            </w:r>
          </w:p>
        </w:tc>
      </w:tr>
    </w:tbl>
    <w:p>
      <w:pPr>
        <w:pStyle w:val="Normal"/>
        <w:widowControl/>
        <w:rPr>
          <w:rFonts w:ascii="CG Times;Times New Roman" w:hAnsi="CG Times;Times New Roman" w:cs="CG Times;Times New Roman"/>
          <w:vanish/>
        </w:rPr>
      </w:pPr>
      <w:r>
        <w:rPr>
          <w:rFonts w:cs="CG Times;Times New Roman" w:ascii="CG Times;Times New Roman" w:hAnsi="CG Times;Times New Roman"/>
          <w:vanish/>
        </w:rPr>
      </w:r>
    </w:p>
    <w:tbl>
      <w:tblPr>
        <w:tblW w:w="5400" w:type="dxa"/>
        <w:jc w:val="start"/>
        <w:tblInd w:w="16" w:type="dxa"/>
        <w:tblLayout w:type="fixed"/>
        <w:tblCellMar>
          <w:top w:w="0" w:type="dxa"/>
          <w:start w:w="16" w:type="dxa"/>
          <w:bottom w:w="0" w:type="dxa"/>
          <w:end w:w="16" w:type="dxa"/>
        </w:tblCellMar>
      </w:tblPr>
      <w:tblGrid>
        <w:gridCol w:w="2070"/>
        <w:gridCol w:w="3330"/>
      </w:tblGrid>
      <w:tr>
        <w:trPr/>
        <w:tc>
          <w:tcPr>
            <w:tcW w:w="207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CG Times;Times New Roman" w:hAnsi="CG Times;Times New Roman" w:cs="CG Times;Times New Roman"/>
              </w:rPr>
            </w:pPr>
            <w:r>
              <w:rPr>
                <w:rFonts w:cs="CG Times;Times New Roman" w:ascii="CG Times;Times New Roman" w:hAnsi="CG Times;Times New Roman"/>
              </w:rPr>
            </w:r>
          </w:p>
          <w:p>
            <w:pPr>
              <w:pStyle w:val="Normal"/>
              <w:widowControl/>
              <w:spacing w:before="0" w:after="3"/>
              <w:rPr>
                <w:rFonts w:ascii="CG Times;Times New Roman" w:hAnsi="CG Times;Times New Roman" w:cs="CG Times;Times New Roman"/>
                <w:sz w:val="24"/>
              </w:rPr>
            </w:pPr>
            <w:r>
              <w:rPr>
                <w:rFonts w:cs="CG Times;Times New Roman" w:ascii="CG Times;Times New Roman" w:hAnsi="CG Times;Times New Roman"/>
                <w:sz w:val="24"/>
              </w:rPr>
            </w:r>
          </w:p>
        </w:tc>
        <w:tc>
          <w:tcPr>
            <w:tcW w:w="333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sz w:val="24"/>
              </w:rPr>
            </w:pPr>
            <w:r>
              <w:rPr>
                <w:rFonts w:cs="Arial" w:ascii="Arial" w:hAnsi="Arial"/>
                <w:sz w:val="24"/>
              </w:rPr>
            </w:r>
          </w:p>
          <w:p>
            <w:pPr>
              <w:pStyle w:val="Normal"/>
              <w:widowControl/>
              <w:spacing w:before="0" w:after="3"/>
              <w:jc w:val="center"/>
              <w:rPr>
                <w:sz w:val="24"/>
              </w:rPr>
            </w:pPr>
            <w:r>
              <w:rPr>
                <w:rFonts w:cs="Arial" w:ascii="Arial" w:hAnsi="Arial"/>
              </w:rPr>
              <w:t>Delivery Point</w:t>
            </w:r>
          </w:p>
        </w:tc>
      </w:tr>
    </w:tbl>
    <w:p>
      <w:pPr>
        <w:pStyle w:val="Normal"/>
        <w:widowControl/>
        <w:jc w:val="center"/>
        <w:rPr>
          <w:rFonts w:ascii="CG Times;Times New Roman" w:hAnsi="CG Times;Times New Roman" w:cs="CG Times;Times New Roman"/>
          <w:vanish/>
        </w:rPr>
      </w:pPr>
      <w:r>
        <w:rPr>
          <w:rFonts w:cs="CG Times;Times New Roman" w:ascii="CG Times;Times New Roman" w:hAnsi="CG Times;Times New Roman"/>
          <w:vanish/>
        </w:rPr>
      </w:r>
    </w:p>
    <w:tbl>
      <w:tblPr>
        <w:tblW w:w="5400" w:type="dxa"/>
        <w:jc w:val="start"/>
        <w:tblInd w:w="16" w:type="dxa"/>
        <w:tblLayout w:type="fixed"/>
        <w:tblCellMar>
          <w:top w:w="0" w:type="dxa"/>
          <w:start w:w="16" w:type="dxa"/>
          <w:bottom w:w="0" w:type="dxa"/>
          <w:end w:w="16" w:type="dxa"/>
        </w:tblCellMar>
      </w:tblPr>
      <w:tblGrid>
        <w:gridCol w:w="2070"/>
        <w:gridCol w:w="1620"/>
        <w:gridCol w:w="1710"/>
      </w:tblGrid>
      <w:tr>
        <w:trPr/>
        <w:tc>
          <w:tcPr>
            <w:tcW w:w="2070" w:type="dxa"/>
            <w:tcBorders>
              <w:top w:val="single" w:sz="6" w:space="0" w:color="000000"/>
              <w:start w:val="single" w:sz="6" w:space="0" w:color="000000"/>
              <w:bottom w:val="single" w:sz="6" w:space="0" w:color="000000"/>
              <w:end w:val="single" w:sz="6" w:space="0" w:color="000000"/>
            </w:tcBorders>
          </w:tcPr>
          <w:p>
            <w:pPr>
              <w:pStyle w:val="Normal"/>
              <w:widowControl/>
              <w:spacing w:before="0" w:after="3"/>
              <w:jc w:val="center"/>
              <w:rPr/>
            </w:pPr>
            <w:r>
              <w:rPr/>
              <w:t>Term of Fixed-Price Deal</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spacing w:before="0" w:after="3"/>
              <w:jc w:val="center"/>
              <w:rPr/>
            </w:pPr>
            <w:r>
              <w:rPr/>
              <w:t>California Northern Zone (NP-15)</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p>
            <w:pPr>
              <w:pStyle w:val="Normal"/>
              <w:widowControl/>
              <w:spacing w:before="0" w:after="3"/>
              <w:jc w:val="center"/>
              <w:rPr/>
            </w:pPr>
            <w:r>
              <w:rPr/>
              <w:t>California Southern Zone (SP-15)</w:t>
            </w:r>
          </w:p>
        </w:tc>
      </w:tr>
      <w:tr>
        <w:trPr>
          <w:trHeight w:val="248" w:hRule="exact"/>
        </w:trPr>
        <w:tc>
          <w:tcPr>
            <w:tcW w:w="207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2/1/01 – 12/31/05 </w:t>
            </w:r>
          </w:p>
          <w:p>
            <w:pPr>
              <w:pStyle w:val="Normal"/>
              <w:widowControl/>
              <w:rPr/>
            </w:pPr>
            <w:r>
              <w:rPr/>
            </w:r>
          </w:p>
          <w:p>
            <w:pPr>
              <w:pStyle w:val="Normal"/>
              <w:widowControl/>
              <w:spacing w:before="0" w:after="3"/>
              <w:jc w:val="end"/>
              <w:rPr/>
            </w:pPr>
            <w:r>
              <w:rPr/>
              <w:t>Balance 2001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p>
            <w:pPr>
              <w:pStyle w:val="Normal"/>
              <w:widowControl/>
              <w:spacing w:before="0" w:after="3"/>
              <w:jc w:val="center"/>
              <w:rPr/>
            </w:pPr>
            <w:r>
              <w:rPr/>
              <w:t>160.00</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p>
            <w:pPr>
              <w:pStyle w:val="Normal"/>
              <w:widowControl/>
              <w:spacing w:before="0" w:after="3"/>
              <w:jc w:val="center"/>
              <w:rPr/>
            </w:pPr>
            <w:r>
              <w:rPr/>
              <w:t>157.00</w:t>
            </w:r>
          </w:p>
        </w:tc>
      </w:tr>
      <w:tr>
        <w:trPr>
          <w:trHeight w:val="267" w:hRule="exact"/>
        </w:trPr>
        <w:tc>
          <w:tcPr>
            <w:tcW w:w="2070" w:type="dxa"/>
            <w:tcBorders>
              <w:top w:val="single" w:sz="6" w:space="0" w:color="000000"/>
              <w:start w:val="single" w:sz="6" w:space="0" w:color="000000"/>
              <w:bottom w:val="single" w:sz="6" w:space="0" w:color="000000"/>
              <w:end w:val="single" w:sz="6" w:space="0" w:color="000000"/>
            </w:tcBorders>
          </w:tcPr>
          <w:p>
            <w:pPr>
              <w:pStyle w:val="Normal"/>
              <w:widowControl/>
              <w:rPr/>
            </w:pPr>
            <w:r>
              <w:rPr/>
              <w:t>2/1/01 – 12/31/10</w:t>
            </w:r>
          </w:p>
          <w:p>
            <w:pPr>
              <w:pStyle w:val="Normal"/>
              <w:widowControl/>
              <w:spacing w:before="0" w:after="3"/>
              <w:jc w:val="end"/>
              <w:rPr/>
            </w:pPr>
            <w:r>
              <w:rPr/>
              <w:t>2002</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$79</w:t>
            </w:r>
          </w:p>
          <w:p>
            <w:pPr>
              <w:pStyle w:val="Normal"/>
              <w:widowControl/>
              <w:spacing w:before="0" w:after="3"/>
              <w:jc w:val="center"/>
              <w:rPr/>
            </w:pPr>
            <w:r>
              <w:rPr/>
              <w:t>96.00</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$74</w:t>
            </w:r>
          </w:p>
          <w:p>
            <w:pPr>
              <w:pStyle w:val="Normal"/>
              <w:widowControl/>
              <w:spacing w:before="0" w:after="3"/>
              <w:jc w:val="center"/>
              <w:rPr/>
            </w:pPr>
            <w:r>
              <w:rPr/>
              <w:t>93.00</w:t>
            </w:r>
          </w:p>
        </w:tc>
      </w:tr>
    </w:tbl>
    <w:p>
      <w:pPr>
        <w:pStyle w:val="Normal"/>
        <w:widowControl/>
        <w:jc w:val="both"/>
        <w:rPr/>
      </w:pPr>
      <w:r>
        <w:rPr/>
      </w:r>
    </w:p>
    <w:p>
      <w:pPr>
        <w:pStyle w:val="Normal"/>
        <w:widowControl/>
        <w:jc w:val="both"/>
        <w:rPr/>
      </w:pPr>
      <w:r>
        <w:rPr/>
      </w:r>
    </w:p>
    <w:p>
      <w:pPr>
        <w:pStyle w:val="Normal"/>
        <w:widowControl/>
        <w:jc w:val="both"/>
        <w:rPr>
          <w:b/>
        </w:rPr>
      </w:pPr>
      <w:r>
        <w:rPr>
          <w:b/>
        </w:rPr>
        <w:t>EEI Master Agreement</w:t>
      </w:r>
    </w:p>
    <w:p>
      <w:pPr>
        <w:pStyle w:val="Normal"/>
        <w:widowControl/>
        <w:jc w:val="both"/>
        <w:rPr>
          <w:b/>
        </w:rPr>
      </w:pPr>
      <w:r>
        <w:rPr>
          <w:b/>
        </w:rPr>
      </w:r>
    </w:p>
    <w:p>
      <w:pPr>
        <w:pStyle w:val="Normal"/>
        <w:widowControl/>
        <w:rPr/>
      </w:pPr>
      <w:r>
        <w:rPr/>
        <w:t xml:space="preserve">Currently there is no Edison Electric Institute (EEI) Master Agreement in place between EPMI and CDWR.  As you might be aware, execution of the EEI Master Agreement does not bind the parties to enter into any one or more specific transactions.  Like the Western System Power Pool (WSPP) Agreement, the EEI is a Master Agreement under which numerous different transactions with specific terms and conditions can be executed.  EPMI prefers using the EEI Agreement rather than the WSPP Agreement, however, for numerous reasons that we would be happy to discuss with you.  The EEI Agreement in our view is becoming the standard agreement for electricity  transactions.  We are very interested in working together toward the goal of getting an EEI in place.  </w:t>
      </w:r>
    </w:p>
    <w:p>
      <w:pPr>
        <w:pStyle w:val="Normal"/>
        <w:widowControl/>
        <w:jc w:val="both"/>
        <w:rPr>
          <w:b/>
        </w:rPr>
      </w:pPr>
      <w:r>
        <w:rPr>
          <w:b/>
        </w:rPr>
      </w:r>
    </w:p>
    <w:p>
      <w:pPr>
        <w:pStyle w:val="Normal"/>
        <w:widowControl/>
        <w:jc w:val="both"/>
        <w:rPr>
          <w:b/>
        </w:rPr>
      </w:pPr>
      <w:r>
        <w:rPr>
          <w:b/>
        </w:rPr>
        <w:t>Credit Collateral</w:t>
      </w:r>
    </w:p>
    <w:p>
      <w:pPr>
        <w:pStyle w:val="Normal"/>
        <w:widowControl/>
        <w:jc w:val="both"/>
        <w:rPr>
          <w:b/>
        </w:rPr>
      </w:pPr>
      <w:r>
        <w:rPr>
          <w:b/>
        </w:rPr>
      </w:r>
    </w:p>
    <w:p>
      <w:pPr>
        <w:pStyle w:val="BodyTextIndent"/>
        <w:widowControl/>
        <w:rPr>
          <w:sz w:val="20"/>
        </w:rPr>
      </w:pPr>
      <w:r>
        <w:rPr>
          <w:sz w:val="20"/>
        </w:rPr>
        <w:t>As we believe you will understand under the circumstances, we are very interested in determining the nature and amount of credit collateral that CDWR will be able to offer energy sellers.  EPMI is prepared to discuss the nature and amount of collateral we would expect to offer.  We understand you have initiated negotiations with the intent of obtaining a letter of credit to support purchases.  However, we would like any information available regarding the dollar amount of any such credit facility and how it would apply to a number of purchases in different notational amounts from different sellers.</w:t>
      </w:r>
    </w:p>
    <w:p>
      <w:pPr>
        <w:pStyle w:val="BodyTextIndent"/>
        <w:widowControl/>
        <w:rPr>
          <w:sz w:val="20"/>
        </w:rPr>
      </w:pPr>
      <w:r>
        <w:rPr>
          <w:sz w:val="20"/>
        </w:rPr>
      </w:r>
    </w:p>
    <w:p>
      <w:pPr>
        <w:pStyle w:val="BodyTextIndent"/>
        <w:widowControl/>
        <w:rPr>
          <w:sz w:val="20"/>
        </w:rPr>
      </w:pPr>
      <w:r>
        <w:rPr>
          <w:sz w:val="20"/>
        </w:rPr>
        <w:t>In the event you do not believe you will be able to obtain a credit facility meeting the size and nature of purchases which you are contemplating, we would like to discuss with you the extent of credit support which you can expect from other sources, such as General Fund appropriations, short term borrowing limits from the State of California, your ability to segregate or escrow amounts sufficient to provide collateral for specific purchases, etc.</w:t>
      </w:r>
    </w:p>
    <w:p>
      <w:pPr>
        <w:pStyle w:val="BodyTextIndent"/>
        <w:widowControl/>
        <w:rPr>
          <w:sz w:val="20"/>
        </w:rPr>
      </w:pPr>
      <w:r>
        <w:rPr>
          <w:sz w:val="20"/>
        </w:rPr>
      </w:r>
    </w:p>
    <w:p>
      <w:pPr>
        <w:pStyle w:val="BodyTextIndent"/>
        <w:widowControl/>
        <w:rPr>
          <w:sz w:val="20"/>
        </w:rPr>
      </w:pPr>
      <w:r>
        <w:rPr>
          <w:b/>
          <w:sz w:val="20"/>
        </w:rPr>
        <w:t>Legislative Authority</w:t>
      </w:r>
    </w:p>
    <w:p>
      <w:pPr>
        <w:pStyle w:val="BodyTextIndent"/>
        <w:widowControl/>
        <w:rPr>
          <w:sz w:val="20"/>
        </w:rPr>
      </w:pPr>
      <w:r>
        <w:rPr>
          <w:sz w:val="20"/>
        </w:rPr>
      </w:r>
    </w:p>
    <w:p>
      <w:pPr>
        <w:pStyle w:val="BodyTextIndent"/>
        <w:keepLines/>
        <w:widowControl/>
        <w:rPr>
          <w:sz w:val="20"/>
        </w:rPr>
      </w:pPr>
      <w:r>
        <w:rPr>
          <w:sz w:val="20"/>
        </w:rPr>
        <w:t>While Senate Bill (SB) No. 7X has passed (the emergency 12-day, $400 million CDWR spending), we understand that purchases under the instant RFB would be authorized pursuant to Assembly Bill No. 1X, which is currently being deliberated in the special session.  In the final bill we would like to see assurances that CDWR will itself be obligated to sellers for the full amount due for contracted power, and that repayment will not be dependent upon CDWR itself being able to collect all of the funds necessary to make such repayment from the parties to which CDWR sells power.  We believe there are provisions in the current legislation which could have this result if CDWR were to sell directly to end user customers or were dependent on payments from the ISO for repayment of CDWR’s purchase obligations.  We would be opposed to legislative provisions that would allow a contract between CDWR and ourselves to be assigned to a party who is less creditworthy.  In short, we anticipate that we would be comfortable with legislation which provided that we could be assured that our contractual agreements are and will remain between ourselves and CDWR, and that CDWR has both the clear obligation and resources to make payments pursuant to the terms of the EEI agreement for purchase and sale.</w:t>
      </w:r>
    </w:p>
    <w:p>
      <w:pPr>
        <w:pStyle w:val="Normal"/>
        <w:widowControl/>
        <w:jc w:val="both"/>
        <w:rPr>
          <w:b/>
          <w:sz w:val="20"/>
        </w:rPr>
      </w:pPr>
      <w:r>
        <w:rPr>
          <w:b/>
          <w:sz w:val="20"/>
        </w:rPr>
      </w:r>
    </w:p>
    <w:p>
      <w:pPr>
        <w:pStyle w:val="Normal"/>
        <w:widowControl/>
        <w:jc w:val="both"/>
        <w:rPr/>
      </w:pPr>
      <w:r>
        <w:rPr/>
        <w:t>EPMI looks forward to working with CDWR on an ongoing basis.  Please contact me at 503/464-3820 if you have any questions.</w:t>
      </w:r>
    </w:p>
    <w:p>
      <w:pPr>
        <w:pStyle w:val="Normal"/>
        <w:widowControl/>
        <w:jc w:val="both"/>
        <w:rPr/>
      </w:pPr>
      <w:r>
        <w:rPr/>
      </w:r>
    </w:p>
    <w:p>
      <w:pPr>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pPr>
    </w:p>
    <w:p>
      <w:pPr>
        <w:pStyle w:val="Normal"/>
        <w:widowControl/>
        <w:jc w:val="both"/>
        <w:rPr/>
      </w:pPr>
      <w:r>
        <w:rPr/>
      </w:r>
    </w:p>
    <w:p>
      <w:pPr>
        <w:pStyle w:val="Normal"/>
        <w:widowControl/>
        <w:ind w:firstLine="5040" w:end="0"/>
        <w:jc w:val="both"/>
        <w:rPr/>
      </w:pPr>
      <w:r>
        <w:rPr/>
        <w:t>Very truly yours,</w:t>
      </w:r>
    </w:p>
    <w:p>
      <w:pPr>
        <w:pStyle w:val="Normal"/>
        <w:widowControl/>
        <w:ind w:firstLine="5040" w:end="0"/>
        <w:jc w:val="both"/>
        <w:rPr/>
      </w:pPr>
      <w:r>
        <w:rPr/>
      </w:r>
    </w:p>
    <w:p>
      <w:pPr>
        <w:pStyle w:val="Normal"/>
        <w:widowControl/>
        <w:ind w:firstLine="5040" w:end="0"/>
        <w:jc w:val="both"/>
        <w:rPr/>
      </w:pPr>
      <w:r>
        <w:rPr/>
      </w:r>
    </w:p>
    <w:p>
      <w:pPr>
        <w:pStyle w:val="Normal"/>
        <w:widowControl/>
        <w:ind w:firstLine="5040" w:end="0"/>
        <w:jc w:val="both"/>
        <w:rPr/>
      </w:pPr>
      <w:r>
        <w:rPr/>
      </w:r>
    </w:p>
    <w:p>
      <w:pPr>
        <w:pStyle w:val="Normal"/>
        <w:widowControl/>
        <w:ind w:firstLine="5040" w:end="0"/>
        <w:jc w:val="both"/>
        <w:rPr/>
      </w:pPr>
      <w:r>
        <w:rPr/>
      </w:r>
    </w:p>
    <w:p>
      <w:pPr>
        <w:pStyle w:val="Normal"/>
        <w:widowControl/>
        <w:ind w:firstLine="5040" w:end="0"/>
        <w:jc w:val="both"/>
        <w:rPr/>
      </w:pPr>
      <w:r>
        <w:rPr/>
        <w:t>Tim Belden</w:t>
      </w:r>
    </w:p>
    <w:p>
      <w:pPr>
        <w:pStyle w:val="Normal"/>
        <w:widowControl/>
        <w:ind w:firstLine="5040" w:end="0"/>
        <w:jc w:val="both"/>
        <w:rPr/>
      </w:pPr>
      <w:r>
        <w:rPr/>
        <w:t>Managing Director</w:t>
      </w:r>
    </w:p>
    <w:p>
      <w:pPr>
        <w:pStyle w:val="Normal"/>
        <w:widowControl/>
        <w:ind w:firstLine="5040" w:end="0"/>
        <w:jc w:val="both"/>
        <w:rPr/>
      </w:pPr>
      <w:r>
        <w:rPr/>
        <w:t>Enron North America</w:t>
      </w:r>
    </w:p>
    <w:sectPr>
      <w:type w:val="continuous"/>
      <w:pgSz w:w="12240" w:h="15840"/>
      <w:pgMar w:left="1440" w:right="1440" w:gutter="0" w:header="1440" w:top="1496" w:footer="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jc w:val="both"/>
      <w:outlineLvl w:val="1"/>
    </w:pPr>
    <w:rPr>
      <w:sz w:val="24"/>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2001-01-24T16:42:00Z</dcterms:created>
  <dc:creator>cfoster</dc:creator>
  <dc:description>January 24, 2001</dc:description>
  <dc:language>en-CA</dc:language>
  <cp:lastModifiedBy>G. Alan Comnes</cp:lastModifiedBy>
  <cp:lastPrinted>2001-01-24T13:18:00Z</cp:lastPrinted>
  <dcterms:modified xsi:type="dcterms:W3CDTF">2001-01-24T18:49:00Z</dcterms:modified>
  <cp:revision>9</cp:revision>
  <dc:subject/>
  <dc:title>January 24, 2001</dc:title>
</cp:coreProperties>
</file>