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MASTER POWER PURCHASE &amp; SALE AGREEMENT</w:t>
      </w:r>
    </w:p>
    <w:p>
      <w:pPr>
        <w:pStyle w:val="Normal"/>
        <w:jc w:val="center"/>
        <w:rPr>
          <w:b/>
        </w:rPr>
      </w:pPr>
      <w:r>
        <w:rPr>
          <w:b/>
        </w:rPr>
        <w:t>ENRON POWER MARKETING, INC.</w:t>
      </w:r>
    </w:p>
    <w:p>
      <w:pPr>
        <w:pStyle w:val="Normal"/>
        <w:jc w:val="center"/>
        <w:rPr>
          <w:b/>
        </w:rPr>
      </w:pPr>
      <w:r>
        <w:rPr>
          <w:b/>
        </w:rPr>
        <w:t>PACIFIC GAS AND ELECTRIC COMPANY</w:t>
      </w:r>
    </w:p>
    <w:p>
      <w:pPr>
        <w:pStyle w:val="Normal"/>
        <w:jc w:val="center"/>
        <w:rPr>
          <w:b/>
        </w:rPr>
      </w:pPr>
      <w:r>
        <w:rPr>
          <w:b/>
        </w:rPr>
      </w:r>
    </w:p>
    <w:p>
      <w:pPr>
        <w:pStyle w:val="Normal"/>
        <w:rPr>
          <w:b/>
        </w:rPr>
      </w:pPr>
      <w:r>
        <w:rPr>
          <w:b/>
        </w:rPr>
      </w:r>
    </w:p>
    <w:tbl>
      <w:tblPr>
        <w:tblW w:w="17310" w:type="dxa"/>
        <w:jc w:val="start"/>
        <w:tblInd w:w="720" w:type="dxa"/>
        <w:tblLayout w:type="fixed"/>
        <w:tblCellMar>
          <w:top w:w="0" w:type="dxa"/>
          <w:start w:w="30" w:type="dxa"/>
          <w:bottom w:w="0" w:type="dxa"/>
          <w:end w:w="30" w:type="dxa"/>
        </w:tblCellMar>
      </w:tblPr>
      <w:tblGrid>
        <w:gridCol w:w="3462"/>
        <w:gridCol w:w="3462"/>
        <w:gridCol w:w="3462"/>
        <w:gridCol w:w="3462"/>
        <w:gridCol w:w="3462"/>
      </w:tblGrid>
      <w:tr>
        <w:trPr>
          <w:trHeight w:val="804" w:hRule="atLeast"/>
        </w:trPr>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Event of Default</w:t>
            </w:r>
          </w:p>
          <w:p>
            <w:pPr>
              <w:pStyle w:val="Normal"/>
              <w:jc w:val="center"/>
              <w:rPr>
                <w:rFonts w:ascii="Arial" w:hAnsi="Arial" w:cs="Arial"/>
                <w:b/>
                <w:color w:val="000000"/>
                <w:sz w:val="16"/>
                <w:lang w:eastAsia="en-US"/>
              </w:rPr>
            </w:pPr>
            <w:r>
              <w:rPr>
                <w:rFonts w:cs="Arial" w:ascii="Arial" w:hAnsi="Arial"/>
                <w:b/>
                <w:color w:val="000000"/>
                <w:sz w:val="16"/>
                <w:lang w:eastAsia="en-US"/>
              </w:rPr>
              <w:t>(EoD)</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Notice</w:t>
            </w:r>
          </w:p>
          <w:p>
            <w:pPr>
              <w:pStyle w:val="Normal"/>
              <w:jc w:val="center"/>
              <w:rPr>
                <w:rFonts w:ascii="Arial" w:hAnsi="Arial" w:cs="Arial"/>
                <w:b/>
                <w:color w:val="000000"/>
                <w:sz w:val="16"/>
                <w:lang w:eastAsia="en-US"/>
              </w:rPr>
            </w:pPr>
            <w:r>
              <w:rPr>
                <w:rFonts w:eastAsia="Arial" w:cs="Arial" w:ascii="Arial" w:hAnsi="Arial"/>
                <w:b/>
                <w:color w:val="000000"/>
                <w:sz w:val="16"/>
                <w:lang w:eastAsia="en-US"/>
              </w:rPr>
              <w:t xml:space="preserve"> </w:t>
            </w:r>
            <w:r>
              <w:rPr>
                <w:rFonts w:cs="Arial" w:ascii="Arial" w:hAnsi="Arial"/>
                <w:b/>
                <w:color w:val="000000"/>
                <w:sz w:val="16"/>
                <w:lang w:eastAsia="en-US"/>
              </w:rPr>
              <w:t>Procedures</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Damage</w:t>
            </w:r>
          </w:p>
          <w:p>
            <w:pPr>
              <w:pStyle w:val="Normal"/>
              <w:jc w:val="center"/>
              <w:rPr>
                <w:rFonts w:ascii="Arial" w:hAnsi="Arial" w:cs="Arial"/>
                <w:b/>
                <w:color w:val="000000"/>
                <w:sz w:val="16"/>
                <w:lang w:eastAsia="en-US"/>
              </w:rPr>
            </w:pPr>
            <w:r>
              <w:rPr>
                <w:rFonts w:cs="Arial" w:ascii="Arial" w:hAnsi="Arial"/>
                <w:b/>
                <w:color w:val="000000"/>
                <w:sz w:val="16"/>
                <w:lang w:eastAsia="en-US"/>
              </w:rPr>
              <w:t>Calculation</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Netting-set-off</w:t>
            </w:r>
          </w:p>
          <w:p>
            <w:pPr>
              <w:pStyle w:val="Normal"/>
              <w:jc w:val="center"/>
              <w:rPr>
                <w:rFonts w:ascii="Arial" w:hAnsi="Arial" w:cs="Arial"/>
                <w:b/>
                <w:color w:val="000000"/>
                <w:sz w:val="16"/>
                <w:lang w:eastAsia="en-US"/>
              </w:rPr>
            </w:pPr>
            <w:r>
              <w:rPr>
                <w:rFonts w:cs="Arial" w:ascii="Arial" w:hAnsi="Arial"/>
                <w:b/>
                <w:color w:val="000000"/>
                <w:sz w:val="16"/>
                <w:lang w:eastAsia="en-US"/>
              </w:rPr>
              <w:t>Pre-Default</w:t>
            </w:r>
          </w:p>
        </w:tc>
        <w:tc>
          <w:tcPr>
            <w:tcW w:w="3462" w:type="dxa"/>
            <w:tcBorders>
              <w:top w:val="single" w:sz="6" w:space="0" w:color="000000"/>
              <w:start w:val="single" w:sz="6" w:space="0" w:color="000000"/>
              <w:bottom w:val="single" w:sz="6" w:space="0" w:color="000000"/>
              <w:end w:val="single" w:sz="6" w:space="0" w:color="000000"/>
            </w:tcBorders>
            <w:shd w:fill="E5E5E5" w:val="clear"/>
          </w:tcPr>
          <w:p>
            <w:pPr>
              <w:pStyle w:val="Normal"/>
              <w:snapToGrid w:val="false"/>
              <w:jc w:val="center"/>
              <w:rPr>
                <w:rFonts w:ascii="Arial" w:hAnsi="Arial" w:cs="Arial"/>
                <w:b/>
                <w:color w:val="000000"/>
                <w:sz w:val="16"/>
                <w:lang w:eastAsia="en-US"/>
              </w:rPr>
            </w:pPr>
            <w:r>
              <w:rPr>
                <w:rFonts w:cs="Arial" w:ascii="Arial" w:hAnsi="Arial"/>
                <w:b/>
                <w:color w:val="000000"/>
                <w:sz w:val="16"/>
                <w:lang w:eastAsia="en-US"/>
              </w:rPr>
            </w:r>
          </w:p>
          <w:p>
            <w:pPr>
              <w:pStyle w:val="Normal"/>
              <w:jc w:val="center"/>
              <w:rPr>
                <w:rFonts w:ascii="Arial" w:hAnsi="Arial" w:cs="Arial"/>
                <w:b/>
                <w:color w:val="000000"/>
                <w:sz w:val="16"/>
                <w:lang w:eastAsia="en-US"/>
              </w:rPr>
            </w:pPr>
            <w:r>
              <w:rPr>
                <w:rFonts w:cs="Arial" w:ascii="Arial" w:hAnsi="Arial"/>
                <w:b/>
                <w:color w:val="000000"/>
                <w:sz w:val="16"/>
                <w:lang w:eastAsia="en-US"/>
              </w:rPr>
              <w:t>Netting-set-off</w:t>
            </w:r>
          </w:p>
          <w:p>
            <w:pPr>
              <w:pStyle w:val="Normal"/>
              <w:jc w:val="center"/>
              <w:rPr>
                <w:rFonts w:ascii="Arial" w:hAnsi="Arial" w:cs="Arial"/>
                <w:b/>
                <w:color w:val="000000"/>
                <w:sz w:val="16"/>
                <w:lang w:eastAsia="en-US"/>
              </w:rPr>
            </w:pPr>
            <w:r>
              <w:rPr>
                <w:rFonts w:cs="Arial" w:ascii="Arial" w:hAnsi="Arial"/>
                <w:b/>
                <w:color w:val="000000"/>
                <w:sz w:val="16"/>
                <w:lang w:eastAsia="en-US"/>
              </w:rPr>
              <w:t>Post-Default</w:t>
            </w:r>
          </w:p>
        </w:tc>
      </w:tr>
      <w:tr>
        <w:trPr>
          <w:trHeight w:val="3571" w:hRule="atLeast"/>
        </w:trPr>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1.  Failure to make payment, if not remedied within 3 Business Days after written notice.</w:t>
            </w:r>
          </w:p>
          <w:p>
            <w:pPr>
              <w:pStyle w:val="Normal"/>
              <w:rPr>
                <w:rFonts w:ascii="Arial" w:hAnsi="Arial" w:eastAsia="Arial" w:cs="Arial"/>
                <w:color w:val="000000"/>
                <w:sz w:val="16"/>
                <w:lang w:eastAsia="en-US"/>
              </w:rPr>
            </w:pPr>
            <w:r>
              <w:rPr>
                <w:rFonts w:eastAsia="Arial" w:cs="Arial" w:ascii="Arial" w:hAnsi="Arial"/>
                <w:color w:val="000000"/>
                <w:sz w:val="16"/>
                <w:lang w:eastAsia="en-US"/>
              </w:rPr>
              <w:t xml:space="preserve">  </w:t>
            </w:r>
          </w:p>
          <w:p>
            <w:pPr>
              <w:pStyle w:val="Normal"/>
              <w:rPr>
                <w:rFonts w:ascii="Arial" w:hAnsi="Arial" w:cs="Arial"/>
                <w:color w:val="000000"/>
                <w:sz w:val="16"/>
                <w:lang w:eastAsia="en-US"/>
              </w:rPr>
            </w:pPr>
            <w:r>
              <w:rPr>
                <w:rFonts w:cs="Arial" w:ascii="Arial" w:hAnsi="Arial"/>
                <w:color w:val="000000"/>
                <w:sz w:val="16"/>
                <w:lang w:eastAsia="en-US"/>
              </w:rPr>
              <w:t>2.  Party becomes Bankrupt (includes commencement of proceeding, assignment for the benefit of creditors, insolvency; appointment of liquidator or inability to pay debt).</w:t>
            </w:r>
          </w:p>
          <w:p>
            <w:pPr>
              <w:pStyle w:val="Normal"/>
              <w:rPr>
                <w:rFonts w:ascii="Arial" w:hAnsi="Arial" w:eastAsia="Arial" w:cs="Arial"/>
                <w:color w:val="000000"/>
                <w:sz w:val="16"/>
                <w:lang w:eastAsia="en-US"/>
              </w:rPr>
            </w:pPr>
            <w:r>
              <w:rPr>
                <w:rFonts w:eastAsia="Arial" w:cs="Arial" w:ascii="Arial" w:hAnsi="Arial"/>
                <w:color w:val="000000"/>
                <w:sz w:val="16"/>
                <w:lang w:eastAsia="en-US"/>
              </w:rPr>
              <w:t xml:space="preserve">  </w:t>
            </w:r>
          </w:p>
          <w:p>
            <w:pPr>
              <w:pStyle w:val="Normal"/>
              <w:rPr>
                <w:rFonts w:ascii="Arial" w:hAnsi="Arial" w:cs="Arial"/>
                <w:color w:val="000000"/>
                <w:sz w:val="16"/>
                <w:lang w:eastAsia="en-US"/>
              </w:rPr>
            </w:pPr>
            <w:r>
              <w:rPr>
                <w:rFonts w:cs="Arial" w:ascii="Arial" w:hAnsi="Arial"/>
                <w:color w:val="000000"/>
                <w:sz w:val="16"/>
                <w:lang w:eastAsia="en-US"/>
              </w:rPr>
              <w:t>3.  Failure to satisfy creditworthiness or collateral requirements by providing Performance Assurance within 3 Business Days of Request.</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4.  Cross Default on any borrowed money in excess of $100 million.</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 xml:space="preserve">Note that failure to schedule or take delivery is not an Event of Default, but gives rise to "Accelerated Payment of Damages."  </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Notice of termination must be in writing and delivered by hand delivery, US mail, overnight courier or facsimile.  Notice by facsimile or hand delivery is effective at the close of business on the day received if received during business hours on a Business Day, otherwise effective at the close of business on the next Business Day.   </w:t>
            </w:r>
          </w:p>
          <w:p>
            <w:pPr>
              <w:pStyle w:val="Normal"/>
              <w:rPr>
                <w:rFonts w:ascii="Arial" w:hAnsi="Arial" w:cs="Arial"/>
                <w:color w:val="000000"/>
                <w:sz w:val="16"/>
                <w:lang w:eastAsia="en-US"/>
              </w:rPr>
            </w:pPr>
            <w:r>
              <w:rPr>
                <w:rFonts w:cs="Arial" w:ascii="Arial" w:hAnsi="Arial"/>
                <w:color w:val="000000"/>
                <w:sz w:val="16"/>
                <w:lang w:eastAsia="en-US"/>
              </w:rPr>
              <w:t xml:space="preserve">Notice must designate an Early Termination Date ("ETD") no earlier than the effective date of the notice, and not later than 20 days after the notice is effective.  </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ETD must be the same for all transactions under the Master Agreement unless in the reasonable opinion of the Non-Defaulting Party ('NDP"), any of the terminated transactions are commercially impracticable to liquidate and terminate or may not be liquidated and terminated under applicable law on the Early Termination Date ("Excluded Transaction").  Each "Excluded Transaction" shall be terminated as soon after the ETD as reasonably practicable.  Master Agreement silent on whether Excluded Transactions must be specified in ETD notice.</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Note: may suspend performance upon EOD by giving written notice; but suspension may be for no longer than 10 Business Days, unless an ETD is declared.</w:t>
            </w:r>
          </w:p>
          <w:p>
            <w:pPr>
              <w:pStyle w:val="Normal"/>
              <w:rPr>
                <w:rFonts w:ascii="Arial" w:hAnsi="Arial" w:cs="Arial"/>
                <w:color w:val="000000"/>
                <w:sz w:val="16"/>
                <w:lang w:eastAsia="en-US"/>
              </w:rPr>
            </w:pPr>
            <w:r>
              <w:rPr>
                <w:rFonts w:cs="Arial" w:ascii="Arial" w:hAnsi="Arial"/>
                <w:color w:val="000000"/>
                <w:sz w:val="16"/>
                <w:lang w:eastAsia="en-US"/>
              </w:rPr>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 xml:space="preserve">NDP calculates Settlement Amount for each terminated transaction .  Calculations are made as of the ETD (or the termination date of the Excluded Transaction).  </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Gains and Losses are determined by comparing (a) the value of the remaining term, transaction quantities and transaction prices under each Terminated Transaction to (b) the equivalent quantities and relevant market prices for the remaining term either quoted by a bona fide third-party offer or which are reasonably expected to be available in the market under a replacement contract.  To ascertain the market prices for a replacement contract, NDP may consider, among other valuations, quotations from leading dealers, third party offers, all adjusted for the length of the remaining term and differences in transmission.</w:t>
            </w:r>
          </w:p>
          <w:p>
            <w:pPr>
              <w:pStyle w:val="Normal"/>
              <w:rPr>
                <w:rFonts w:ascii="Arial" w:hAnsi="Arial" w:cs="Arial"/>
                <w:color w:val="000000"/>
                <w:sz w:val="16"/>
                <w:lang w:eastAsia="en-US"/>
              </w:rPr>
            </w:pPr>
            <w:r>
              <w:rPr>
                <w:rFonts w:cs="Arial" w:ascii="Arial" w:hAnsi="Arial"/>
                <w:color w:val="000000"/>
                <w:sz w:val="16"/>
                <w:lang w:eastAsia="en-US"/>
              </w:rPr>
            </w:r>
          </w:p>
          <w:p>
            <w:pPr>
              <w:pStyle w:val="Normal"/>
              <w:rPr>
                <w:rFonts w:ascii="Arial" w:hAnsi="Arial" w:cs="Arial"/>
                <w:color w:val="000000"/>
                <w:sz w:val="16"/>
                <w:lang w:eastAsia="en-US"/>
              </w:rPr>
            </w:pPr>
            <w:r>
              <w:rPr>
                <w:rFonts w:cs="Arial" w:ascii="Arial" w:hAnsi="Arial"/>
                <w:color w:val="000000"/>
                <w:sz w:val="16"/>
                <w:lang w:eastAsia="en-US"/>
              </w:rPr>
              <w:t>NDP aggregates all Settlement Amounts into a single amount by  netting out (a) all Settlement Amounts that are due to the Defaulting Party ("DP"), plus, at the option of the NDP, any cash or other form of collateral, plus any other amounts due by the NDP under the agreement against (b) all Settlement Amounts that are due to the NDP plus any other amounts due to the NDP under the Agreement to arrive at the Termination Payment that is due either to or from the NDP.  Notice of the Termination Payment calculation must be given as soon as practicable by the NDP.  Termination Payment is due 2 Business Days after notice.</w:t>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Parties may by agreement net Offsetting Transactions under the Master Agreement.</w:t>
            </w:r>
          </w:p>
        </w:tc>
        <w:tc>
          <w:tcPr>
            <w:tcW w:w="3462"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color w:val="000000"/>
                <w:sz w:val="16"/>
                <w:lang w:eastAsia="en-US"/>
              </w:rPr>
            </w:pPr>
            <w:r>
              <w:rPr>
                <w:rFonts w:cs="Arial" w:ascii="Arial" w:hAnsi="Arial"/>
                <w:color w:val="000000"/>
                <w:sz w:val="16"/>
                <w:lang w:eastAsia="en-US"/>
              </w:rPr>
              <w:t>If a Termination Payment is due to the DP, the NDP may set-off amounts due by DP to NDP under any agreement between the Parties "(which agreements shall include any natural gas purchase and sale agreements between EPMI's Affiliates" and PG&amp;E.  Amounts owed under ISDA's may not be setoff.  Specifically:</w:t>
            </w:r>
          </w:p>
          <w:p>
            <w:pPr>
              <w:pStyle w:val="Normal"/>
              <w:rPr>
                <w:rFonts w:ascii="Arial" w:hAnsi="Arial" w:cs="Arial"/>
                <w:color w:val="000000"/>
                <w:sz w:val="16"/>
                <w:lang w:eastAsia="en-US"/>
              </w:rPr>
            </w:pPr>
            <w:r>
              <w:rPr>
                <w:rFonts w:cs="Arial" w:ascii="Arial" w:hAnsi="Arial"/>
                <w:color w:val="000000"/>
                <w:sz w:val="16"/>
                <w:lang w:eastAsia="en-US"/>
              </w:rPr>
            </w:r>
          </w:p>
          <w:p>
            <w:pPr>
              <w:pStyle w:val="Normal"/>
              <w:ind w:start="720" w:end="0"/>
              <w:rPr>
                <w:rFonts w:ascii="Arial" w:hAnsi="Arial" w:cs="Arial"/>
                <w:color w:val="000000"/>
                <w:sz w:val="16"/>
                <w:lang w:eastAsia="en-US"/>
              </w:rPr>
            </w:pPr>
            <w:r>
              <w:rPr>
                <w:rFonts w:cs="Arial" w:ascii="Arial" w:hAnsi="Arial"/>
                <w:color w:val="000000"/>
                <w:sz w:val="16"/>
                <w:lang w:eastAsia="en-US"/>
              </w:rPr>
              <w:t>"Notwithstanding anything to the contrary in this agreement, any right of set off to which any party may otherwise be entitled...shall not apply with respect to any amounts owed under any other agreements between the parties that are based on (ISDA's)."</w:t>
            </w:r>
          </w:p>
        </w:tc>
      </w:tr>
    </w:tbl>
    <w:p>
      <w:pPr>
        <w:pStyle w:val="Normal"/>
        <w:tabs>
          <w:tab w:val="clear" w:pos="720"/>
          <w:tab w:val="left" w:pos="990" w:leader="none"/>
        </w:tabs>
        <w:rPr/>
      </w:pPr>
      <w:r>
        <w:rPr/>
      </w:r>
    </w:p>
    <w:sectPr>
      <w:footerReference w:type="default" r:id="rId2"/>
      <w:footerReference w:type="first" r:id="rId3"/>
      <w:type w:val="nextPage"/>
      <w:pgSz w:orient="landscape" w:w="20160" w:h="122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HN 46635.2 02618 00125 4/8/01 6:10:26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2001-04-08T13:27:00Z</dcterms:created>
  <dc:creator>LeBoeuf, Lamb, Greene &amp; MacRae, L.L.P.</dc:creator>
  <dc:description/>
  <cp:keywords>HN 46635.2 02618 00125 4/8/01 6:10:26 PM</cp:keywords>
  <dc:language>en-CA</dc:language>
  <cp:lastModifiedBy>LeBoeuf, Lamb, Greene &amp; MacRae, L.L.P.</cp:lastModifiedBy>
  <cp:lastPrinted>2001-04-08T18:10:00Z</cp:lastPrinted>
  <dcterms:modified xsi:type="dcterms:W3CDTF">2001-04-08T20:40:00Z</dcterms:modified>
  <cp:revision>10</cp:revision>
  <dc:subject/>
  <dc:title>Heading 1</dc:title>
</cp:coreProperties>
</file>