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0" w:after="0"/>
        <w:rPr>
          <w:caps w:val="false"/>
          <w:smallCaps w:val="false"/>
        </w:rPr>
      </w:pPr>
      <w:r>
        <w:rPr>
          <w:caps w:val="false"/>
          <w:smallCaps w:val="false"/>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b/>
        </w:rPr>
      </w:pPr>
      <w:r>
        <w:rPr>
          <w:b/>
        </w:rPr>
      </w:r>
    </w:p>
    <w:p>
      <w:pPr>
        <w:pStyle w:val="Normal"/>
        <w:rPr>
          <w:b/>
        </w:rPr>
      </w:pPr>
      <w:r>
        <w:rPr>
          <w:b/>
        </w:rPr>
        <w:t>Regional Transmission Organizations</w:t>
        <w:tab/>
        <w:t xml:space="preserve">     )</w:t>
        <w:tab/>
        <w:tab/>
        <w:t>Docket No. RT01-99-000</w:t>
      </w:r>
    </w:p>
    <w:p>
      <w:pPr>
        <w:pStyle w:val="Normal"/>
        <w:jc w:val="center"/>
        <w:rPr>
          <w:b/>
          <w:i/>
          <w:i/>
        </w:rPr>
      </w:pPr>
      <w:r>
        <w:rPr>
          <w:b/>
          <w:i/>
        </w:rPr>
      </w:r>
    </w:p>
    <w:p>
      <w:pPr>
        <w:pStyle w:val="Centered"/>
        <w:spacing w:before="0" w:after="0"/>
        <w:rPr>
          <w:caps w:val="false"/>
          <w:smallCaps w:val="false"/>
        </w:rPr>
      </w:pPr>
      <w:r>
        <w:rPr>
          <w:caps w:val="false"/>
          <w:smallCaps w:val="false"/>
        </w:rPr>
        <w:t>COMMENTS OF ENRON POWER MARKETING, INC.</w:t>
      </w:r>
    </w:p>
    <w:p>
      <w:pPr>
        <w:pStyle w:val="Normal"/>
        <w:rPr/>
      </w:pPr>
      <w:r>
        <w:rPr/>
        <w:tab/>
        <w:tab/>
      </w:r>
    </w:p>
    <w:p>
      <w:pPr>
        <w:pStyle w:val="BodyTextIndent"/>
        <w:rPr/>
      </w:pPr>
      <w:r>
        <w:rPr/>
        <w:t>Pursuant to the Commission’s Notice issued September 27, 2001, Enron Power Marketing Inc. (“EPMI”) submits the following comments.  EPMI has also joined the comments of the One RTO Coalition, but adds to those comments in certain respects.</w:t>
      </w:r>
    </w:p>
    <w:p>
      <w:pPr>
        <w:pStyle w:val="Normal"/>
        <w:spacing w:lineRule="auto" w:line="480"/>
        <w:rPr>
          <w:b/>
          <w:bCs/>
          <w:u w:val="single"/>
        </w:rPr>
      </w:pPr>
      <w:r>
        <w:rPr>
          <w:b/>
          <w:bCs/>
          <w:u w:val="single"/>
        </w:rPr>
        <w:t>EXECUTIVE SUMMARY</w:t>
      </w:r>
    </w:p>
    <w:p>
      <w:pPr>
        <w:pStyle w:val="Normal"/>
        <w:spacing w:lineRule="auto" w:line="480"/>
        <w:ind w:firstLine="720" w:end="0"/>
        <w:rPr/>
      </w:pPr>
      <w:r>
        <w:rPr/>
        <w:t xml:space="preserve">For the reasons set forth below, Enron respectfully requests the Commission to:  </w:t>
      </w:r>
    </w:p>
    <w:p>
      <w:pPr>
        <w:pStyle w:val="BodyText"/>
        <w:numPr>
          <w:ilvl w:val="0"/>
          <w:numId w:val="2"/>
        </w:numPr>
        <w:rPr>
          <w:b/>
        </w:rPr>
      </w:pPr>
      <w:r>
        <w:rPr>
          <w:b/>
        </w:rPr>
        <w:t>Act now on market design and governance issues for the Northeast RTO, even while the Commission proceeds with its RTO NOPR initiative;</w:t>
      </w:r>
    </w:p>
    <w:p>
      <w:pPr>
        <w:pStyle w:val="BodyText"/>
        <w:numPr>
          <w:ilvl w:val="0"/>
          <w:numId w:val="2"/>
        </w:numPr>
        <w:rPr>
          <w:b/>
          <w:bCs/>
        </w:rPr>
      </w:pPr>
      <w:r>
        <w:rPr>
          <w:b/>
          <w:bCs/>
        </w:rPr>
        <w:t xml:space="preserve">Direct that “Option 3-M” of the Business Plan be adopted but require that it be implemented by no later than December 2002; and </w:t>
      </w:r>
    </w:p>
    <w:p>
      <w:pPr>
        <w:pStyle w:val="BodyText"/>
        <w:numPr>
          <w:ilvl w:val="0"/>
          <w:numId w:val="2"/>
        </w:numPr>
        <w:rPr>
          <w:b/>
          <w:bCs/>
        </w:rPr>
      </w:pPr>
      <w:r>
        <w:rPr>
          <w:b/>
          <w:bCs/>
        </w:rPr>
        <w:t>Adopt the governance proposal in “Option 1-G” of the Business Plan, using a 5-3-2 Board configuration (PJM, NYISO, ISO-NE).</w:t>
      </w:r>
    </w:p>
    <w:p>
      <w:pPr>
        <w:pStyle w:val="Footer"/>
        <w:tabs>
          <w:tab w:val="clear" w:pos="4320"/>
          <w:tab w:val="clear" w:pos="8640"/>
        </w:tabs>
        <w:rPr>
          <w:b/>
          <w:bCs/>
          <w:iCs/>
        </w:rPr>
      </w:pPr>
      <w:r>
        <w:rPr>
          <w:b/>
          <w:bCs/>
          <w:iCs/>
        </w:rPr>
      </w:r>
    </w:p>
    <w:p>
      <w:pPr>
        <w:pStyle w:val="Normal"/>
        <w:ind w:start="360" w:end="0"/>
        <w:rPr>
          <w:b/>
          <w:bCs/>
          <w:u w:val="single"/>
        </w:rPr>
      </w:pPr>
      <w:r>
        <w:rPr>
          <w:b/>
          <w:bCs/>
          <w:u w:val="single"/>
        </w:rPr>
        <w:t>DISCUSSION</w:t>
      </w:r>
    </w:p>
    <w:p>
      <w:pPr>
        <w:pStyle w:val="Normal"/>
        <w:ind w:start="360" w:end="0"/>
        <w:rPr>
          <w:b/>
          <w:bCs/>
          <w:u w:val="single"/>
        </w:rPr>
      </w:pPr>
      <w:r>
        <w:rPr>
          <w:b/>
          <w:bCs/>
          <w:u w:val="single"/>
        </w:rPr>
      </w:r>
    </w:p>
    <w:p>
      <w:pPr>
        <w:pStyle w:val="Normal"/>
        <w:ind w:start="360" w:end="0"/>
        <w:rPr>
          <w:b/>
          <w:bCs/>
          <w:u w:val="single"/>
        </w:rPr>
      </w:pPr>
      <w:r>
        <w:rPr>
          <w:b/>
          <w:bCs/>
          <w:u w:val="single"/>
        </w:rPr>
        <w:t>The Commission Should Not Delay Deciding the Governance and Market Design Issues.</w:t>
      </w:r>
    </w:p>
    <w:p>
      <w:pPr>
        <w:pStyle w:val="Normal"/>
        <w:rPr>
          <w:b/>
          <w:bCs/>
          <w:iCs/>
          <w:u w:val="single"/>
        </w:rPr>
      </w:pPr>
      <w:r>
        <w:rPr>
          <w:b/>
          <w:bCs/>
          <w:iCs/>
          <w:u w:val="single"/>
        </w:rPr>
      </w:r>
    </w:p>
    <w:p>
      <w:pPr>
        <w:pStyle w:val="Normal"/>
        <w:spacing w:lineRule="auto" w:line="480"/>
        <w:ind w:firstLine="720" w:end="0"/>
        <w:rPr/>
      </w:pPr>
      <w:r>
        <w:rPr/>
        <w:t>The Commission’s July 12, 2001 Orders in the PJM, PJM-West, NYISO and ISO-NE RTO dockets were critical steps toward reasonable and expeditious development of a single, efficient wholesale power market for the Northeast.  The process established by the Orders resulted in the “Business Plan for the Development and Implementation of a Single Regional Transmission Organization for the Northeastern United States” (“Business Plan”), and the issuance of Administrative Law Judge Peter Young’s (“Mediator”) Report.</w:t>
      </w:r>
      <w:r>
        <w:rPr>
          <w:rStyle w:val="FootnoteCharacters"/>
          <w:rStyle w:val="FootnoteReference"/>
        </w:rPr>
        <w:footnoteReference w:id="2"/>
      </w:r>
      <w:r>
        <w:rPr/>
        <w:t xml:space="preserve">   EPMI commends the Commission’s July 12 Orders, and supports the RTO initiative recently announced at the Commission’s September 26, 2001 meeting.  </w:t>
      </w:r>
    </w:p>
    <w:p>
      <w:pPr>
        <w:pStyle w:val="Normal"/>
        <w:spacing w:lineRule="auto" w:line="480"/>
        <w:ind w:firstLine="720" w:end="0"/>
        <w:rPr/>
      </w:pPr>
      <w:r>
        <w:rPr/>
        <w:t xml:space="preserve">However, EPMI is concerned that this new RTO initiative, as applied to the Northeast RTO proceedings, could unnecessarily delay progress made toward fulfillment of a single RTO for the Northeast.  The Business Plan and the ALJ Report demonstrate the desperate need for Commission guidance and firm action on critical issues that divide the parties to the proceeding – specifically governance and market design.   The impasse of the parties on governance and market design issues will exist regardless of the outcome of the upcoming RTO rulemaking.  With respect to both, the parties to the mediation succeeded in reaching very productive compromises to narrow the issues and present the Commission with limited and well-defined proposals.  The Commission should move forward on the basis of this progress and resolve these matters on the basis of the Business Plan rather than re-open the subjects without limit on debate. </w:t>
      </w:r>
    </w:p>
    <w:p>
      <w:pPr>
        <w:pStyle w:val="Normal"/>
        <w:spacing w:lineRule="auto" w:line="480"/>
        <w:ind w:firstLine="720" w:end="0"/>
        <w:rPr/>
      </w:pPr>
      <w:r>
        <w:rPr/>
        <w:t xml:space="preserve">Specifically, examining </w:t>
      </w:r>
      <w:r>
        <w:rPr>
          <w:i/>
          <w:iCs/>
        </w:rPr>
        <w:t>all</w:t>
      </w:r>
      <w:r>
        <w:rPr/>
        <w:t xml:space="preserve"> market design issues </w:t>
      </w:r>
      <w:r>
        <w:rPr>
          <w:i/>
          <w:iCs/>
        </w:rPr>
        <w:t>de novo</w:t>
      </w:r>
      <w:r>
        <w:rPr/>
        <w:t>, as suggested by the Commission’s September 26</w:t>
      </w:r>
      <w:r>
        <w:rPr>
          <w:vertAlign w:val="superscript"/>
        </w:rPr>
        <w:t>th</w:t>
      </w:r>
      <w:r>
        <w:rPr/>
        <w:t xml:space="preserve"> pronouncement, is not required or appropriate in the Northeast given the substantial support of the parties (as well as the Commission) for an energy market design based on the PJM platform.  The energy market component of the RTO market design resulting from the proposed section 206 RTO proceeding is unlikely to deviate substantially from the PJM platform.  New England is now implementing the PJM platform for its energy market and New York’s energy market design is, in many respects, similar to PJM.  Even if a compelling discovery arises during the RTO rulemaking requiring significant changes to the PJM energy market design, it will not seriously disrupt systems development, given that the Commission will conduct the RTO proceeding in an expedited fashion and any such changes will be identified and approved at an early stage of the systems development process.  Accordingly, acting on the critical issues of governance and energy market design in the immediate Northeast RTO proceeding will not presuppose the outcome of the upcoming RTO rulemaking nor will it disrupt development of systems necessary to operate a single RTO in the Northeast.</w:t>
      </w:r>
    </w:p>
    <w:p>
      <w:pPr>
        <w:pStyle w:val="BodyTextIndent"/>
        <w:ind w:hanging="0" w:end="0"/>
        <w:rPr/>
      </w:pPr>
      <w:r>
        <w:rPr/>
        <w:t xml:space="preserve"> </w:t>
      </w:r>
      <w:r>
        <w:rPr/>
        <w:t>Accordingly, the Commission must act decisively on these issues now so that consumers can begin to reap the significant benefits of a single RTO in the Northeast.</w:t>
      </w:r>
    </w:p>
    <w:p>
      <w:pPr>
        <w:pStyle w:val="BodyText"/>
        <w:rPr>
          <w:b/>
          <w:bCs/>
          <w:u w:val="single"/>
        </w:rPr>
      </w:pPr>
      <w:r>
        <w:rPr>
          <w:b/>
          <w:bCs/>
          <w:u w:val="single"/>
        </w:rPr>
        <w:t>The Commission Should Adopt Market Design Option 3-M  With a December 2002 Implementation Date.</w:t>
      </w:r>
    </w:p>
    <w:p>
      <w:pPr>
        <w:pStyle w:val="BodyText"/>
        <w:spacing w:lineRule="auto" w:line="480" w:before="0" w:after="0"/>
        <w:ind w:firstLine="720" w:end="0"/>
        <w:rPr/>
      </w:pPr>
      <w:r>
        <w:rPr>
          <w:bCs/>
        </w:rPr>
        <w:t xml:space="preserve">EPMI </w:t>
      </w:r>
      <w:r>
        <w:rPr/>
        <w:t>strongly endorses Commission adoption of the market design set forth in Option 3-M of the Business Plan, as proposed by PJM.  Accordingly, EPMI adopts the arguments made by the One RTO Coalition in its comments made in this proceeding.  However, EPMI believes that the November 2003 deadline contained in option 3-M is far too conservative and can be significantly accelerated without compromising market design or system reliability.    Specifically, Option 3-M can and must be implemented by December 2002.</w:t>
      </w:r>
    </w:p>
    <w:p>
      <w:pPr>
        <w:pStyle w:val="BodyText"/>
        <w:spacing w:lineRule="auto" w:line="480" w:before="0" w:after="0"/>
        <w:ind w:firstLine="720" w:end="0"/>
        <w:rPr/>
      </w:pPr>
      <w:r>
        <w:rPr/>
        <w:t>Given the expeditious implementation of PJM West, the progress New England is making in implementing Standard Market Design (fully compatible with the PJM platform), and the endorsement of the PJM Members Committee for PJM to initially expend up to $3 million for conceptual market design, EPMI believes that a reasonable completion date is December 2002.   Moreover, based on the findings of the “Mirant Study” (as referenced comments filed by the One RTO Coalition), accelerating the implementation date by one year will save Northeast consumers approximately $440 million.  Given the tremendous benefits at stake, it is difficult to imagine any overriding benefits to consumers that are justified by adopting an overly cautious and time-consuming approach.</w:t>
      </w:r>
    </w:p>
    <w:p>
      <w:pPr>
        <w:pStyle w:val="Normal"/>
        <w:spacing w:lineRule="auto" w:line="480"/>
        <w:ind w:firstLine="720" w:end="0"/>
        <w:rPr/>
      </w:pPr>
      <w:r>
        <w:rPr/>
        <w:t>In looking at PJM’s schedule, there are many places in the schedule where time can be saved.  For example, PJM assumes in its Gant Chart that development of the regional system will not begin until November 1 (assuming a Commission order is issued by then).  However, on August _____, 2001, the PJM Members Committee authorized PJM to begin work on the new system design.  Because work has already begun, these two months will be saved.  Similarly, PJM has worked into the schedule several months for testing</w:t>
      </w:r>
      <w:r>
        <w:rPr>
          <w:b/>
        </w:rPr>
        <w:t xml:space="preserve"> </w:t>
      </w:r>
      <w:r>
        <w:rPr/>
        <w:t xml:space="preserve">once system design is completed.   Energy market system testing historically has not taken this long, and it seems that this time estimate could be reduced.   Furthermore, in discussions with PJM personnel, it has been stated that the entire timeline has extra time added to its various components to deal with the continuing bickering that has resulted among the ISOs and stakeholders for the last two years.  If the Commission issues a clear, unambiguous order in this proceeding directing the parties to implement the PJM proposal without further debate, an addition 5-7 months could arguably be saved.  </w:t>
      </w:r>
    </w:p>
    <w:p>
      <w:pPr>
        <w:pStyle w:val="BodyText"/>
        <w:spacing w:lineRule="auto" w:line="480" w:before="0" w:after="0"/>
        <w:ind w:firstLine="720" w:end="0"/>
        <w:rPr/>
      </w:pPr>
      <w:r>
        <w:rPr/>
        <w:t>Although these are rough estimates, the point is to illustrate that the PJM timeline is conservative and can and should be tightened.  Demanding participants to design, test, and implement the Northeast RTO as quickly as possible will ensure that consumers in the Northeast will begin to enjoy the benefits of effective wholesale as soon as possible.</w:t>
      </w:r>
    </w:p>
    <w:p>
      <w:pPr>
        <w:pStyle w:val="Normal"/>
        <w:autoSpaceDE w:val="false"/>
        <w:spacing w:lineRule="auto" w:line="480"/>
        <w:ind w:firstLine="720" w:end="0"/>
        <w:rPr>
          <w:szCs w:val="20"/>
        </w:rPr>
      </w:pPr>
      <w:r>
        <w:rPr>
          <w:szCs w:val="20"/>
        </w:rPr>
        <w:t>The Commission should stick to its original December 15, 2002 implementation date for establishing RTOs as established in Order No 2000, given the evidence clearly shows that a single northeast RTO and single energy market can be safely and reliably implemented within that time frame.  The Commission can help by issuing a clear, unambiguous order by November 1, 2001, directing that Option 3-M be implemented by December 2002 and that such commencement date is technically feasible.</w:t>
      </w:r>
    </w:p>
    <w:p>
      <w:pPr>
        <w:pStyle w:val="BodyText2"/>
        <w:rPr/>
      </w:pPr>
      <w:r>
        <w:rPr/>
        <w:t>The Commission Should Adopt Post-Mediation Governance Option 1-G, With a Board Comprised of Five Representatives from PJM, Three from NYISO and Two from ISO-NE.</w:t>
      </w:r>
    </w:p>
    <w:p>
      <w:pPr>
        <w:pStyle w:val="Normal"/>
        <w:ind w:start="360" w:end="0"/>
        <w:rPr/>
      </w:pPr>
      <w:r>
        <w:rPr/>
      </w:r>
    </w:p>
    <w:p>
      <w:pPr>
        <w:pStyle w:val="Normal"/>
        <w:spacing w:lineRule="auto" w:line="480"/>
        <w:ind w:firstLine="720" w:end="0"/>
        <w:rPr/>
      </w:pPr>
      <w:r>
        <w:rPr/>
        <w:t>Crucial to the success of any effort to establish one energy market for the Northeast RTO is resolving governance issues necessary to expedite and effectively manage the “going-forward” process.  The Business Plan produced by the mediation process developed three options for governance.  Each option contemplates formation of a new company and board of directors and that the new board of directors will manage the going forward process.  The options differ primarily with respect to board composition and the extent to which the board is a permanent or temporary entity during the transition period.</w:t>
      </w:r>
    </w:p>
    <w:p>
      <w:pPr>
        <w:pStyle w:val="Normal"/>
        <w:spacing w:lineRule="auto" w:line="480"/>
        <w:ind w:firstLine="720" w:end="0"/>
        <w:rPr/>
      </w:pPr>
      <w:r>
        <w:rPr/>
        <w:t xml:space="preserve">EPMI firmly believes that if the goal of having one energy market based on the PJM platform operating in the Northeast in the shortest time-frame possible is to become a reality; it </w:t>
      </w:r>
      <w:r>
        <w:rPr>
          <w:u w:val="single"/>
        </w:rPr>
        <w:t>must</w:t>
      </w:r>
      <w:r>
        <w:rPr/>
        <w:t xml:space="preserve"> put PJM in control of the going-forward process.  FERC needs to pick a management team now, and once chosen, allow it to manage the RTO implementation process, with stakeholder input to help guide decision-making.  In our view, governance option 1-G best accommodates this objective.</w:t>
      </w:r>
      <w:r>
        <w:rPr>
          <w:rStyle w:val="FootnoteCharacters"/>
          <w:rStyle w:val="FootnoteReference"/>
        </w:rPr>
        <w:footnoteReference w:id="3"/>
      </w:r>
    </w:p>
    <w:p>
      <w:pPr>
        <w:pStyle w:val="Normal"/>
        <w:spacing w:lineRule="auto" w:line="480"/>
        <w:ind w:firstLine="720" w:end="0"/>
        <w:rPr/>
      </w:pPr>
      <w:r>
        <w:rPr/>
        <w:t xml:space="preserve">Option 1-G was silent, however, with respect to the issue of Board composition. With regard to this critical issue, Enron supports an RTO Board composition that consists of 5 PJM board members, 3 NYISO members and 2 New England ISO members, with a voting CEO to be selected by the board. </w:t>
      </w:r>
    </w:p>
    <w:p>
      <w:pPr>
        <w:pStyle w:val="BodyTextIndent"/>
        <w:rPr/>
      </w:pPr>
      <w:r>
        <w:rPr/>
        <w:t xml:space="preserve">The “5,3,2” proposal makes sense for a number of reasons.  First, it is the PJM market design that will be largely implemented by the Northeast RTO.  PJM management is better qualified to timely and efficiently manage the transition from PJM to the entire northeast given its proven track record in creating the one successful market platform that has been endorsed by the Commission.   Moreover, only the PJM market structure has been approved by the Commission as an RTO and has been recently expanded to include PJM West.  Finally, PJM was the only ISO to take the initiative and offer full support of management and staff in support of the mediation process and successfully developed a secure website to enhance the process.  </w:t>
      </w:r>
    </w:p>
    <w:p>
      <w:pPr>
        <w:pStyle w:val="BodyTextIndent"/>
        <w:rPr/>
      </w:pPr>
      <w:r>
        <w:rPr/>
        <w:t>PJM’s success (in contrast to the problems experienced in New York and New England) coupled with the strong desire of market participants to move as quickly as possible to create one market in the northeast, warrants putting PJM in control of the going forward process, as evidenced by the overwhelming support of every generator and power marketer operating in the Northeast region. This preference represents remarkable consensus among market participants who have no business or political need to vote in favor of any particular region. It is a vote of confidence by those in the market place for PJM, and says to the Commission that for this major job to get done, and done well, the Commission must allow PJM to manage the implementation process.</w:t>
      </w:r>
    </w:p>
    <w:p>
      <w:pPr>
        <w:pStyle w:val="Normal"/>
        <w:spacing w:lineRule="auto" w:line="480"/>
        <w:ind w:firstLine="720" w:end="0"/>
        <w:rPr/>
      </w:pPr>
      <w:r>
        <w:rPr/>
        <w:t xml:space="preserve">The alternative to putting PJM in charge of the process is to create a Board of equal contingents from each of the three ISOs, as pushed for by the NYISO and NE-ISO and their respective transmission operators and governmental agencies. In Enron’s view, this alternative is a recipe for failure. The three ISO boards have shown little ability to work well together over the two years that the rightly discredited MOU process was in place. Seams issues that have festered since markets went live two years ago continue to exist. Even efforts this past summer to create a simple protocol to allow transactions to be scheduled once and data shared between affected ISOs proved a disaster, with NY and PJM each accusing the other of going off on their own and failing to communicate with each other. The result was an improved PJM software model that could not talk to NY and thus no simplification of this basic market function. </w:t>
      </w:r>
    </w:p>
    <w:p>
      <w:pPr>
        <w:pStyle w:val="Normal"/>
        <w:spacing w:lineRule="auto" w:line="480"/>
        <w:ind w:firstLine="720" w:end="0"/>
        <w:rPr/>
      </w:pPr>
      <w:r>
        <w:rPr/>
        <w:t>It is hard to imagine how putting three equal components of largely hostile boards together to form a new board could be made workable.  Board mergers are never easy under even the most favorable circumstances where all sides are completely committed to the new business vision. Here, we have entities committed to totally different visions and timetables.  It is difficult to believe that under the present circumstances, such a configured board could provide the single vision and leadership essential if this critically important effort to create a single market in the northeast is to succeed.</w:t>
      </w:r>
    </w:p>
    <w:p>
      <w:pPr>
        <w:pStyle w:val="BodyTextIndent"/>
        <w:rPr/>
      </w:pPr>
      <w:r>
        <w:rPr/>
        <w:t xml:space="preserve">There is little else that supports RTO board parity. As the Commission is aware, PJM (even without PJM West) represents more than half the load of the Northeast region. This fact alone would argue for PJM control of the RTO Board.  In terms of other important criteria, such as number of customers, amount of generation, number of transmission line miles, and market volume (MWh), in every case PJM enjoys a dominant position among the three ISOs. </w:t>
      </w:r>
    </w:p>
    <w:p>
      <w:pPr>
        <w:pStyle w:val="BodyTextIndent"/>
        <w:rPr/>
      </w:pPr>
      <w:r>
        <w:rPr/>
        <w:t>Given the need to quickly establish the single Northeast market in order to realize the many benefits of a single RTO, PJM’s familiarity and experience with its own market design and infrastructure and its initiative thus far demonstrated in this proceeding, we urge the Commission to endorse a governance structure that puts PJM in control of the market transition process.</w:t>
      </w:r>
    </w:p>
    <w:p>
      <w:pPr>
        <w:pStyle w:val="Normal"/>
        <w:spacing w:lineRule="auto" w:line="480"/>
        <w:ind w:firstLine="720" w:end="0"/>
        <w:rPr/>
      </w:pPr>
      <w:r>
        <w:rPr/>
        <w:t>Other governance issues also need to be decided now by the Commission in order to fulfill timely implementation of a single Northeast RTO.  Specifically, the Commission must resolve the issue of who enjoys Section 205 rights going forward.  Some parties believe that the Commission decisions approving PJM as an RTO and rejecting NY and NE RTO applications were inconsistent and therefore unclear as to whether stakeholders in a single Northeast RTO should retain any section 205 rights. EPMI disagrees.  The Commission was clear and correct in indicating that stakeholders shall not have section 205 rights. Experience has shown that stakeholder committees are all too often unable to muster a sufficient majority to decide a matter, that they frequently run roughshod over an entire industry segment and decisions are inevitably appealed.  Further, independence and efficient operation can only be achieved if the RTO is free to make decisions and FERC filings without having to obtain the concurrence of stakeholders for every decision.  Market participants will have input into the board decision process and will always have an opportunity to take their disagreements to the Commission. But that does not require them to have separate section 205 rights or to prevent the independent board from exercising its own section 205 rights. Moreover, giving section 205 rights to stakeholders perpetuates bitter disputes over stakeholder committees and voting protocols.  Much of this heated governance squabbling would be avoided if it were clear that stakeholders merely provided guidance to the board.  Therefore, FERC should unequivocally restate that stakeholders do not have section 205 rights.</w:t>
      </w:r>
    </w:p>
    <w:p>
      <w:pPr>
        <w:pStyle w:val="BodyTextIndent"/>
        <w:rPr/>
      </w:pPr>
      <w:r>
        <w:rPr/>
        <w:t>The Commission also needs to decide sector composition and voting for the Northeast RTO.</w:t>
      </w:r>
      <w:r>
        <w:rPr>
          <w:b/>
          <w:bCs/>
        </w:rPr>
        <w:t xml:space="preserve">  </w:t>
      </w:r>
      <w:r>
        <w:rPr/>
        <w:t xml:space="preserve">Should the Commission find it desirable to have sector voting, even if only for the election of board members (which EPMI fully endorses), EPMI urges the board to adopt the four sector model as currently in place in PJM.  Although PJM has a five sector model in theory, only four sectors have been activated (Transmission, Generation, Suppliers, and End-Use Customers), and it is this even balance between buyers and sellers (throughout the Northeast, the transmission operators represent the bulk of customers) that has allowed the governance process to work.  In contrast, the five sector models currently in place in NY and New England have proven counterproductive and divisive. </w:t>
      </w:r>
    </w:p>
    <w:p>
      <w:pPr>
        <w:pStyle w:val="Normal"/>
        <w:spacing w:lineRule="auto" w:line="480"/>
        <w:ind w:firstLine="720" w:end="0"/>
        <w:rPr/>
      </w:pPr>
      <w:r>
        <w:rPr/>
        <w:t xml:space="preserve">Finally, the Commission should provide specific and full authorization for the new, independent Transition Board, to ensure that it is empowered to develop and implement the PJM platform by December 2002. </w:t>
      </w:r>
    </w:p>
    <w:p>
      <w:pPr>
        <w:pStyle w:val="BodyText"/>
        <w:spacing w:lineRule="auto" w:line="480"/>
        <w:ind w:firstLine="720" w:end="0"/>
        <w:rPr/>
      </w:pPr>
      <w:r>
        <w:rPr/>
        <w:t>For the foregoing reasons, EPMI respectfully requests the Commission to issue an order by November 1, 2001, consistent with these comments.</w:t>
      </w:r>
    </w:p>
    <w:p>
      <w:pPr>
        <w:pStyle w:val="BodyText"/>
        <w:spacing w:lineRule="auto" w:line="480"/>
        <w:ind w:firstLine="720" w:start="2160" w:end="0"/>
        <w:rPr/>
      </w:pPr>
      <w:r>
        <w:rPr/>
        <w:t>Respectfully submitted,</w:t>
      </w:r>
    </w:p>
    <w:p>
      <w:pPr>
        <w:pStyle w:val="BodyText"/>
        <w:spacing w:before="0" w:after="0"/>
        <w:jc w:val="center"/>
        <w:rPr/>
      </w:pPr>
      <w:r>
        <w:rPr/>
      </w:r>
    </w:p>
    <w:p>
      <w:pPr>
        <w:pStyle w:val="BodyText"/>
        <w:spacing w:before="0" w:after="0"/>
        <w:jc w:val="center"/>
        <w:rPr/>
      </w:pPr>
      <w:r>
        <w:rPr/>
      </w:r>
    </w:p>
    <w:p>
      <w:pPr>
        <w:pStyle w:val="BodyText"/>
        <w:spacing w:before="0" w:after="0"/>
        <w:jc w:val="center"/>
        <w:rPr/>
      </w:pPr>
      <w:r>
        <w:rPr/>
        <w:t>________________________</w:t>
      </w:r>
    </w:p>
    <w:p>
      <w:pPr>
        <w:pStyle w:val="BodyText"/>
        <w:spacing w:before="0" w:after="0"/>
        <w:jc w:val="center"/>
        <w:rPr>
          <w:b/>
          <w:bCs/>
          <w:u w:val="double"/>
        </w:rPr>
      </w:pPr>
      <w:r>
        <w:rPr/>
        <w:t>Thomas C. Briggs</w:t>
      </w:r>
    </w:p>
    <w:p>
      <w:pPr>
        <w:pStyle w:val="BodyText"/>
        <w:spacing w:before="0" w:after="0"/>
        <w:jc w:val="center"/>
        <w:rPr/>
      </w:pPr>
      <w:r>
        <w:rPr/>
        <w:t>Vice President</w:t>
      </w:r>
    </w:p>
    <w:p>
      <w:pPr>
        <w:pStyle w:val="BodyText"/>
        <w:spacing w:before="0" w:after="0"/>
        <w:jc w:val="center"/>
        <w:rPr/>
      </w:pPr>
      <w:r>
        <w:rPr/>
        <w:t>Enron Power Marketing, Inc.</w:t>
      </w:r>
    </w:p>
    <w:p>
      <w:pPr>
        <w:pStyle w:val="BodyText"/>
        <w:spacing w:before="0" w:after="0"/>
        <w:jc w:val="center"/>
        <w:rPr/>
      </w:pPr>
      <w:r>
        <w:rPr/>
        <w:t>1775 Eye St., N.W.</w:t>
      </w:r>
    </w:p>
    <w:p>
      <w:pPr>
        <w:pStyle w:val="BodyText"/>
        <w:spacing w:before="0" w:after="0"/>
        <w:jc w:val="center"/>
        <w:rPr>
          <w:b/>
          <w:bCs/>
          <w:u w:val="double"/>
        </w:rPr>
      </w:pPr>
      <w:r>
        <w:rPr/>
        <w:t>Washington, D.C.  2006</w:t>
      </w:r>
    </w:p>
    <w:p>
      <w:pPr>
        <w:pStyle w:val="BodyText"/>
        <w:spacing w:lineRule="auto" w:line="480" w:before="0" w:after="0"/>
        <w:jc w:val="center"/>
        <w:rPr>
          <w:b/>
          <w:bCs/>
          <w:u w:val="double"/>
        </w:rPr>
      </w:pPr>
      <w:r>
        <w:rPr>
          <w:b/>
          <w:bCs/>
          <w:u w:val="double"/>
        </w:rPr>
      </w:r>
    </w:p>
    <w:p>
      <w:pPr>
        <w:pStyle w:val="BodyText"/>
        <w:spacing w:lineRule="auto" w:line="480"/>
        <w:jc w:val="center"/>
        <w:rPr>
          <w:rFonts w:ascii="Courier New" w:hAnsi="Courier New" w:cs="Courier New"/>
          <w:sz w:val="20"/>
          <w:szCs w:val="20"/>
        </w:rPr>
      </w:pPr>
      <w:r>
        <w:rPr/>
        <w:t>Dated:  October 9, 2001</w:t>
      </w:r>
    </w:p>
    <w:p>
      <w:pPr>
        <w:pStyle w:val="Normal"/>
        <w:jc w:val="center"/>
        <w:rPr>
          <w:rFonts w:ascii="Courier New" w:hAnsi="Courier New" w:cs="Courier New"/>
          <w:sz w:val="20"/>
          <w:szCs w:val="20"/>
        </w:rPr>
      </w:pPr>
      <w:r>
        <w:rPr>
          <w:rFonts w:cs="Courier New" w:ascii="Courier New" w:hAnsi="Courier New"/>
          <w:sz w:val="20"/>
          <w:szCs w:val="20"/>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ind w:hanging="720" w:start="720" w:end="0"/>
        <w:rPr/>
      </w:pPr>
      <w:r>
        <w:rPr>
          <w:rStyle w:val="FootnoteCharacters"/>
        </w:rPr>
        <w:footnoteRef/>
      </w:r>
      <w:r>
        <w:rPr/>
        <w:t xml:space="preserve"> </w:t>
      </w:r>
      <w:r>
        <w:rPr/>
        <w:tab/>
      </w:r>
      <w:r>
        <w:rPr>
          <w:i/>
        </w:rPr>
        <w:t>Administrative Law Judge Mediator’s Report to the Commission</w:t>
      </w:r>
      <w:r>
        <w:rPr/>
        <w:t>, 96 FERC ¶ 63,037 (Sep. 17, 2001) (hereinafter “ ALJ Report”).</w:t>
      </w:r>
    </w:p>
  </w:footnote>
  <w:footnote w:id="3">
    <w:p>
      <w:pPr>
        <w:pStyle w:val="FootnoteText"/>
        <w:spacing w:before="120" w:after="0"/>
        <w:ind w:hanging="720" w:start="720" w:end="0"/>
        <w:rPr/>
      </w:pPr>
      <w:r>
        <w:rPr>
          <w:rStyle w:val="FootnoteCharacters"/>
        </w:rPr>
        <w:footnoteRef/>
      </w:r>
      <w:r>
        <w:rPr/>
        <w:t xml:space="preserve"> </w:t>
      </w:r>
      <w:r>
        <w:rPr/>
        <w:t>Enron does not have a preference for either an interim or permanent board.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440"/>
        </w:tabs>
        <w:ind w:start="720" w:hanging="0"/>
      </w:pPr>
      <w:rPr>
        <w:b/>
      </w:rPr>
    </w:lvl>
    <w:lvl w:ilvl="2">
      <w:start w:val="1"/>
      <w:pStyle w:val="Heading3"/>
      <w:numFmt w:val="decimal"/>
      <w:lvlText w:val="%3."/>
      <w:lvlJc w:val="start"/>
      <w:pPr>
        <w:tabs>
          <w:tab w:val="num" w:pos="2160"/>
        </w:tabs>
        <w:ind w:start="1440" w:hanging="0"/>
      </w:pPr>
    </w:lvl>
    <w:lvl w:ilvl="3">
      <w:start w:val="1"/>
      <w:pStyle w:val="Heading4"/>
      <w:numFmt w:val="lowerLetter"/>
      <w:lvlText w:val="%4."/>
      <w:lvlJc w:val="start"/>
      <w:pPr>
        <w:tabs>
          <w:tab w:val="num" w:pos="2880"/>
        </w:tabs>
        <w:ind w:start="2160" w:hanging="0"/>
      </w:pPr>
      <w:rPr>
        <w:smallCaps w:val="false"/>
        <w:caps w:val="false"/>
      </w:rPr>
    </w:lvl>
    <w:lvl w:ilvl="4">
      <w:start w:val="1"/>
      <w:pStyle w:val="Heading5"/>
      <w:numFmt w:val="decimal"/>
      <w:lvlText w:val="(%5)"/>
      <w:lvlJc w:val="start"/>
      <w:pPr>
        <w:tabs>
          <w:tab w:val="num" w:pos="3600"/>
        </w:tabs>
        <w:ind w:start="2880" w:hanging="0"/>
      </w:pPr>
    </w:lvl>
    <w:lvl w:ilvl="5">
      <w:start w:val="1"/>
      <w:pStyle w:val="Heading6"/>
      <w:numFmt w:val="lowerLetter"/>
      <w:lvlText w:val="(%6)"/>
      <w:lvlJc w:val="start"/>
      <w:pPr>
        <w:tabs>
          <w:tab w:val="num" w:pos="4320"/>
        </w:tabs>
        <w:ind w:start="3600" w:hanging="0"/>
      </w:pPr>
      <w:rPr>
        <w:smallCaps w:val="false"/>
        <w:caps w:val="false"/>
      </w:rPr>
    </w:lvl>
    <w:lvl w:ilvl="6">
      <w:start w:val="1"/>
      <w:pStyle w:val="Heading7"/>
      <w:numFmt w:val="lowerRoman"/>
      <w:lvlText w:val="(%7)"/>
      <w:lvlJc w:val="start"/>
      <w:pPr>
        <w:tabs>
          <w:tab w:val="num" w:pos="5040"/>
        </w:tabs>
        <w:ind w:start="4320" w:hanging="0"/>
      </w:pPr>
      <w:rPr>
        <w:smallCaps w:val="false"/>
        <w:caps w:val="false"/>
      </w:rPr>
    </w:lvl>
    <w:lvl w:ilvl="7">
      <w:start w:val="1"/>
      <w:pStyle w:val="Heading8"/>
      <w:numFmt w:val="lowerLetter"/>
      <w:lvlText w:val="%8)"/>
      <w:lvlJc w:val="start"/>
      <w:pPr>
        <w:tabs>
          <w:tab w:val="num" w:pos="5760"/>
        </w:tabs>
        <w:ind w:start="5040" w:hanging="0"/>
      </w:pPr>
      <w:rPr>
        <w:smallCaps w:val="false"/>
        <w:caps w:val="false"/>
      </w:rPr>
    </w:lvl>
    <w:lvl w:ilvl="8">
      <w:start w:val="1"/>
      <w:pStyle w:val="Heading9"/>
      <w:numFmt w:val="lowerRoman"/>
      <w:lvlText w:val="%9)"/>
      <w:lvlJc w:val="start"/>
      <w:pPr>
        <w:tabs>
          <w:tab w:val="num" w:pos="6480"/>
        </w:tabs>
        <w:ind w:start="5760" w:hanging="0"/>
      </w:pPr>
      <w:rPr>
        <w:smallCaps w:val="false"/>
        <w:caps w:val="false"/>
      </w:rPr>
    </w:lvl>
  </w:abstractNum>
  <w:abstractNum w:abstractNumId="2">
    <w:lvl w:ilvl="0">
      <w:start w:val="1"/>
      <w:numFmt w:val="bullet"/>
      <w:lvlText w:val=""/>
      <w:lvlJc w:val="start"/>
      <w:pPr>
        <w:tabs>
          <w:tab w:val="num" w:pos="1080"/>
        </w:tabs>
        <w:ind w:start="10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szCs w:val="20"/>
    </w:rPr>
  </w:style>
  <w:style w:type="paragraph" w:styleId="Heading2">
    <w:name w:val="heading 2"/>
    <w:basedOn w:val="Heading1"/>
    <w:next w:val="BodyText"/>
    <w:qFormat/>
    <w:pPr>
      <w:numPr>
        <w:ilvl w:val="1"/>
        <w:numId w:val="1"/>
      </w:numPr>
      <w:outlineLvl w:val="1"/>
    </w:pPr>
    <w:rPr>
      <w:b w:val="false"/>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b/>
    </w:rPr>
  </w:style>
  <w:style w:type="character" w:styleId="WW8Num4z3">
    <w:name w:val="WW8Num4z3"/>
    <w:qFormat/>
    <w:rPr>
      <w:caps w:val="false"/>
      <w:smallCaps w:val="false"/>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b w:val="false"/>
      <w:u w:val="non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lang w:val="en-US"/>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
    <w:name w:val="Centered"/>
    <w:basedOn w:val="Normal"/>
    <w:next w:val="BodyText"/>
    <w:qFormat/>
    <w:pPr>
      <w:spacing w:before="0" w:after="240"/>
      <w:jc w:val="center"/>
    </w:pPr>
    <w:rPr>
      <w:b/>
      <w:smallCaps/>
      <w:szCs w:val="20"/>
    </w:rPr>
  </w:style>
  <w:style w:type="paragraph" w:styleId="FootnoteText">
    <w:name w:val="footnote text"/>
    <w:basedOn w:val="Normal"/>
    <w:pPr>
      <w:spacing w:before="120" w:after="0"/>
      <w:ind w:hanging="720" w:start="720" w:end="0"/>
    </w:pPr>
    <w:rPr>
      <w:sz w:val="22"/>
      <w:szCs w:val="20"/>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u w:val="singl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2001-10-08T19:28:00Z</dcterms:created>
  <dc:creator>tbriggs</dc:creator>
  <dc:description/>
  <dc:language>en-CA</dc:language>
  <cp:lastModifiedBy>tbriggs</cp:lastModifiedBy>
  <cp:lastPrinted>2001-10-08T11:46:00Z</cp:lastPrinted>
  <dcterms:modified xsi:type="dcterms:W3CDTF">2001-10-08T19:28:00Z</dcterms:modified>
  <cp:revision>2</cp:revision>
  <dc:subject/>
  <dc:title>UNITED STATES OF AMERICA</dc:title>
</cp:coreProperties>
</file>