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UNITED STATES OF AMERICA</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Regional Transmission Organizations</w:t>
        <w:tab/>
        <w:t>)</w:t>
        <w:tab/>
        <w:t>Docket No. RT01-100-000</w:t>
      </w:r>
    </w:p>
    <w:p>
      <w:pPr>
        <w:pStyle w:val="Normal"/>
        <w:jc w:val="center"/>
        <w:rPr>
          <w:sz w:val="26"/>
          <w:u w:val="single"/>
        </w:rPr>
      </w:pPr>
      <w:r>
        <w:rPr>
          <w:sz w:val="26"/>
          <w:u w:val="single"/>
        </w:rPr>
      </w:r>
    </w:p>
    <w:p>
      <w:pPr>
        <w:pStyle w:val="Heading3"/>
        <w:ind w:hanging="0" w:start="0"/>
        <w:rPr>
          <w:caps/>
        </w:rPr>
      </w:pPr>
      <w:r>
        <w:rPr>
          <w:caps/>
        </w:rPr>
        <w:t>Enron Power Marketing, Inc.’s Comments</w:t>
      </w:r>
    </w:p>
    <w:p>
      <w:pPr>
        <w:pStyle w:val="Heading3"/>
        <w:ind w:hanging="0" w:start="0"/>
        <w:rPr>
          <w:b w:val="false"/>
          <w:bCs w:val="false"/>
        </w:rPr>
      </w:pPr>
      <w:r>
        <w:rPr>
          <w:caps/>
        </w:rPr>
        <w:t xml:space="preserve"> </w:t>
      </w:r>
      <w:r>
        <w:rPr>
          <w:caps/>
        </w:rPr>
        <w:t>on the Mediation Report For the Southeast RTO</w:t>
      </w:r>
    </w:p>
    <w:p>
      <w:pPr>
        <w:pStyle w:val="BodyText"/>
        <w:ind w:firstLine="720" w:end="0"/>
        <w:jc w:val="center"/>
        <w:rPr>
          <w:b/>
          <w:bCs/>
          <w:sz w:val="26"/>
          <w:u w:val="single"/>
        </w:rPr>
      </w:pPr>
      <w:r>
        <w:rPr>
          <w:b/>
          <w:bCs/>
          <w:sz w:val="26"/>
          <w:u w:val="single"/>
        </w:rPr>
      </w:r>
    </w:p>
    <w:p>
      <w:pPr>
        <w:pStyle w:val="BodyText"/>
        <w:tabs>
          <w:tab w:val="clear" w:pos="720"/>
          <w:tab w:val="left" w:pos="6255" w:leader="none"/>
        </w:tabs>
        <w:ind w:firstLine="720" w:end="0"/>
        <w:rPr>
          <w:sz w:val="26"/>
        </w:rPr>
      </w:pPr>
      <w:r>
        <w:rPr>
          <w:sz w:val="26"/>
        </w:rPr>
        <w:t>On July 12, 2001 the Commission directed Administrative Law Judge Bobbie J. McCartney to convene a mediation for 45 days to form a single Regional Transmission Organization (“RTO”) in the Southeast in Docket Nos:  RT01-34-000 (SPP), RT01-74-000 (GridSouth), RT01-75-000 (Entergy) and RT01-77-000 (Southern, etal.).  The Commission also encouraged the participation of parties in Docket No. RT01-670-000 (GridFlorida) and other interested parties, including State Commissions, Tennessee Valley Authority and the South Carolina Public Service Authority (Santee Cooper).  Pursuant to the Commission’s order in this docket, Judge McCartney issued a Mediation Report for the Southeast RTO on September 10, 2001.</w:t>
      </w:r>
    </w:p>
    <w:p>
      <w:pPr>
        <w:pStyle w:val="Heading4"/>
        <w:rPr>
          <w:b/>
          <w:bCs/>
        </w:rPr>
      </w:pPr>
      <w:r>
        <w:rPr>
          <w:b/>
          <w:bCs/>
        </w:rPr>
        <w:t>BACKGROUND</w:t>
      </w:r>
    </w:p>
    <w:p>
      <w:pPr>
        <w:pStyle w:val="Normal"/>
        <w:spacing w:lineRule="auto" w:line="480"/>
        <w:ind w:firstLine="720" w:end="0"/>
        <w:jc w:val="both"/>
        <w:rPr/>
      </w:pPr>
      <w:r>
        <w:rPr>
          <w:sz w:val="26"/>
        </w:rPr>
        <w:t>Enron Power Marketing, Inc. (“EPMI”) is an affiliate of Enron North America Corp. (ENA) and was formed to develop a North American merchant services business in electric power.</w:t>
      </w:r>
      <w:r>
        <w:rPr>
          <w:rStyle w:val="FootnoteCharacters"/>
          <w:rStyle w:val="FootnoteReference"/>
          <w:sz w:val="26"/>
        </w:rPr>
        <w:footnoteReference w:id="2"/>
      </w:r>
      <w:r>
        <w:rPr>
          <w:sz w:val="26"/>
        </w:rPr>
        <w:t xml:space="preserve">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66 FERC ¶ 61,244 (1994).  As the largest power marketer in the United States, EPMI actively participates in the markets of the Southeast region.</w:t>
      </w:r>
    </w:p>
    <w:p>
      <w:pPr>
        <w:pStyle w:val="BodyText"/>
        <w:tabs>
          <w:tab w:val="clear" w:pos="720"/>
          <w:tab w:val="left" w:pos="6255" w:leader="none"/>
        </w:tabs>
        <w:spacing w:lineRule="auto" w:line="240"/>
        <w:jc w:val="center"/>
        <w:rPr>
          <w:b/>
          <w:bCs/>
          <w:caps/>
          <w:sz w:val="26"/>
          <w:u w:val="single"/>
        </w:rPr>
      </w:pPr>
      <w:r>
        <w:rPr>
          <w:b/>
          <w:bCs/>
          <w:caps/>
          <w:sz w:val="26"/>
          <w:u w:val="single"/>
        </w:rPr>
        <w:t xml:space="preserve">General Comments and </w:t>
      </w:r>
    </w:p>
    <w:p>
      <w:pPr>
        <w:pStyle w:val="BodyText"/>
        <w:tabs>
          <w:tab w:val="clear" w:pos="720"/>
          <w:tab w:val="left" w:pos="6255" w:leader="none"/>
        </w:tabs>
        <w:spacing w:lineRule="auto" w:line="240"/>
        <w:jc w:val="center"/>
        <w:rPr>
          <w:b/>
          <w:bCs/>
          <w:caps/>
          <w:sz w:val="26"/>
          <w:u w:val="single"/>
        </w:rPr>
      </w:pPr>
      <w:r>
        <w:rPr>
          <w:b/>
          <w:bCs/>
          <w:caps/>
          <w:sz w:val="26"/>
          <w:u w:val="single"/>
        </w:rPr>
        <w:t>NEED FORtHE Commission’s Continued Involvement</w:t>
      </w:r>
    </w:p>
    <w:p>
      <w:pPr>
        <w:pStyle w:val="BodyText"/>
        <w:tabs>
          <w:tab w:val="clear" w:pos="720"/>
          <w:tab w:val="left" w:pos="6255" w:leader="none"/>
        </w:tabs>
        <w:spacing w:lineRule="auto" w:line="240"/>
        <w:jc w:val="center"/>
        <w:rPr>
          <w:b/>
          <w:bCs/>
          <w:caps/>
          <w:sz w:val="26"/>
          <w:u w:val="single"/>
        </w:rPr>
      </w:pPr>
      <w:r>
        <w:rPr>
          <w:b/>
          <w:bCs/>
          <w:caps/>
          <w:sz w:val="26"/>
          <w:u w:val="single"/>
        </w:rPr>
      </w:r>
    </w:p>
    <w:p>
      <w:pPr>
        <w:pStyle w:val="BodyText"/>
        <w:tabs>
          <w:tab w:val="clear" w:pos="720"/>
          <w:tab w:val="left" w:pos="6255" w:leader="none"/>
        </w:tabs>
        <w:ind w:firstLine="720" w:end="0"/>
        <w:rPr>
          <w:sz w:val="26"/>
        </w:rPr>
      </w:pPr>
      <w:r>
        <w:rPr>
          <w:sz w:val="26"/>
        </w:rPr>
        <w:t>EPMI strongly supports the basic elements of the “Collaborative Governance Model” (“CGM”) with its “For Profit” Transco structure within the RTO and its viable and important stakeholder advisory process.  This model was substantially improved (particularly in the areas of Independence and Congestion Management) as a result of the mediation process and will provide a sound basis upon which to build a single Southeastern RTO.  EPMI has specific recommendations (discussed below) that, if adopted, would greatly strengthen this model.</w:t>
      </w:r>
    </w:p>
    <w:p>
      <w:pPr>
        <w:pStyle w:val="BodyText"/>
        <w:tabs>
          <w:tab w:val="clear" w:pos="720"/>
          <w:tab w:val="left" w:pos="6255" w:leader="none"/>
        </w:tabs>
        <w:ind w:firstLine="720" w:end="0"/>
        <w:rPr>
          <w:sz w:val="26"/>
        </w:rPr>
      </w:pPr>
      <w:r>
        <w:rPr>
          <w:sz w:val="26"/>
        </w:rPr>
        <w:t>EPMI appreciates the opportunity provided from the Commission in establishing this valuable mediation and the excellent job performed by Judge McCartney and her team.  The 45 day mediation propelled the Southeast region toward an RTO that meets Order No. 2000 requirements and resulted in significant agreement on certain “best practices” elements for the one Southeast RTO, including: a “for profit” entity as the RTO (with an independent board), a good stakeholder process, and a financial transmission rights/LMP congestion management system that includes a viable spot market.</w:t>
      </w:r>
      <w:r>
        <w:rPr>
          <w:rStyle w:val="FootnoteCharacters"/>
          <w:rStyle w:val="FootnoteReference"/>
          <w:sz w:val="26"/>
        </w:rPr>
        <w:footnoteReference w:id="3"/>
      </w:r>
    </w:p>
    <w:p>
      <w:pPr>
        <w:pStyle w:val="BodyText"/>
        <w:tabs>
          <w:tab w:val="clear" w:pos="720"/>
          <w:tab w:val="left" w:pos="6255" w:leader="none"/>
        </w:tabs>
        <w:ind w:firstLine="720" w:end="0"/>
        <w:rPr>
          <w:sz w:val="26"/>
        </w:rPr>
      </w:pPr>
      <w:r>
        <w:rPr>
          <w:sz w:val="26"/>
        </w:rPr>
        <w:t>A well functioning, regional RTO can provide many benefits to the electricity grid of the United States:  Increased reliability through increased coordination, flexibility and diversity of supply; better ability to identify true transmission constraints (rather than artificial, institutionally created constraints); greater capability to minimize energy costs through incorporation of real constraints in dispatch; more ability to rely on demand side management through better price signals; and greater incentive to invest in transmission where warranted.  These benefits will facilitate the confidence in the market to attract more participants.</w:t>
      </w:r>
    </w:p>
    <w:p>
      <w:pPr>
        <w:pStyle w:val="BodyText"/>
        <w:tabs>
          <w:tab w:val="clear" w:pos="720"/>
          <w:tab w:val="left" w:pos="6255" w:leader="none"/>
        </w:tabs>
        <w:ind w:firstLine="720" w:end="0"/>
        <w:rPr/>
      </w:pPr>
      <w:r>
        <w:rPr>
          <w:sz w:val="26"/>
        </w:rPr>
        <w:t>A large regional RTO that is centrally coordinated can improve the security, reliability and economic benefits of the grid by providing an independent coordination process between operators and generators, and by facilitating market liquidity through hub trading and real time information.</w:t>
      </w:r>
      <w:r>
        <w:rPr>
          <w:rStyle w:val="FootnoteCharacters"/>
          <w:rStyle w:val="FootnoteReference"/>
          <w:sz w:val="26"/>
        </w:rPr>
        <w:footnoteReference w:id="4"/>
      </w:r>
      <w:r>
        <w:rPr>
          <w:sz w:val="26"/>
        </w:rPr>
        <w:t xml:space="preserve">  This central coordination advances security through the ability of the RTO to make decisions based on regional data, rather than the current decentralized decisionmaking that is done by the approximately 33 current control areas in the Southeast (in SERC and FRCC – an additional 18 are in SPP).  Reserves can be managed on an RTO-wide basis, rather than by control area, providing the RTO a greater ability to reliably and efficiently transmit electricity from region to region, while increasing reserve sharing and reducing total reserve requirements.  Moreover, the grid itself will be improved as capital is invested based on increased knowledge of locational and operational requirements and real time market information that the RTO will provide.  In addition, large regional RTOs can provide redundancy to each other through the use of similar types of systems.</w:t>
      </w:r>
    </w:p>
    <w:p>
      <w:pPr>
        <w:pStyle w:val="BodyText"/>
        <w:tabs>
          <w:tab w:val="clear" w:pos="720"/>
          <w:tab w:val="left" w:pos="6255" w:leader="none"/>
        </w:tabs>
        <w:ind w:firstLine="720" w:end="0"/>
        <w:rPr>
          <w:sz w:val="26"/>
        </w:rPr>
      </w:pPr>
      <w:r>
        <w:rPr>
          <w:sz w:val="26"/>
        </w:rPr>
        <w:t>The electricity market currently contains a certain amount of risk premium associated with each transaction due to the uncertainty of the structure of an RTO, and more importantly, the question of whether an RTO will become a reality.  The market is looking for an RTO to run the grid in a reliable and non-discriminatory way, with market structures in place that allow customers to adequately obtain a variety of products – offered to them based on economics, not hindered in some way due to the inability to adequately obtain service through some institutional discriminatory practice.</w:t>
      </w:r>
    </w:p>
    <w:p>
      <w:pPr>
        <w:pStyle w:val="BodyText"/>
        <w:tabs>
          <w:tab w:val="clear" w:pos="720"/>
          <w:tab w:val="left" w:pos="6255" w:leader="none"/>
        </w:tabs>
        <w:ind w:firstLine="720" w:end="0"/>
        <w:rPr>
          <w:sz w:val="26"/>
        </w:rPr>
      </w:pPr>
      <w:r>
        <w:rPr>
          <w:sz w:val="26"/>
        </w:rPr>
        <w:t>An independent RTO based on operational certainty, transparency of real time pricing data, and a best practices market structure will facilitate new and innovative products, including transmission assets (both traditional and new technologies) and demand side management technologies (including price visibility and load specific curtailment) that are needed to better manage the nation’s electricity needs.  As the demand for these new technologies increases, the equipment cost may tend to decrease.  In addition, efficiencies will be realized through the ability of the market (including investors in generation, transmission and demand side management products) to make decisions (including in generation and transmission siting) based on true economic data and true constraints, rather than the current institutional, artificial constraints.  Moreover, this will be facilitated through “one-stop” shopping for interconnection.</w:t>
      </w:r>
    </w:p>
    <w:p>
      <w:pPr>
        <w:pStyle w:val="BodyText"/>
        <w:tabs>
          <w:tab w:val="clear" w:pos="720"/>
          <w:tab w:val="left" w:pos="6255" w:leader="none"/>
        </w:tabs>
        <w:ind w:firstLine="720" w:end="0"/>
        <w:rPr>
          <w:sz w:val="26"/>
        </w:rPr>
      </w:pPr>
      <w:r>
        <w:rPr>
          <w:sz w:val="26"/>
        </w:rPr>
        <w:t>After the Commission has announced the basic elements for the Southeast RTO and the start date, EPMI asks that the Commission appoint a Commission representative to be involved in further proceedings to establish the RTO and draft the final documentation.  EPMI strongly supports and adopts the comments of the Electric Power Supply Association (“EPSA”) filed in this docket requesting continued Commission involvement.  The involvement of the Judge and her mediation team was invaluable to direct the participants toward an actual RTO construct after several years of insufficient progress.</w:t>
      </w:r>
      <w:r>
        <w:br w:type="page"/>
      </w:r>
    </w:p>
    <w:p>
      <w:pPr>
        <w:pStyle w:val="BodyText"/>
        <w:tabs>
          <w:tab w:val="clear" w:pos="720"/>
          <w:tab w:val="left" w:pos="6255" w:leader="none"/>
        </w:tabs>
        <w:ind w:firstLine="720" w:end="0"/>
        <w:rPr>
          <w:sz w:val="26"/>
        </w:rPr>
      </w:pPr>
      <w:r>
        <w:rPr>
          <w:sz w:val="26"/>
        </w:rPr>
      </w:r>
    </w:p>
    <w:p>
      <w:pPr>
        <w:pStyle w:val="BodyText"/>
        <w:tabs>
          <w:tab w:val="clear" w:pos="720"/>
          <w:tab w:val="left" w:pos="6255" w:leader="none"/>
        </w:tabs>
        <w:ind w:firstLine="720" w:end="0"/>
        <w:jc w:val="center"/>
        <w:rPr>
          <w:b/>
          <w:bCs/>
          <w:sz w:val="26"/>
          <w:u w:val="single"/>
        </w:rPr>
      </w:pPr>
      <w:r>
        <w:rPr>
          <w:b/>
          <w:bCs/>
          <w:sz w:val="26"/>
          <w:u w:val="single"/>
        </w:rPr>
        <w:t>TIMING OF THE RTO</w:t>
      </w:r>
    </w:p>
    <w:p>
      <w:pPr>
        <w:pStyle w:val="BodyTextIndent3"/>
        <w:ind w:firstLine="360" w:end="0"/>
        <w:rPr/>
      </w:pPr>
      <w:r>
        <w:rPr/>
        <w:t>Consistent with the Judge’s recommendation that there be no undue delay, EPMI urges the Commission to act promptly to order the elements of the characteristics and functions of the Southeast RTO.  Further, the Commission should provide definite dates by which the RTO should: (1) begin operation as an organization (12/15/01) and (2) begin operation of the transmission system and markets (12/15/02).</w:t>
      </w:r>
    </w:p>
    <w:p>
      <w:pPr>
        <w:pStyle w:val="BodyTextIndent3"/>
        <w:ind w:firstLine="360" w:end="0"/>
        <w:rPr/>
      </w:pPr>
      <w:r>
        <w:rPr/>
        <w:t>EPMI fully supports the Proposed Milestones and Deadlines of the Electric Power Supply Association (“EPSA”) filed in this Docket with a Day 2 implementation date of December 15, 2002.  Numerous benefits to security, reliability and the power market will be achieved through the implementation of the Southeast Power Grid RTO.  Many of the software and systems are currently available on the market from “best practices” providers and should be able to be implemented within that time frame.</w:t>
      </w:r>
    </w:p>
    <w:p>
      <w:pPr>
        <w:pStyle w:val="BodyText"/>
        <w:tabs>
          <w:tab w:val="clear" w:pos="720"/>
          <w:tab w:val="left" w:pos="6255" w:leader="none"/>
        </w:tabs>
        <w:spacing w:lineRule="auto" w:line="240"/>
        <w:ind w:firstLine="720" w:end="0"/>
        <w:jc w:val="center"/>
        <w:rPr>
          <w:b/>
          <w:bCs/>
          <w:sz w:val="26"/>
          <w:u w:val="single"/>
        </w:rPr>
      </w:pPr>
      <w:r>
        <w:rPr>
          <w:b/>
          <w:bCs/>
          <w:sz w:val="26"/>
          <w:u w:val="single"/>
        </w:rPr>
        <w:t>SPECIFIC COMMENTS ON RTO CHARACTERISTICS AND FUNCTIONS</w:t>
      </w:r>
    </w:p>
    <w:p>
      <w:pPr>
        <w:pStyle w:val="BodyText"/>
        <w:spacing w:lineRule="auto" w:line="240"/>
        <w:jc w:val="start"/>
        <w:rPr>
          <w:b/>
          <w:bCs/>
          <w:sz w:val="26"/>
          <w:u w:val="single"/>
        </w:rPr>
      </w:pPr>
      <w:r>
        <w:rPr>
          <w:b/>
          <w:bCs/>
          <w:sz w:val="26"/>
          <w:u w:val="single"/>
        </w:rPr>
      </w:r>
    </w:p>
    <w:p>
      <w:pPr>
        <w:pStyle w:val="BodyText"/>
        <w:ind w:firstLine="720" w:start="-360" w:end="0"/>
        <w:rPr/>
      </w:pPr>
      <w:r>
        <w:rPr>
          <w:b/>
          <w:bCs/>
          <w:sz w:val="26"/>
        </w:rPr>
        <w:t xml:space="preserve">C1. </w:t>
      </w:r>
      <w:r>
        <w:rPr>
          <w:b/>
          <w:bCs/>
          <w:sz w:val="26"/>
          <w:u w:val="single"/>
        </w:rPr>
        <w:t>Independence:</w:t>
      </w:r>
      <w:r>
        <w:rPr>
          <w:bCs/>
          <w:sz w:val="26"/>
        </w:rPr>
        <w:t xml:space="preserve">  Divestiture </w:t>
      </w:r>
      <w:r>
        <w:rPr>
          <w:sz w:val="26"/>
        </w:rPr>
        <w:t>of transmission assets into a Transco with an independent Board and strong Stakeholder Advisory Committee (“SAC”) is key to ensuring non-discriminatory access to the transmission system and comparable treatment for all market participants.  The CGM is best structured to achieve this goal based upon its characteristics as a business enterprise .</w:t>
      </w:r>
      <w:r>
        <w:rPr>
          <w:rStyle w:val="FootnoteCharacters"/>
          <w:rStyle w:val="FootnoteReference"/>
          <w:sz w:val="26"/>
        </w:rPr>
        <w:footnoteReference w:id="5"/>
      </w:r>
      <w:r>
        <w:rPr>
          <w:sz w:val="26"/>
        </w:rPr>
        <w:t xml:space="preserve">  Another advantage to the CGM is that the SAC selects the Independent Market Administrator (“IMA”).</w:t>
      </w:r>
    </w:p>
    <w:p>
      <w:pPr>
        <w:pStyle w:val="Normal"/>
        <w:spacing w:lineRule="auto" w:line="480"/>
        <w:ind w:firstLine="720" w:start="-360" w:end="0"/>
        <w:jc w:val="both"/>
        <w:rPr>
          <w:sz w:val="26"/>
        </w:rPr>
      </w:pPr>
      <w:r>
        <w:rPr>
          <w:sz w:val="26"/>
        </w:rPr>
        <w:t>However, in order to insure compliance with Order No. 2000, and establish a truly independent and non-discriminatory RTO with no commercial interest in market outcomes, two modifications should be made:  (1) the Board Selection Committee that chooses the Independent Board should be modified by adding a member from the non-transmission owning sector and (2) the SAC composition should be modified by replacing one representative from the transmission-owning sector and adding one additional representative to one of the non-transmission owning sectors.</w:t>
      </w:r>
    </w:p>
    <w:p>
      <w:pPr>
        <w:pStyle w:val="BodyText"/>
        <w:tabs>
          <w:tab w:val="clear" w:pos="720"/>
          <w:tab w:val="left" w:pos="270" w:leader="none"/>
        </w:tabs>
        <w:ind w:start="-360" w:end="0"/>
        <w:rPr>
          <w:sz w:val="26"/>
        </w:rPr>
      </w:pPr>
      <w:r>
        <w:rPr>
          <w:b/>
          <w:sz w:val="26"/>
        </w:rPr>
        <w:tab/>
        <w:t xml:space="preserve">C2. </w:t>
      </w:r>
      <w:r>
        <w:rPr>
          <w:b/>
          <w:sz w:val="26"/>
          <w:u w:val="single"/>
        </w:rPr>
        <w:t>Scope and Regional Configuration:</w:t>
      </w:r>
      <w:r>
        <w:rPr>
          <w:b/>
          <w:sz w:val="26"/>
        </w:rPr>
        <w:t xml:space="preserve">  </w:t>
      </w:r>
      <w:r>
        <w:rPr>
          <w:bCs/>
          <w:sz w:val="26"/>
        </w:rPr>
        <w:t>It is clear that the Commission envisions one RTO for the Southeast region.  EPMI favors the CGM for the reason that IOUs over a large scope are more likely to structurally separate through divestiture.  In addition, this proposal provides for pro-forma operating agreements between the RTO and transmission owners that do not divest.</w:t>
      </w:r>
    </w:p>
    <w:p>
      <w:pPr>
        <w:pStyle w:val="BodyTextIndent"/>
        <w:ind w:firstLine="720" w:end="0"/>
        <w:rPr/>
      </w:pPr>
      <w:r>
        <w:rPr>
          <w:b/>
          <w:bCs/>
        </w:rPr>
        <w:t xml:space="preserve">C3. </w:t>
      </w:r>
      <w:r>
        <w:rPr>
          <w:b/>
          <w:bCs/>
          <w:u w:val="single"/>
        </w:rPr>
        <w:t>Operational Authority:</w:t>
      </w:r>
      <w:r>
        <w:rPr/>
        <w:t xml:space="preserve">  The RTO must be independent and have the authority for control; therefore, EPMI fully supports the idea in the CGM to consider collapsing the control areas in order to establish a clear hierarchical separation to the RTO.  In the CGM proposal, Control area operators will initially continue to physically control the system, but they will do so pursuant to operating procedures approved by the IMA.  While the CGM’s proposed RTO Operating Protocol Summary (Op. Prot.) generally provides many of the details of this separation, several modifications are needed to fully eliminate the discriminatory aspects of control areas.  In addition, there has been no showing that maintaining separate control areas is superior to collapsing the control areas to one control area at the start of the RTO operations.</w:t>
      </w:r>
      <w:r>
        <w:rPr>
          <w:rStyle w:val="FootnoteCharacters"/>
          <w:rStyle w:val="FootnoteReference"/>
        </w:rPr>
        <w:footnoteReference w:id="6"/>
      </w:r>
    </w:p>
    <w:p>
      <w:pPr>
        <w:pStyle w:val="BodyTextIndent"/>
        <w:ind w:firstLine="720" w:end="0"/>
        <w:rPr/>
      </w:pPr>
      <w:r>
        <w:rPr/>
        <w:t>First, the RTO IMA “approves all inter-control area schedules” and the Control Area Operators “perform control area validation of all tags and schedules.”  (Op. Prot. at 11 and 12).  Clearly, the RTO IMA must have the final authority for approval of all tags and schedules in order to avoid situations in which a control area operator could deny a tag of an Independent Power Producer (“IPP”) located within its control area in a discriminatory fashion.  This explanation is consistent with the Commission’s Order No. 2000 requirement that an RTO have “operational authority” over all transmission facilities under its control.  Order No. 2000 at 31,090.  Second, a clarification is necessary that IPPs or municipal/cooperative entities located inside another party’s control area will provide information directly to the IMA, not through the control area.  Finally, rather than control areas providing contingencies as input into the RTO IMA market system, the control area should provide system status to the RTO IMA and the RTO IMA should run the contingency analysis and provide it back to the control area (so that the RTO IMA has the full operational authority over the contingency events)(Op. Prot. at 5).</w:t>
      </w:r>
    </w:p>
    <w:p>
      <w:pPr>
        <w:pStyle w:val="BodyTextIndent"/>
        <w:rPr/>
      </w:pPr>
      <w:r>
        <w:rPr/>
        <w:t>The RTO should not favor any one participant, or a particular generation/transmission solution, to reliably operate the transmission system in real time.  The adoption of the LMP/financial rights model (with the transparent real time spot energy market where generators are dispatched and paid based on their offer curve) will greatly assist in eliminating such discrimination.</w:t>
      </w:r>
    </w:p>
    <w:p>
      <w:pPr>
        <w:pStyle w:val="BodyTextIndent"/>
        <w:rPr/>
      </w:pPr>
      <w:r>
        <w:rPr>
          <w:b/>
          <w:bCs/>
        </w:rPr>
        <w:t xml:space="preserve">C4. </w:t>
      </w:r>
      <w:r>
        <w:rPr>
          <w:b/>
          <w:bCs/>
          <w:u w:val="single"/>
        </w:rPr>
        <w:t>Short-term Reliability</w:t>
      </w:r>
      <w:r>
        <w:rPr>
          <w:u w:val="single"/>
        </w:rPr>
        <w:t>:</w:t>
      </w:r>
      <w:r>
        <w:rPr/>
        <w:t xml:space="preserve">  EPMI fully supports the CGM proposal for the LMP/Financial Rights model as the best of the two models to manage congestion in a reliable way using market signals.</w:t>
      </w:r>
      <w:r>
        <w:rPr>
          <w:b/>
          <w:bCs/>
        </w:rPr>
        <w:t xml:space="preserve">  </w:t>
      </w:r>
      <w:r>
        <w:rPr/>
        <w:t>The small numbers of TLRs in regions utilizing similar models, such as PJM, demonstrate that the use of market signals and reliability are not mutually exclusive.  The RTO must have full operational authority over all transmission assets and resources located in within the RTO and should manage reliability in real time.  In order to facilitate this, EPMI fully supports the use of the centrally coordinated Real Time Spot energy market.  This market should be run by the IMA and be based on a single optimization program that uses collected bids.  The RTO (not the control areas) should be solely responsible for collecting those bids and defining the transmission-constrained optimal dispatch, resulting in a series of spot prices for each node (from which hub prices can be calculated.)  This coordinated dispatch function would also manage congestion, provide balancing energy service and an ancillary services market, as well as provide the foundation for new market driven products.  An RTO-conducted spot energy market is a natural concomitant of the RTO’s balancing and generation redispatch functions, which are universally recognized as being necessary for reliable RTO operations.  The RTO will be able to provide greater system security and reliability through this coordination process due to the ability to react more quickly utilizing a diversity of supply.</w:t>
      </w:r>
    </w:p>
    <w:p>
      <w:pPr>
        <w:pStyle w:val="BodyTextIndent"/>
        <w:rPr/>
      </w:pPr>
      <w:r>
        <w:rPr/>
        <w:t>In contrast, the SeTrans proposal for the physical transmission rights model allows lost efficiencies if the nodal price signals (obtained by running the unconstrained schedule) indicate that it would be more economical for a particular generator or load to increase or decrease output, but it cannot respond because it does not have the required physical transmission right.  Even if the ownership of the transmission rights is released prior to real time dispatch, there may not be sufficient time for generators or loads to respond, therefore, creating inefficiencies in system operation and increasing dispatch costs.</w:t>
      </w:r>
    </w:p>
    <w:p>
      <w:pPr>
        <w:pStyle w:val="BodyTextIndent"/>
        <w:ind w:firstLine="720" w:end="0"/>
        <w:rPr/>
      </w:pPr>
      <w:r>
        <w:rPr>
          <w:b/>
          <w:bCs/>
          <w:u w:val="single"/>
        </w:rPr>
        <w:t>F1. Tariff Administration and Design:</w:t>
      </w:r>
      <w:r>
        <w:rPr/>
        <w:t xml:space="preserve">  EPMI strongly supports the CGM proposal that all load take service under the IMA-administered RTO Open Access Transmission Tariff (“OATT”).  EPMI is also very supportive of the conversion of existing transmission agreements (“ETAs”) to service under the RTO OATT.  A viable and vibrant Southeast power market is only accomplished when all contracts are subject to the same rates, terms and conditions as specified in the RTO OATT.</w:t>
        <w:tab/>
        <w:t>Moreover, while the CGM proposal to roll in rates for new transmission appears workable for the initial operation of the RTO, new innovative methods of recovering the costs of new transmission should be explored as access to real time pricing information increases, e.g., use of incentive returns for new transmission investment in a particular zone.</w:t>
      </w:r>
    </w:p>
    <w:p>
      <w:pPr>
        <w:pStyle w:val="BodyTextIndent"/>
        <w:ind w:firstLine="720" w:end="0"/>
        <w:rPr/>
      </w:pPr>
      <w:r>
        <w:rPr>
          <w:b/>
          <w:bCs/>
        </w:rPr>
        <w:t xml:space="preserve">F2. </w:t>
      </w:r>
      <w:r>
        <w:rPr>
          <w:b/>
          <w:bCs/>
          <w:u w:val="single"/>
        </w:rPr>
        <w:t>Congestion Management:</w:t>
      </w:r>
      <w:r>
        <w:rPr>
          <w:b/>
          <w:bCs/>
        </w:rPr>
        <w:t xml:space="preserve">  </w:t>
      </w:r>
      <w:r>
        <w:rPr/>
        <w:t>EPMI strongly supports the CGM LMP/Financial Rights model.  The congestion management model is a critical component of Order No. 2000.  The use of the LMP/Financial Rights model that facilitates congestion management in real time will realize the Commission’s Order No. 2000 directives that “ensure truly non-discriminatory transmission service”.</w:t>
      </w:r>
      <w:r>
        <w:rPr>
          <w:rStyle w:val="FootnoteCharacters"/>
          <w:rStyle w:val="FootnoteReference"/>
        </w:rPr>
        <w:footnoteReference w:id="7"/>
      </w:r>
      <w:r>
        <w:rPr/>
        <w:t xml:space="preserve">  It also supports and will promote many of the other characteristics and functions, including Independence, Operational Authority, Short Term Reliability, Ancillary Services, Interregional Coordination, and Planning and Expansion.  Perpetuation of current discriminatory practices will continue without the open and transparent real time spot market that is accessible to all market participants – not just incumbent control areas.</w:t>
      </w:r>
    </w:p>
    <w:p>
      <w:pPr>
        <w:pStyle w:val="BodyTextIndent"/>
        <w:ind w:firstLine="720" w:end="0"/>
        <w:rPr/>
      </w:pPr>
      <w:r>
        <w:rPr/>
        <w:t>For the market “that will support the billions of dollars of capital investment in generation and demand side projects necessary to support a reliable, robust, and competitive electricity marketplace”</w:t>
      </w:r>
      <w:r>
        <w:rPr>
          <w:rStyle w:val="FootnoteCharacters"/>
          <w:rStyle w:val="FootnoteReference"/>
        </w:rPr>
        <w:footnoteReference w:id="8"/>
      </w:r>
      <w:r>
        <w:rPr/>
        <w:t xml:space="preserve"> to be established, participants need flexibility.  For example, participants may choose to buy or sell energy to the spot market, (or alternatively, decide to interrupt, or sell distributed or on-site generation, etc.), enter into bilateral forward contracts at different timeframes, buy at different load curves, buy-through congestion, and self-provide.  The freedom of choice is part of the vitality of the market.  Moreover, a robust spot market (without a day ahead balanced schedule provision with penalties as found in the SeTrans model) provides market transparency with visible real time pricing upon which to base an active market in providing hedging tools with a wide variety of energy products for utilities and end users.</w:t>
      </w:r>
      <w:r>
        <w:rPr>
          <w:rStyle w:val="FootnoteCharacters"/>
          <w:rStyle w:val="FootnoteReference"/>
        </w:rPr>
        <w:footnoteReference w:id="9"/>
      </w:r>
    </w:p>
    <w:p>
      <w:pPr>
        <w:pStyle w:val="BodyTextIndent"/>
        <w:ind w:firstLine="720" w:end="0"/>
        <w:rPr/>
      </w:pPr>
      <w:r>
        <w:rPr/>
        <w:t>Accurate real time nodal prices (that are set by the participation of all market participants) will provide the essential price signals to best determine the location and necessity of new investment in generation, transmission, and demand side management products, as well as new innovation, which facilitates the Planning and Expansion Function 7.  The LMP/Financial Rights model also provides the most flexibility to participants for development of a variety of forward market instruments to manage and hedge real time price risk (for example, hub to hub rights/options/obligations/FTRs, etc.).  This model will also allow market participants to develop other transmission hedging instruments, such as hub to hub “flowgates.”  In addition, the LMP/Financial Rights model</w:t>
      </w:r>
      <w:r>
        <w:rPr>
          <w:rStyle w:val="FootnoteCharacters"/>
          <w:rStyle w:val="FootnoteReference"/>
        </w:rPr>
        <w:footnoteReference w:id="10"/>
      </w:r>
      <w:r>
        <w:rPr/>
        <w:t xml:space="preserve"> is consistent with the Commission’s directive to consider best practices in other regions.</w:t>
      </w:r>
    </w:p>
    <w:p>
      <w:pPr>
        <w:pStyle w:val="BodyTextIndent"/>
        <w:ind w:firstLine="720" w:end="0"/>
        <w:rPr/>
      </w:pPr>
      <w:r>
        <w:rPr/>
        <w:t>While EPMI fully supports the basic LMP/Financial Rights model, several elements are now proposed in the CGM proposal that warrant further mediated-type discussion:  (1) the balanced resource requirement (and more fully the day ahead process) and (2) the allocation of transmission rights without an auction.  The CGM proposal does appropriately recognize that these are issues that warrant further discussion in a Commission-driven process.  The mediation participants spent approximately a week working on congestion management, with a result that most participants favored the LMP/Financial Rights model (with many initially favoring the physical rights model).  Because the participants did not have adequate time to fully discuss the day ahead process (including the “Balanced Resource” issue) and allocation/auction of financial transmission rights, EPMI suggests that further Commission-attended discussions would be fruitful toward a workable solution for the Southeast.</w:t>
      </w:r>
      <w:r>
        <w:rPr>
          <w:rStyle w:val="FootnoteCharacters"/>
          <w:rStyle w:val="FootnoteReference"/>
        </w:rPr>
        <w:footnoteReference w:id="11"/>
      </w:r>
    </w:p>
    <w:p>
      <w:pPr>
        <w:pStyle w:val="BodyTextIndent"/>
        <w:ind w:firstLine="720" w:end="0"/>
        <w:rPr/>
      </w:pPr>
      <w:r>
        <w:rPr/>
        <w:t>The “Balanced Resource” requirement, as drafted, could be interpreted to require day ahead balanced schedules.</w:t>
      </w:r>
      <w:r>
        <w:rPr>
          <w:rStyle w:val="FootnoteCharacters"/>
          <w:rStyle w:val="FootnoteReference"/>
        </w:rPr>
        <w:footnoteReference w:id="12"/>
      </w:r>
      <w:r>
        <w:rPr/>
        <w:t xml:space="preserve">  The stated purpose of “resources”, “icap”, “reserves” (or any of the other names/procedures used across the country) is security – to ensure that there are enough resources built on a forward time frame that can be called upon to run in real time if necessary.</w:t>
      </w:r>
      <w:r>
        <w:rPr>
          <w:rStyle w:val="FootnoteCharacters"/>
          <w:rStyle w:val="FootnoteReference"/>
        </w:rPr>
        <w:footnoteReference w:id="13"/>
      </w:r>
      <w:r>
        <w:rPr/>
        <w:t xml:space="preserve">  Some of these markets, such as PJM, include a day ahead reliability assessment, but do not include a day ahead balanced schedule requirement.  In fact, a day ahead balanced schedule requirement is a barrier to entry in that it restricts the ability of participants to fully respond to the LMP based real time price signals.  Moreover, in many instances, the currently implemented “icap” markets do nothing to ensure that reliability is satisfactorily addressed.  By the time a deficiency is reflected in an icap market, there is no time to adequately respond.  A workable solution, such as RTO-monitoring and reporting of the installed capacity situation in all forward time frames, should be able to be reached with input from the Commission.</w:t>
      </w:r>
      <w:r>
        <w:rPr>
          <w:rStyle w:val="FootnoteCharacters"/>
          <w:rStyle w:val="FootnoteReference"/>
        </w:rPr>
        <w:footnoteReference w:id="14"/>
      </w:r>
    </w:p>
    <w:p>
      <w:pPr>
        <w:pStyle w:val="BodyTextIndent"/>
        <w:ind w:firstLine="720" w:end="0"/>
        <w:rPr/>
      </w:pPr>
      <w:r>
        <w:rPr/>
        <w:t>Second, “allocation” must be dealt with; however, there are two ways to think of allocation.  Participants (including end users) can be allocated financial transmission rights instruments (as proposed by the CGM proposal) or allocated the cash proceeds that result from auctioning the financial transmission rights instrument.  Allocation of the cash proceeds provides a better method to determine the market value of the instrument.  If the instruments themselves are allocated, there is no way for those who receive them to know whether they are truly valuable or not.</w:t>
      </w:r>
      <w:r>
        <w:rPr>
          <w:rStyle w:val="FootnoteCharacters"/>
          <w:rStyle w:val="FootnoteReference"/>
        </w:rPr>
        <w:footnoteReference w:id="15"/>
      </w:r>
    </w:p>
    <w:p>
      <w:pPr>
        <w:pStyle w:val="BodyTextIndent"/>
        <w:ind w:firstLine="720" w:end="0"/>
        <w:rPr/>
      </w:pPr>
      <w:r>
        <w:rPr/>
        <w:t>In addition, the use of “trading hubs” and associated financial rights between such hubs should be an integral part of the Southeast RTO.  Trading hubs exist today in each of the regions of the United States and are vital to the liquidity of the wholesale power market.</w:t>
      </w:r>
    </w:p>
    <w:p>
      <w:pPr>
        <w:pStyle w:val="Normal"/>
        <w:spacing w:lineRule="auto" w:line="480"/>
        <w:ind w:firstLine="720" w:start="-360" w:end="0"/>
        <w:jc w:val="both"/>
        <w:rPr/>
      </w:pPr>
      <w:r>
        <w:rPr>
          <w:b/>
          <w:bCs/>
          <w:sz w:val="26"/>
        </w:rPr>
        <w:t xml:space="preserve">F3. </w:t>
      </w:r>
      <w:r>
        <w:rPr>
          <w:b/>
          <w:bCs/>
          <w:sz w:val="26"/>
          <w:u w:val="single"/>
        </w:rPr>
        <w:t>Parallel Path Flow:</w:t>
      </w:r>
      <w:r>
        <w:rPr>
          <w:sz w:val="26"/>
        </w:rPr>
        <w:t xml:space="preserve">  It is appropriate to authorize the RTO with the task of developing specific parallel path flow procedures in the future.  The CGM proposed FCH/LMP Financial Rights congestion management model will help to minimize inter-RTO parallel path problems and provide a solid foundation upon which to develop and implement procedures to address parallel path flow issues within the Southeast and its neighboring regions, especially to the extent that neighboring RTOs utilize similar protocols.</w:t>
      </w:r>
    </w:p>
    <w:p>
      <w:pPr>
        <w:pStyle w:val="BodyTextIndent"/>
        <w:ind w:firstLine="720" w:end="0"/>
        <w:rPr/>
      </w:pPr>
      <w:r>
        <w:rPr>
          <w:b/>
          <w:bCs/>
        </w:rPr>
        <w:t xml:space="preserve">F4. </w:t>
      </w:r>
      <w:r>
        <w:rPr>
          <w:b/>
          <w:bCs/>
          <w:u w:val="single"/>
        </w:rPr>
        <w:t>Ancillary Services:</w:t>
      </w:r>
      <w:r>
        <w:rPr/>
        <w:t xml:space="preserve">  EPMI prefers the CGM proposal because it uses nodal pricing for congestion and imbalance.  Use of this type of LMP/Financial Rights model should facilitate establishment of a market for ancillary services.  However, the CGM proposal does not initially use a market-based approach for ancillaries.  Such an ancillary market is critical in order to provide numerous services to customers located in another party’s control area (including wholesale customers, such as municipals and cooperatives.)  For example, the ability of energy and service providers, such as marketers, IPPs, and utilities, to compete to serve these entities is hindered when the control area controls the ancillary services.  Therefore, EPMI urges the Commission to require the ancillary services market to be established quickly.</w:t>
      </w:r>
    </w:p>
    <w:p>
      <w:pPr>
        <w:pStyle w:val="Normal"/>
        <w:spacing w:lineRule="auto" w:line="480"/>
        <w:ind w:firstLine="720" w:start="-360" w:end="0"/>
        <w:jc w:val="both"/>
        <w:rPr/>
      </w:pPr>
      <w:r>
        <w:rPr>
          <w:b/>
          <w:bCs/>
          <w:sz w:val="26"/>
        </w:rPr>
        <w:t xml:space="preserve">F5. </w:t>
      </w:r>
      <w:r>
        <w:rPr>
          <w:b/>
          <w:bCs/>
          <w:sz w:val="26"/>
          <w:u w:val="single"/>
        </w:rPr>
        <w:t>OASIS, Total Transfer Capability (“TTC”) and Available Transfer Capability (“ATC”):</w:t>
      </w:r>
      <w:r>
        <w:rPr>
          <w:sz w:val="26"/>
        </w:rPr>
        <w:t xml:space="preserve">  EPMI strongly supports the CGM proposal of placing responsibility for the OASIS administration and calculation of ATCs and TTCs as described in the Operating Protocol with the IMA, provided the IMA is truly independent. </w:t>
      </w:r>
    </w:p>
    <w:p>
      <w:pPr>
        <w:pStyle w:val="BodyText"/>
        <w:tabs>
          <w:tab w:val="clear" w:pos="720"/>
          <w:tab w:val="left" w:pos="540" w:leader="none"/>
          <w:tab w:val="left" w:pos="1710" w:leader="none"/>
        </w:tabs>
        <w:ind w:start="-360" w:end="0"/>
        <w:rPr/>
      </w:pPr>
      <w:r>
        <w:rPr>
          <w:b/>
          <w:sz w:val="26"/>
        </w:rPr>
        <w:tab/>
        <w:t xml:space="preserve">F6. </w:t>
      </w:r>
      <w:r>
        <w:rPr>
          <w:b/>
          <w:sz w:val="26"/>
          <w:u w:val="single"/>
        </w:rPr>
        <w:t>Market Monitoring (“MM”):</w:t>
      </w:r>
      <w:r>
        <w:rPr>
          <w:sz w:val="26"/>
        </w:rPr>
        <w:t xml:space="preserve">  EPMI generally supports the CGM proposal; however, EPMI does not support allowing the MM to impose mitigation measures, unless it is clarified that such mitigation measures can only be imposed after approval by the Commission.</w:t>
      </w:r>
    </w:p>
    <w:p>
      <w:pPr>
        <w:pStyle w:val="BodyText"/>
        <w:tabs>
          <w:tab w:val="left" w:pos="720" w:leader="none"/>
          <w:tab w:val="left" w:pos="1710" w:leader="none"/>
        </w:tabs>
        <w:ind w:start="-360" w:end="0"/>
        <w:rPr/>
      </w:pPr>
      <w:r>
        <w:rPr>
          <w:b/>
          <w:sz w:val="26"/>
        </w:rPr>
        <w:tab/>
        <w:t xml:space="preserve">F7. </w:t>
      </w:r>
      <w:r>
        <w:rPr>
          <w:b/>
          <w:sz w:val="26"/>
          <w:u w:val="single"/>
        </w:rPr>
        <w:t>Planning &amp; Expansion:</w:t>
      </w:r>
      <w:r>
        <w:rPr>
          <w:sz w:val="26"/>
        </w:rPr>
        <w:t xml:space="preserve">  EPMI prefers the CGM model.  Planning and Expansion will be facilitated to the extent that the Southeast RTO adopts a market design similar to neighboring RTOs (the FCH/LMP Financial Rights model.)</w:t>
      </w:r>
    </w:p>
    <w:p>
      <w:pPr>
        <w:pStyle w:val="BodyTextIndent"/>
        <w:ind w:firstLine="720" w:end="0"/>
        <w:rPr/>
      </w:pPr>
      <w:r>
        <w:rPr>
          <w:b/>
        </w:rPr>
        <w:tab/>
      </w:r>
      <w:r>
        <w:rPr>
          <w:bCs/>
        </w:rPr>
        <w:t>Security and reliability will be improved through the provision requiring the Transco to consider market solutions to congestion issues, including any proposed merchant or participant funded expansion projects.</w:t>
      </w:r>
      <w:r>
        <w:rPr/>
        <w:t xml:space="preserve">  The ultimate planning process could reside with the IMA, rather than the Transco, to assure that the planning decisions are made by an entity with no commercial interest in the outcome.  If the planning process remains with the Transco, then a clearer protocol should be developed to allow for meaningful and substantive input from the IMA and SAC.</w:t>
      </w:r>
    </w:p>
    <w:p>
      <w:pPr>
        <w:pStyle w:val="Normal"/>
        <w:spacing w:lineRule="auto" w:line="480"/>
        <w:ind w:firstLine="1080" w:start="-360" w:end="0"/>
        <w:jc w:val="both"/>
        <w:rPr/>
      </w:pPr>
      <w:r>
        <w:rPr>
          <w:b/>
          <w:bCs/>
          <w:sz w:val="26"/>
        </w:rPr>
        <w:t xml:space="preserve">F8. </w:t>
      </w:r>
      <w:r>
        <w:rPr>
          <w:b/>
          <w:bCs/>
          <w:sz w:val="26"/>
          <w:u w:val="single"/>
        </w:rPr>
        <w:t>Interregional Coordination:</w:t>
      </w:r>
      <w:r>
        <w:rPr>
          <w:sz w:val="26"/>
        </w:rPr>
        <w:t xml:space="preserve">  Recognizing that inconsistency among markets will only lead to increased reliability concerns and the creation of seams issues, EPMI strongly supports adoption of the CGM proposed FCH/LMP Financial Rights congestion management model (with modifications discussed above) as a means of minimizing interregional coordination problems especially to the extent that neighboring RTOs utilize similar protocols.  Also, EPMI urges the Commission to continue its Interregional Coordination initiative, which it launched earlier this year in the Commission’s technical conferences.</w:t>
      </w:r>
    </w:p>
    <w:p>
      <w:pPr>
        <w:pStyle w:val="Heading5"/>
        <w:rPr>
          <w:b/>
          <w:bCs/>
        </w:rPr>
      </w:pPr>
      <w:r>
        <w:rPr>
          <w:b/>
          <w:bCs/>
        </w:rPr>
        <w:t>CONCLUSION</w:t>
      </w:r>
    </w:p>
    <w:p>
      <w:pPr>
        <w:pStyle w:val="BodyTextIndent3"/>
        <w:rPr/>
      </w:pPr>
      <w:r>
        <w:rPr/>
        <w:tab/>
        <w:t>EPMI fully supports the progress made during the Southeast mediation.  Continued Commission involvement will allow the collaborative process to remain on target for the creation of a Southeast RTO within the Order No. 2000 timelines.</w:t>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Power Marketing, Inc.</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p>
    <w:sectPr>
      <w:footerReference w:type="default" r:id="rId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jc w:val="both"/>
        <w:rPr/>
      </w:pPr>
      <w:r>
        <w:rPr>
          <w:rStyle w:val="FootnoteCharacters"/>
        </w:rPr>
        <w:footnoteRef/>
      </w:r>
      <w:r>
        <w:rPr/>
        <w:t xml:space="preserve"> </w:t>
      </w:r>
      <w:r>
        <w:rPr/>
        <w:tab/>
      </w:r>
      <w:r>
        <w:rPr>
          <w:sz w:val="20"/>
        </w:rPr>
        <w:t>ENA is formerly Enron Capital &amp; Trade Resources Corp. ("ECT").  Effective September 1, 1999, ECT changed its name to Enron North America Corp.</w:t>
      </w:r>
    </w:p>
  </w:footnote>
  <w:footnote w:id="3">
    <w:p>
      <w:pPr>
        <w:pStyle w:val="FootnoteText"/>
        <w:rPr/>
      </w:pPr>
      <w:r>
        <w:rPr>
          <w:rStyle w:val="FootnoteCharacters"/>
        </w:rPr>
        <w:footnoteRef/>
      </w:r>
      <w:r>
        <w:rPr/>
        <w:t xml:space="preserve"> </w:t>
      </w:r>
      <w:r>
        <w:rPr/>
        <w:tab/>
        <w:t>While this type of structure is a significant step forward in order to get the RTO market functioning, this type of market structure is not necessarily the end state.  An open architecture and independent RTO, however, should facilitate the ability to adapt the structure of the RTO as necessary in light of future market changes.</w:t>
      </w:r>
    </w:p>
  </w:footnote>
  <w:footnote w:id="4">
    <w:p>
      <w:pPr>
        <w:pStyle w:val="Normal"/>
        <w:autoSpaceDE w:val="false"/>
        <w:rPr/>
      </w:pPr>
      <w:r>
        <w:rPr>
          <w:rStyle w:val="FootnoteCharacters"/>
        </w:rPr>
        <w:footnoteRef/>
      </w:r>
      <w:r>
        <w:rPr>
          <w:sz w:val="20"/>
        </w:rPr>
        <w:t xml:space="preserve"> </w:t>
      </w:r>
      <w:r>
        <w:rPr>
          <w:sz w:val="20"/>
        </w:rPr>
        <w:tab/>
        <w:t xml:space="preserve">The Commission recognized the benefits to reliability that have been realized through open access on interstate pipelines:  “Indeed, competition may improve reliability by enabling the market to adjust to demand conditions quickly without the need to rely on regulatory allocation or curtailment policies to determine who obtains gas (concluding that the unbundled gas market has responded to severe demand conditions better than the traditionally regulated electric market.)”  </w:t>
      </w:r>
      <w:r>
        <w:rPr>
          <w:color w:val="000000"/>
          <w:sz w:val="20"/>
          <w:szCs w:val="20"/>
        </w:rPr>
        <w:t xml:space="preserve">Regulation of Short-Term Natural Gas Transportation Services and Regulation of Interstate Natural Gas Services, </w:t>
      </w:r>
      <w:r>
        <w:rPr>
          <w:sz w:val="20"/>
        </w:rPr>
        <w:t>Order No. 637, 65 FR 10156 (February 25, 2000), FERC Stats &amp; Regs. Regulations Preambles [1996-2000]¶ 31,091 at p. 31,255.</w:t>
      </w:r>
    </w:p>
    <w:p>
      <w:pPr>
        <w:pStyle w:val="FootnoteText"/>
        <w:rPr/>
      </w:pPr>
      <w:r>
        <w:rPr/>
      </w:r>
    </w:p>
  </w:footnote>
  <w:footnote w:id="5">
    <w:p>
      <w:pPr>
        <w:pStyle w:val="FootnoteText"/>
        <w:rPr/>
      </w:pPr>
      <w:r>
        <w:rPr>
          <w:rStyle w:val="FootnoteCharacters"/>
        </w:rPr>
        <w:footnoteRef/>
      </w:r>
      <w:r>
        <w:rPr/>
        <w:t xml:space="preserve"> </w:t>
      </w:r>
      <w:r>
        <w:rPr/>
        <w:tab/>
        <w:t>Some modifications may need to be added pre-divestiture to the Transco to the extent that the independent Transco has certain functions and responsibilities.</w:t>
      </w:r>
    </w:p>
  </w:footnote>
  <w:footnote w:id="6">
    <w:p>
      <w:pPr>
        <w:pStyle w:val="FootnoteText"/>
        <w:rPr/>
      </w:pPr>
      <w:r>
        <w:rPr>
          <w:rStyle w:val="FootnoteCharacters"/>
        </w:rPr>
        <w:footnoteRef/>
      </w:r>
      <w:r>
        <w:rPr/>
        <w:t xml:space="preserve"> </w:t>
      </w:r>
      <w:r>
        <w:rPr/>
        <w:tab/>
      </w:r>
      <w:r>
        <w:rPr>
          <w:i/>
          <w:iCs/>
        </w:rPr>
        <w:t>GridSouth Transco, LLC, etal</w:t>
      </w:r>
      <w:r>
        <w:rPr/>
        <w:t>, 96 FERC ¶ 61,067 at 61,300 (2001).</w:t>
      </w:r>
    </w:p>
  </w:footnote>
  <w:footnote w:id="7">
    <w:p>
      <w:pPr>
        <w:pStyle w:val="FootnoteText"/>
        <w:rPr/>
      </w:pPr>
      <w:r>
        <w:rPr>
          <w:rStyle w:val="FootnoteCharacters"/>
        </w:rPr>
        <w:footnoteRef/>
      </w:r>
      <w:r>
        <w:rPr/>
        <w:t xml:space="preserve"> </w:t>
      </w:r>
      <w:r>
        <w:rPr/>
        <w:tab/>
      </w:r>
      <w:r>
        <w:rPr>
          <w:i/>
          <w:iCs/>
        </w:rPr>
        <w:t>GridSouth Transco, LLC, etal</w:t>
      </w:r>
      <w:r>
        <w:rPr/>
        <w:t>, 96 FERC ¶ 61,067 at 61,287 (2001).</w:t>
      </w:r>
    </w:p>
  </w:footnote>
  <w:footnote w:id="8">
    <w:p>
      <w:pPr>
        <w:pStyle w:val="FootnoteText"/>
        <w:rPr/>
      </w:pPr>
      <w:r>
        <w:rPr>
          <w:rStyle w:val="FootnoteCharacters"/>
        </w:rPr>
        <w:footnoteRef/>
      </w:r>
      <w:r>
        <w:rPr/>
        <w:t xml:space="preserve"> </w:t>
      </w:r>
      <w:r>
        <w:rPr/>
        <w:tab/>
      </w:r>
      <w:r>
        <w:rPr>
          <w:i/>
          <w:iCs/>
        </w:rPr>
        <w:t>Id.</w:t>
      </w:r>
    </w:p>
  </w:footnote>
  <w:footnote w:id="9">
    <w:p>
      <w:pPr>
        <w:pStyle w:val="FootnoteText"/>
        <w:rPr/>
      </w:pPr>
      <w:r>
        <w:rPr>
          <w:rStyle w:val="FootnoteCharacters"/>
        </w:rPr>
        <w:footnoteRef/>
      </w:r>
      <w:r>
        <w:rPr/>
        <w:t xml:space="preserve"> </w:t>
      </w:r>
      <w:r>
        <w:rPr/>
        <w:tab/>
        <w:t>EPMI strongly opposes the SE Tran model’s requirement for day ahead balanced schedules and financial penalty for imbalances.  There is no empirical evidence that such requirements improve the reliability of the transmission grid (conversely, the PJM market design that allows unbalanced schedules is the only market that has reduced the number of TLR events in order to maintain reliability).</w:t>
      </w:r>
    </w:p>
  </w:footnote>
  <w:footnote w:id="10">
    <w:p>
      <w:pPr>
        <w:pStyle w:val="FootnoteText"/>
        <w:rPr/>
      </w:pPr>
      <w:r>
        <w:rPr>
          <w:rStyle w:val="FootnoteCharacters"/>
        </w:rPr>
        <w:footnoteRef/>
      </w:r>
      <w:r>
        <w:rPr/>
        <w:t xml:space="preserve"> </w:t>
      </w:r>
      <w:r>
        <w:rPr/>
        <w:tab/>
        <w:t>The model itself should be publically disclosed.</w:t>
      </w:r>
    </w:p>
  </w:footnote>
  <w:footnote w:id="11">
    <w:p>
      <w:pPr>
        <w:pStyle w:val="FootnoteText"/>
        <w:rPr/>
      </w:pPr>
      <w:r>
        <w:rPr>
          <w:rStyle w:val="FootnoteCharacters"/>
        </w:rPr>
        <w:footnoteRef/>
      </w:r>
      <w:r>
        <w:rPr/>
        <w:t xml:space="preserve"> </w:t>
      </w:r>
      <w:r>
        <w:rPr/>
        <w:tab/>
        <w:t>There are a variety of ways to manage both the allocation of rights and the resource/reserve issues.  For example, while both NY and PJM use the LMP/financial rights model, PJM used allocation without auction and NY utilized an auction.  PJM participants have discussed whether to adopt the auction approach.  Further discussion is clearly warranted.</w:t>
      </w:r>
    </w:p>
  </w:footnote>
  <w:footnote w:id="12">
    <w:p>
      <w:pPr>
        <w:pStyle w:val="FootnoteText"/>
        <w:rPr/>
      </w:pPr>
      <w:r>
        <w:rPr>
          <w:rStyle w:val="FootnoteCharacters"/>
        </w:rPr>
        <w:footnoteRef/>
      </w:r>
      <w:r>
        <w:rPr/>
        <w:t xml:space="preserve"> </w:t>
      </w:r>
      <w:r>
        <w:rPr/>
        <w:tab/>
        <w:t>EPMI opposes the SeTrans congestion management model for the primary reason that it perpetuates the current discriminatory process of requiring “day ahead balanced schedules” that preclude the use of much of the market to participants other than generation and load owning utilities.</w:t>
      </w:r>
    </w:p>
  </w:footnote>
  <w:footnote w:id="13">
    <w:p>
      <w:pPr>
        <w:pStyle w:val="FootnoteText"/>
        <w:rPr/>
      </w:pPr>
      <w:r>
        <w:rPr>
          <w:rStyle w:val="FootnoteCharacters"/>
        </w:rPr>
        <w:footnoteRef/>
      </w:r>
      <w:r>
        <w:rPr/>
        <w:t xml:space="preserve"> </w:t>
      </w:r>
      <w:r>
        <w:rPr/>
        <w:tab/>
        <w:t>However, these capacity products can be a double edged sword in that the more customers pay for capacity, the less incentive a resource has to run to recover its operating and capital costs.  In addition, the CGM proposal appears to be drafted with mandatory bidding of load, but voluntary bidding by generation.  This can create inefficiencies and should be further discussed.</w:t>
      </w:r>
    </w:p>
  </w:footnote>
  <w:footnote w:id="14">
    <w:p>
      <w:pPr>
        <w:pStyle w:val="FootnoteText"/>
        <w:rPr/>
      </w:pPr>
      <w:r>
        <w:rPr>
          <w:rStyle w:val="FootnoteCharacters"/>
        </w:rPr>
        <w:footnoteRef/>
      </w:r>
      <w:r>
        <w:rPr/>
        <w:t xml:space="preserve"> </w:t>
      </w:r>
      <w:r>
        <w:rPr/>
        <w:tab/>
        <w:t>PJM has recently changed to a seasonal Capacity Resource requirement (generators submit offers in the day ahead market), while NY changed to a monthly icap requirement (using bilateral icap and an icap auction.)  Other models make the independent operator responsible for monitoring reserve percentages and no deficiency charges or markets are established unless a deficiency is determined (this type of model can identify capacity situations in a variety of timeframes, rather than being limited to the time frame of a defined market.)  ECAR and ERCOT do not have specific “icap” markets and both regions have experienced significant plant additions.</w:t>
      </w:r>
    </w:p>
  </w:footnote>
  <w:footnote w:id="15">
    <w:p>
      <w:pPr>
        <w:pStyle w:val="FootnoteText"/>
        <w:rPr/>
      </w:pPr>
      <w:r>
        <w:rPr>
          <w:rStyle w:val="FootnoteCharacters"/>
        </w:rPr>
        <w:footnoteRef/>
      </w:r>
      <w:r>
        <w:rPr/>
        <w:t xml:space="preserve"> </w:t>
      </w:r>
      <w:r>
        <w:rPr/>
        <w:tab/>
        <w:t>There have been ongoing discussions in PJM (where instruments were initially “perpetually allocated”) that the allocation of the instrument has led to the lack of liquidity in the PJM FTRs.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character" w:styleId="WW8Num1z0">
    <w:name w:val="WW8Num1z0"/>
    <w:qFormat/>
    <w:rPr/>
  </w:style>
  <w:style w:type="character" w:styleId="WW8Num2z0">
    <w:name w:val="WW8Num2z0"/>
    <w:qFormat/>
    <w:rPr>
      <w: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9">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autoSpaceDE w:val="false"/>
    </w:pPr>
    <w:rPr>
      <w:color w:val="000000"/>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2001-09-19T17:30:00Z</dcterms:created>
  <dc:creator>cnicola</dc:creator>
  <dc:description/>
  <dc:language>en-CA</dc:language>
  <cp:lastModifiedBy>cnicola</cp:lastModifiedBy>
  <cp:lastPrinted>2001-09-26T12:58:00Z</cp:lastPrinted>
  <dcterms:modified xsi:type="dcterms:W3CDTF">2001-09-26T16:23:00Z</dcterms:modified>
  <cp:revision>36</cp:revision>
  <dc:subject/>
  <dc:title>PRIVILEGED AND</dc:title>
</cp:coreProperties>
</file>