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John P. Gregg</w:t>
      </w:r>
    </w:p>
    <w:p>
      <w:pPr>
        <w:pStyle w:val="Normal"/>
        <w:rPr>
          <w:rFonts w:ascii="Arial" w:hAnsi="Arial" w:cs="Arial"/>
        </w:rPr>
      </w:pPr>
      <w:r>
        <w:rPr>
          <w:rFonts w:cs="Arial" w:ascii="Arial" w:hAnsi="Arial"/>
        </w:rPr>
        <w:t>Miller, Balis &amp; O'Neill</w:t>
      </w:r>
    </w:p>
    <w:p>
      <w:pPr>
        <w:pStyle w:val="Normal"/>
        <w:rPr>
          <w:rFonts w:ascii="Arial" w:hAnsi="Arial" w:cs="Arial"/>
        </w:rPr>
      </w:pPr>
      <w:r>
        <w:rPr>
          <w:rFonts w:cs="Arial" w:ascii="Arial" w:hAnsi="Arial"/>
        </w:rPr>
        <w:t>1140 Nineteenth Street, N.W.</w:t>
      </w:r>
    </w:p>
    <w:p>
      <w:pPr>
        <w:pStyle w:val="Normal"/>
        <w:rPr>
          <w:rFonts w:ascii="Arial" w:hAnsi="Arial" w:cs="Arial"/>
        </w:rPr>
      </w:pPr>
      <w:r>
        <w:rPr>
          <w:rFonts w:cs="Arial" w:ascii="Arial" w:hAnsi="Arial"/>
        </w:rPr>
        <w:t>Suite 700</w:t>
      </w:r>
    </w:p>
    <w:p>
      <w:pPr>
        <w:pStyle w:val="Normal"/>
        <w:rPr>
          <w:rFonts w:ascii="Arial" w:hAnsi="Arial" w:cs="Arial"/>
        </w:rPr>
      </w:pPr>
      <w:r>
        <w:rPr>
          <w:rFonts w:cs="Arial" w:ascii="Arial" w:hAnsi="Arial"/>
        </w:rPr>
        <w:t>Washington, D. C.  20036-6600</w:t>
      </w:r>
    </w:p>
    <w:p>
      <w:pPr>
        <w:pStyle w:val="Normal"/>
        <w:ind w:start="2520" w:end="0"/>
        <w:rPr>
          <w:rFonts w:ascii="Arial" w:hAnsi="Arial" w:cs="Arial"/>
        </w:rPr>
      </w:pPr>
      <w:r>
        <w:rPr>
          <w:rFonts w:cs="Arial" w:ascii="Arial" w:hAnsi="Arial"/>
        </w:rPr>
      </w:r>
    </w:p>
    <w:p>
      <w:pPr>
        <w:pStyle w:val="Normal"/>
        <w:ind w:start="2520" w:end="0"/>
        <w:rPr>
          <w:rFonts w:ascii="Arial" w:hAnsi="Arial" w:cs="Arial"/>
        </w:rPr>
      </w:pPr>
      <w:r>
        <w:rPr>
          <w:rFonts w:cs="Arial" w:ascii="Arial" w:hAnsi="Arial"/>
        </w:rPr>
      </w:r>
    </w:p>
    <w:p>
      <w:pPr>
        <w:pStyle w:val="Normal"/>
        <w:ind w:start="2520" w:end="0"/>
        <w:jc w:val="both"/>
        <w:rPr>
          <w:rFonts w:ascii="Arial" w:hAnsi="Arial" w:cs="Arial"/>
          <w:u w:val="single"/>
        </w:rPr>
      </w:pPr>
      <w:r>
        <w:rPr>
          <w:rFonts w:cs="Arial" w:ascii="Arial" w:hAnsi="Arial"/>
        </w:rPr>
        <w:t xml:space="preserve">Re:  El Paso Natural Gas Company; </w:t>
      </w:r>
    </w:p>
    <w:p>
      <w:pPr>
        <w:pStyle w:val="Normal"/>
        <w:ind w:start="2520" w:end="0"/>
        <w:jc w:val="both"/>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Mr. Gregg:</w:t>
      </w:r>
    </w:p>
    <w:p>
      <w:pPr>
        <w:pStyle w:val="Normal"/>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By letter dated August 31, 2001, El Paso Municipal Customer Group submitted informal data requests to El Paso Natural Gas Company as a result of the August 28, 2001 Technical Conference held at Docket Nos. RP00-336-000, et al.  Enclosed are responses to Request Nos. 1 and 2.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pStyle w:val="Normal"/>
        <w:jc w:val="both"/>
        <w:rPr>
          <w:rFonts w:ascii="Arial" w:hAnsi="Arial" w:cs="Arial"/>
        </w:rPr>
      </w:pPr>
      <w:r>
        <w:rPr>
          <w:rFonts w:cs="Arial" w:ascii="Arial" w:hAnsi="Arial"/>
        </w:rPr>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Heading1"/>
        <w:ind w:start="0" w:end="0"/>
        <w:jc w:val="center"/>
        <w:rPr>
          <w:sz w:val="24"/>
        </w:rPr>
      </w:pPr>
      <w:r>
        <w:rPr>
          <w:sz w:val="24"/>
        </w:rPr>
        <w:t xml:space="preserve">El Paso Natural Gas Company </w:t>
      </w:r>
    </w:p>
    <w:p>
      <w:pPr>
        <w:pStyle w:val="Heading1"/>
        <w:ind w:start="0" w:end="0"/>
        <w:jc w:val="center"/>
        <w:rPr>
          <w:b/>
          <w:bCs/>
          <w:sz w:val="24"/>
        </w:rPr>
      </w:pPr>
      <w:r>
        <w:rPr>
          <w:b/>
          <w:bCs/>
          <w:sz w:val="24"/>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Heading2"/>
        <w:ind w:hanging="0" w:start="0"/>
        <w:rPr/>
      </w:pPr>
      <w:r>
        <w:rPr/>
        <w:t>Requests of El Paso Municipal Customer Group</w:t>
      </w:r>
    </w:p>
    <w:p>
      <w:pPr>
        <w:pStyle w:val="Level1"/>
        <w:numPr>
          <w:ilvl w:val="0"/>
          <w:numId w:val="0"/>
        </w:numPr>
        <w:tabs>
          <w:tab w:val="clear" w:pos="720"/>
          <w:tab w:val="left" w:pos="-1440" w:leader="none"/>
        </w:tabs>
        <w:ind w:hanging="0" w:start="0"/>
        <w:jc w:val="center"/>
        <w:rPr>
          <w:rFonts w:ascii="Arial" w:hAnsi="Arial" w:cs="Arial"/>
          <w:sz w:val="24"/>
        </w:rPr>
      </w:pPr>
      <w:r>
        <w:rPr>
          <w:rFonts w:cs="Arial" w:ascii="Arial" w:hAnsi="Arial"/>
          <w:sz w:val="24"/>
        </w:rPr>
        <w:t>(September 24, 2001)</w:t>
      </w:r>
    </w:p>
    <w:p>
      <w:pPr>
        <w:pStyle w:val="Normal"/>
        <w:tabs>
          <w:tab w:val="clear" w:pos="720"/>
          <w:tab w:val="left" w:pos="3765" w:leader="none"/>
        </w:tabs>
        <w:jc w:val="center"/>
        <w:rPr>
          <w:rFonts w:ascii="Arial" w:hAnsi="Arial" w:cs="Arial"/>
          <w:sz w:val="24"/>
        </w:rPr>
      </w:pPr>
      <w:r>
        <w:rPr>
          <w:rFonts w:cs="Arial" w:ascii="Arial" w:hAnsi="Arial"/>
          <w:sz w:val="24"/>
        </w:rPr>
      </w:r>
    </w:p>
    <w:p>
      <w:pPr>
        <w:pStyle w:val="Normal"/>
        <w:jc w:val="both"/>
        <w:rPr/>
      </w:pPr>
      <w:r>
        <w:rPr>
          <w:rFonts w:cs="Arial" w:ascii="Arial" w:hAnsi="Arial"/>
          <w:u w:val="single"/>
        </w:rPr>
        <w:t>Request No. 1</w:t>
      </w:r>
      <w:r>
        <w:rPr>
          <w:rFonts w:cs="Arial" w:ascii="Arial" w:hAnsi="Arial"/>
        </w:rPr>
        <w:t>:</w:t>
        <w:tab/>
        <w:t>In its March 2001 capacity allocation proposal, El Paso Natural Gas stated: “Shippers will be permitted to elect their receipt point right preference within their contract rights similar to the process that was used to relocate delivery rights at the Topock delivery point. … All elections that exceed the available capacity will be allocated pro rata subject to the limitation that space will be reserved to allow the FT-2 shippers to utilize their system-wide receipt points.”  For purposes of the studies, to allocate to FT-2 shippers, “El Paso used a pro rata distribution based upon their average scheduled quantities for the prior 12 months.”  See August 15, 2001 Report on Studies.</w:t>
      </w:r>
    </w:p>
    <w:p>
      <w:pPr>
        <w:pStyle w:val="Header"/>
        <w:tabs>
          <w:tab w:val="clear" w:pos="4320"/>
          <w:tab w:val="clear" w:pos="8640"/>
          <w:tab w:val="center" w:pos="360" w:leader="none"/>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 xml:space="preserve">Please confirm that, under El Paso’s proposal, an FT-2 shipper may elect 100% of its billing determinant at any single pool and be assured of obtaining that election because capacity has been reserved for FT-2 shippers in the allocation process just as it is in the current scheduling process. </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u w:val="single"/>
        </w:rPr>
        <w:t>Response No. 1</w:t>
      </w:r>
      <w:r>
        <w:rPr>
          <w:rFonts w:cs="Arial" w:ascii="Arial" w:hAnsi="Arial"/>
        </w:rPr>
        <w:t>:</w:t>
        <w:tab/>
        <w:t xml:space="preserve">El Paso’s proposal contemplates continuing to schedule the FT-2 shippers first; i.e. allowing them to source their full requirements from whatever supply point they elect on any given day (subject to the normal requirement that their supply and market are properly confirmed).  </w:t>
      </w:r>
    </w:p>
    <w:p>
      <w:pPr>
        <w:pStyle w:val="Header"/>
        <w:tabs>
          <w:tab w:val="clear" w:pos="4320"/>
          <w:tab w:val="clear" w:pos="8640"/>
          <w:tab w:val="center" w:pos="360" w:leader="none"/>
        </w:tabs>
        <w:jc w:val="both"/>
        <w:rPr>
          <w:rFonts w:ascii="Arial" w:hAnsi="Arial" w:cs="Arial"/>
        </w:rPr>
      </w:pPr>
      <w:r>
        <w:rPr>
          <w:rFonts w:cs="Arial" w:ascii="Arial" w:hAnsi="Arial"/>
        </w:rPr>
      </w:r>
    </w:p>
    <w:p>
      <w:pPr>
        <w:pStyle w:val="Header"/>
        <w:tabs>
          <w:tab w:val="clear" w:pos="4320"/>
          <w:tab w:val="clear" w:pos="8640"/>
          <w:tab w:val="center" w:pos="360" w:leader="none"/>
        </w:tabs>
        <w:ind w:hanging="360" w:start="1080" w:end="0"/>
        <w:jc w:val="both"/>
        <w:rPr>
          <w:rFonts w:ascii="Arial" w:hAnsi="Arial" w:cs="Arial"/>
        </w:rPr>
      </w:pPr>
      <w:r>
        <w:rPr>
          <w:rFonts w:cs="Arial" w:ascii="Arial" w:hAnsi="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er"/>
        <w:tabs>
          <w:tab w:val="clear" w:pos="4320"/>
          <w:tab w:val="clear" w:pos="8640"/>
          <w:tab w:val="center" w:pos="360" w:leader="none"/>
        </w:tabs>
        <w:ind w:hanging="360" w:start="1080" w:end="0"/>
        <w:jc w:val="both"/>
        <w:rPr>
          <w:rFonts w:ascii="Arial" w:hAnsi="Arial" w:cs="Arial"/>
        </w:rPr>
      </w:pPr>
      <w:r>
        <w:rPr>
          <w:rFonts w:cs="Arial" w:ascii="Arial" w:hAnsi="Arial"/>
        </w:rPr>
      </w:r>
    </w:p>
    <w:p>
      <w:pPr>
        <w:pStyle w:val="Heading1"/>
        <w:ind w:start="0" w:end="0"/>
        <w:jc w:val="center"/>
        <w:rPr>
          <w:sz w:val="24"/>
        </w:rPr>
      </w:pPr>
      <w:r>
        <w:rPr>
          <w:sz w:val="24"/>
        </w:rPr>
        <w:t xml:space="preserve">El Paso Natural Gas Company </w:t>
      </w:r>
    </w:p>
    <w:p>
      <w:pPr>
        <w:pStyle w:val="Heading1"/>
        <w:ind w:start="0" w:end="0"/>
        <w:jc w:val="center"/>
        <w:rPr>
          <w:b/>
          <w:bCs/>
          <w:sz w:val="24"/>
        </w:rPr>
      </w:pPr>
      <w:r>
        <w:rPr>
          <w:b/>
          <w:bCs/>
          <w:sz w:val="24"/>
        </w:rPr>
      </w:r>
    </w:p>
    <w:p>
      <w:pPr>
        <w:pStyle w:val="Normal"/>
        <w:jc w:val="center"/>
        <w:rPr>
          <w:rFonts w:ascii="Arial" w:hAnsi="Arial" w:cs="Arial"/>
          <w:u w:val="single"/>
        </w:rPr>
      </w:pPr>
      <w:r>
        <w:rPr>
          <w:rFonts w:cs="Arial" w:ascii="Arial" w:hAnsi="Arial"/>
          <w:u w:val="single"/>
        </w:rPr>
        <w:t>Docket No. RP00-336-000, et al.</w:t>
      </w:r>
    </w:p>
    <w:p>
      <w:pPr>
        <w:pStyle w:val="Normal"/>
        <w:jc w:val="center"/>
        <w:rPr>
          <w:rFonts w:ascii="Arial" w:hAnsi="Arial" w:cs="Arial"/>
          <w:u w:val="single"/>
        </w:rPr>
      </w:pPr>
      <w:r>
        <w:rPr>
          <w:rFonts w:cs="Arial" w:ascii="Arial" w:hAnsi="Arial"/>
          <w:u w:val="single"/>
        </w:rPr>
      </w:r>
    </w:p>
    <w:p>
      <w:pPr>
        <w:pStyle w:val="Heading2"/>
        <w:ind w:hanging="0" w:start="0"/>
        <w:rPr/>
      </w:pPr>
      <w:r>
        <w:rPr/>
        <w:t>Requests of El Paso Municipal Customer Group</w:t>
      </w:r>
    </w:p>
    <w:p>
      <w:pPr>
        <w:pStyle w:val="Level1"/>
        <w:numPr>
          <w:ilvl w:val="0"/>
          <w:numId w:val="0"/>
        </w:numPr>
        <w:tabs>
          <w:tab w:val="clear" w:pos="720"/>
          <w:tab w:val="left" w:pos="-1440" w:leader="none"/>
        </w:tabs>
        <w:ind w:hanging="0" w:start="0"/>
        <w:jc w:val="center"/>
        <w:rPr>
          <w:rFonts w:ascii="Arial" w:hAnsi="Arial" w:cs="Arial"/>
          <w:sz w:val="24"/>
        </w:rPr>
      </w:pPr>
      <w:r>
        <w:rPr>
          <w:rFonts w:cs="Arial" w:ascii="Arial" w:hAnsi="Arial"/>
          <w:sz w:val="24"/>
        </w:rPr>
        <w:t>(September 24, 2001)</w:t>
      </w:r>
    </w:p>
    <w:p>
      <w:pPr>
        <w:pStyle w:val="Header"/>
        <w:tabs>
          <w:tab w:val="clear" w:pos="4320"/>
          <w:tab w:val="clear" w:pos="8640"/>
          <w:tab w:val="center" w:pos="360" w:leader="none"/>
        </w:tabs>
        <w:ind w:start="360" w:end="0"/>
        <w:jc w:val="both"/>
        <w:rPr>
          <w:rFonts w:ascii="Arial" w:hAnsi="Arial" w:cs="Arial"/>
          <w:sz w:val="24"/>
        </w:rPr>
      </w:pPr>
      <w:r>
        <w:rPr>
          <w:rFonts w:cs="Arial" w:ascii="Arial" w:hAnsi="Arial"/>
          <w:sz w:val="24"/>
        </w:rPr>
      </w:r>
    </w:p>
    <w:p>
      <w:pPr>
        <w:pStyle w:val="Header"/>
        <w:tabs>
          <w:tab w:val="clear" w:pos="4320"/>
          <w:tab w:val="clear" w:pos="8640"/>
        </w:tabs>
        <w:jc w:val="both"/>
        <w:rPr/>
      </w:pPr>
      <w:r>
        <w:rPr>
          <w:rFonts w:cs="Arial" w:ascii="Arial" w:hAnsi="Arial"/>
          <w:u w:val="single"/>
        </w:rPr>
        <w:t>Request No. 2</w:t>
      </w:r>
      <w:r>
        <w:rPr>
          <w:rFonts w:cs="Arial" w:ascii="Arial" w:hAnsi="Arial"/>
        </w:rPr>
        <w:t>:</w:t>
        <w:tab/>
        <w:t xml:space="preserve">After the initial allocation under El Paso’s proposal, may an FT-2 shipper change from “Pool A” to “Pool B” even if the Pool B is fully subscribed? </w:t>
      </w:r>
    </w:p>
    <w:p>
      <w:pPr>
        <w:pStyle w:val="Normal"/>
        <w:tabs>
          <w:tab w:val="clear" w:pos="720"/>
          <w:tab w:val="center" w:pos="4896" w:leader="none"/>
        </w:tabs>
        <w:jc w:val="both"/>
        <w:rPr>
          <w:rFonts w:ascii="Arial" w:hAnsi="Arial" w:cs="Arial"/>
        </w:rPr>
      </w:pPr>
      <w:r>
        <w:rPr>
          <w:rFonts w:cs="Arial" w:ascii="Arial" w:hAnsi="Arial"/>
        </w:rPr>
      </w:r>
    </w:p>
    <w:p>
      <w:pPr>
        <w:pStyle w:val="Normal"/>
        <w:jc w:val="both"/>
        <w:rPr/>
      </w:pPr>
      <w:r>
        <w:rPr>
          <w:rFonts w:cs="Arial" w:ascii="Arial" w:hAnsi="Arial"/>
          <w:u w:val="single"/>
        </w:rPr>
        <w:t>Response No. 2</w:t>
      </w:r>
      <w:r>
        <w:rPr>
          <w:rFonts w:cs="Arial" w:ascii="Arial" w:hAnsi="Arial"/>
        </w:rPr>
        <w:t>:  See Response No. 1.</w:t>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rPr>
  </w:style>
  <w:style w:type="paragraph" w:styleId="Level1">
    <w:name w:val="Level 1"/>
    <w:basedOn w:val="Normal"/>
    <w:qFormat/>
    <w:pPr>
      <w:widowControl w:val="false"/>
      <w:numPr>
        <w:ilvl w:val="0"/>
        <w:numId w:val="2"/>
      </w:numPr>
      <w:autoSpaceDE w:val="false"/>
      <w:ind w:hanging="720" w:start="1440" w:end="0"/>
      <w:outlineLvl w:val="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Richard Derryberry</cp:lastModifiedBy>
  <cp:lastPrinted>2001-05-11T15:28:00Z</cp:lastPrinted>
  <dcterms:modified xsi:type="dcterms:W3CDTF">2001-09-24T21:49:00Z</dcterms:modified>
  <cp:revision>22</cp:revision>
  <dc:subject/>
  <dc:title/>
</cp:coreProperties>
</file>