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b/>
          <w:sz w:val="18"/>
          <w:u w:val="single"/>
        </w:rPr>
      </w:pPr>
      <w:r>
        <w:rPr>
          <w:b/>
          <w:sz w:val="18"/>
          <w:u w:val="single"/>
        </w:rPr>
        <w:t>ENRON PETROCHEMICALS COMPANY</w:t>
      </w:r>
    </w:p>
    <w:p>
      <w:pPr>
        <w:pStyle w:val="Normal"/>
        <w:tabs>
          <w:tab w:val="clear" w:pos="720"/>
          <w:tab w:val="left" w:pos="-720" w:leader="none"/>
        </w:tabs>
        <w:spacing w:before="0" w:after="120"/>
        <w:jc w:val="center"/>
        <w:rPr>
          <w:b/>
          <w:sz w:val="18"/>
          <w:u w:val="single"/>
        </w:rPr>
      </w:pPr>
      <w:r>
        <w:rPr>
          <w:b/>
          <w:sz w:val="18"/>
        </w:rPr>
        <w:t>a division of Enron Liquid Fuels, Inc.</w:t>
      </w:r>
    </w:p>
    <w:p>
      <w:pPr>
        <w:pStyle w:val="Normal"/>
        <w:tabs>
          <w:tab w:val="clear" w:pos="720"/>
          <w:tab w:val="left" w:pos="-720" w:leader="none"/>
        </w:tabs>
        <w:jc w:val="center"/>
        <w:rPr/>
      </w:pPr>
      <w:r>
        <w:rPr>
          <w:b/>
          <w:sz w:val="18"/>
        </w:rPr>
        <w:t>DOMESTIC SALES, PURCHASE AND/OR EXCHANGE</w:t>
      </w:r>
      <w:r>
        <w:rPr>
          <w:b/>
          <w:sz w:val="18"/>
          <w:u w:val="single"/>
        </w:rPr>
        <w:t xml:space="preserve"> </w:t>
      </w:r>
      <w:r>
        <w:rPr>
          <w:b/>
          <w:sz w:val="18"/>
        </w:rPr>
        <w:t>AGREEMENT</w:t>
      </w:r>
    </w:p>
    <w:p>
      <w:pPr>
        <w:pStyle w:val="Normal"/>
        <w:tabs>
          <w:tab w:val="clear" w:pos="720"/>
          <w:tab w:val="left" w:pos="-720" w:leader="none"/>
        </w:tabs>
        <w:spacing w:before="0" w:after="120"/>
        <w:jc w:val="center"/>
        <w:rPr>
          <w:b/>
          <w:sz w:val="18"/>
        </w:rPr>
      </w:pPr>
      <w:r>
        <w:rPr>
          <w:b/>
          <w:sz w:val="18"/>
        </w:rPr>
        <w:t>"General Terms"</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1</w:t>
      </w:r>
      <w:r>
        <w:rPr>
          <w:sz w:val="18"/>
          <w:u w:val="single"/>
          <w:b/>
        </w:rPr>
        <w:fldChar w:fldCharType="end"/>
      </w:r>
      <w:r>
        <w:rPr>
          <w:b/>
          <w:sz w:val="18"/>
          <w:u w:val="single"/>
        </w:rPr>
        <w:tab/>
        <w:t>AGREEMENT AND CONTRACT FORMATION</w:t>
      </w:r>
    </w:p>
    <w:p>
      <w:pPr>
        <w:pStyle w:val="Normal"/>
        <w:tabs>
          <w:tab w:val="clear" w:pos="720"/>
          <w:tab w:val="left" w:pos="-720" w:leader="none"/>
        </w:tabs>
        <w:suppressAutoHyphens w:val="true"/>
        <w:jc w:val="both"/>
        <w:rPr/>
      </w:pPr>
      <w:r>
        <w:rPr>
          <w:b/>
          <w:sz w:val="16"/>
        </w:rPr>
        <w:t>1.1</w:t>
      </w:r>
      <w:r>
        <w:rPr>
          <w:sz w:val="16"/>
        </w:rPr>
        <w:tab/>
        <w:t xml:space="preserve">The term </w:t>
      </w:r>
      <w:r>
        <w:rPr>
          <w:b/>
          <w:sz w:val="16"/>
        </w:rPr>
        <w:t>"Transaction"</w:t>
      </w:r>
      <w:r>
        <w:rPr>
          <w:sz w:val="16"/>
        </w:rPr>
        <w:t xml:space="preserve"> refers to any agreement for the purchase or sale of benzene, mixed xylene, nitration toluene, and similar refined products or petrochemicals (all hereinafter referred to as </w:t>
      </w:r>
      <w:r>
        <w:rPr>
          <w:b/>
          <w:sz w:val="16"/>
        </w:rPr>
        <w:t>"Products"</w:t>
      </w:r>
      <w:r>
        <w:rPr>
          <w:sz w:val="16"/>
        </w:rPr>
        <w:t>) between Enron Petrochemicals Company, a division of Enron Liquid Fuels, Inc. (</w:t>
      </w:r>
      <w:r>
        <w:rPr>
          <w:b/>
          <w:sz w:val="16"/>
        </w:rPr>
        <w:t>"EPC"</w:t>
      </w:r>
      <w:r>
        <w:rPr>
          <w:sz w:val="16"/>
        </w:rPr>
        <w:t xml:space="preserve">) and the </w:t>
      </w:r>
      <w:r>
        <w:rPr>
          <w:b/>
          <w:sz w:val="16"/>
        </w:rPr>
        <w:t>"Counterparty"</w:t>
      </w:r>
      <w:r>
        <w:rPr>
          <w:sz w:val="16"/>
        </w:rPr>
        <w:t xml:space="preserve"> (the party other than EPC) (each a </w:t>
      </w:r>
      <w:r>
        <w:rPr>
          <w:b/>
          <w:sz w:val="16"/>
        </w:rPr>
        <w:t>"Party"</w:t>
      </w:r>
      <w:r>
        <w:rPr>
          <w:sz w:val="16"/>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b/>
          <w:sz w:val="16"/>
        </w:rPr>
        <w:t>"Special Terms and Conditions"</w:t>
      </w:r>
      <w:r>
        <w:rPr>
          <w:sz w:val="16"/>
        </w:rPr>
        <w:t xml:space="preserve">).  Such Special Terms and Conditions, together with these General Terms and Conditions, including, to the extent applicable, the EPC Marine Provisions, constitute the Parties' entire agreement as to a particular Transaction and override and take the place of any terms or conditions emanating from or referred to by Counterparty.  As used herein, the term </w:t>
      </w:r>
      <w:r>
        <w:rPr>
          <w:b/>
          <w:sz w:val="16"/>
        </w:rPr>
        <w:t>"this Agreement"</w:t>
      </w:r>
      <w:r>
        <w:rPr>
          <w:sz w:val="16"/>
        </w:rPr>
        <w:t xml:space="preserve"> means the Special Terms and Conditions evidencing a particular Transaction in issue, of which these General Terms and Conditions are a part.  The term </w:t>
      </w:r>
      <w:r>
        <w:rPr>
          <w:b/>
          <w:sz w:val="16"/>
        </w:rPr>
        <w:t>"Other Agreement"</w:t>
      </w:r>
      <w:r>
        <w:rPr>
          <w:sz w:val="16"/>
        </w:rPr>
        <w:t xml:space="preserve"> shall mean Transaction(s) between the Parties other than the Transaction covered by "this Agreement."  The term </w:t>
      </w:r>
      <w:r>
        <w:rPr>
          <w:b/>
          <w:sz w:val="16"/>
        </w:rPr>
        <w:t>"Seller"</w:t>
      </w:r>
      <w:r>
        <w:rPr>
          <w:sz w:val="16"/>
        </w:rPr>
        <w:t xml:space="preserve"> shall mean the Party agreeing to sell and deliver the Products to Buyer, and the term </w:t>
      </w:r>
      <w:r>
        <w:rPr>
          <w:b/>
          <w:sz w:val="16"/>
        </w:rPr>
        <w:t>"Buyer"</w:t>
      </w:r>
      <w:r>
        <w:rPr>
          <w:sz w:val="16"/>
        </w:rPr>
        <w:t xml:space="preserve"> shall mean the Party agreeing to purchase and receive Products from Seller.  </w:t>
      </w:r>
    </w:p>
    <w:p>
      <w:pPr>
        <w:pStyle w:val="Normal"/>
        <w:tabs>
          <w:tab w:val="clear" w:pos="720"/>
          <w:tab w:val="left" w:pos="-720" w:leader="none"/>
        </w:tabs>
        <w:suppressAutoHyphens w:val="true"/>
        <w:jc w:val="both"/>
        <w:rPr>
          <w:sz w:val="16"/>
        </w:rPr>
      </w:pPr>
      <w:r>
        <w:rPr>
          <w:sz w:val="16"/>
        </w:rPr>
      </w:r>
    </w:p>
    <w:p>
      <w:pPr>
        <w:pStyle w:val="Normal"/>
        <w:tabs>
          <w:tab w:val="clear" w:pos="720"/>
          <w:tab w:val="left" w:pos="-720" w:leader="none"/>
        </w:tabs>
        <w:suppressAutoHyphens w:val="true"/>
        <w:jc w:val="both"/>
        <w:rPr/>
      </w:pPr>
      <w:r>
        <w:rPr>
          <w:b/>
          <w:sz w:val="16"/>
        </w:rPr>
        <w:t>1.2</w:t>
        <w:tab/>
      </w:r>
      <w:r>
        <w:rPr>
          <w:sz w:val="16"/>
        </w:rPr>
        <w:t>A Transaction will be initiated by Counterparty offering to buy or sell Products by clicking on the designated boxes on this website.  This website is not, and shall not be construed as, an offer to buy or sell by EPC.  EPC may accept or reject Counterparty’s offer at its sole discretion.  A Transaction shall be deemed executed at the time that EPC first signifies its acceptance of Counterparty’s offer, accessible on this website.  EPC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b/>
          <w:sz w:val="16"/>
        </w:rPr>
      </w:pPr>
      <w:r>
        <w:rPr>
          <w:b/>
          <w:sz w:val="16"/>
        </w:rPr>
      </w:r>
    </w:p>
    <w:p>
      <w:pPr>
        <w:pStyle w:val="Normal"/>
        <w:tabs>
          <w:tab w:val="clear" w:pos="720"/>
          <w:tab w:val="left" w:pos="-720" w:leader="none"/>
        </w:tabs>
        <w:suppressAutoHyphens w:val="true"/>
        <w:jc w:val="both"/>
        <w:rPr>
          <w:rFonts w:ascii="Arial" w:hAnsi="Arial" w:cs="Arial"/>
          <w:sz w:val="16"/>
        </w:rPr>
      </w:pPr>
      <w:r>
        <w:rPr>
          <w:b/>
          <w:sz w:val="16"/>
        </w:rPr>
        <w:t>1.3</w:t>
      </w:r>
      <w:r>
        <w:rPr>
          <w:sz w:val="16"/>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 w:val="left" w:pos="450" w:leader="none"/>
          <w:tab w:val="left" w:pos="900" w:leader="none"/>
        </w:tabs>
        <w:spacing w:before="0" w:after="64"/>
        <w:jc w:val="both"/>
        <w:rPr>
          <w:rFonts w:ascii="Arial" w:hAnsi="Arial" w:cs="Arial"/>
          <w:b/>
          <w:sz w:val="18"/>
        </w:rPr>
      </w:pPr>
      <w:r>
        <w:rPr>
          <w:rFonts w:cs="Arial" w:ascii="Arial" w:hAnsi="Arial"/>
          <w:b/>
          <w:sz w:val="18"/>
        </w:rPr>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2</w:t>
      </w:r>
      <w:r>
        <w:rPr>
          <w:sz w:val="16"/>
          <w:u w:val="single"/>
          <w:b/>
        </w:rPr>
        <w:fldChar w:fldCharType="end"/>
      </w:r>
      <w:r>
        <w:rPr>
          <w:b/>
          <w:sz w:val="16"/>
          <w:u w:val="single"/>
        </w:rPr>
        <w:tab/>
        <w:t>ALTERNATE INDEX.</w:t>
      </w:r>
    </w:p>
    <w:p>
      <w:pPr>
        <w:pStyle w:val="Normal"/>
        <w:tabs>
          <w:tab w:val="clear" w:pos="720"/>
          <w:tab w:val="left" w:pos="-720" w:leader="none"/>
          <w:tab w:val="left" w:pos="450" w:leader="none"/>
          <w:tab w:val="left" w:pos="900" w:leader="none"/>
        </w:tabs>
        <w:spacing w:before="0" w:after="64"/>
        <w:jc w:val="both"/>
        <w:rPr/>
      </w:pPr>
      <w:r>
        <w:rPr>
          <w:b/>
          <w:sz w:val="16"/>
        </w:rPr>
        <w:t>2.1</w:t>
        <w:tab/>
      </w:r>
      <w:r>
        <w:rPr>
          <w:sz w:val="16"/>
        </w:rPr>
        <w:t>In the case of a sale, purchase, or exchange of Product for which any part of the Contract Price is determined by reference to an index, if such index becomes unavailable in the future the Parties agree promptly and in good faith to negotiate a mutually satisfactory alternate index or substitute methodology for calculating the Contract Price (the "Alternate Index").  If, on or before thirty (30) Days after the index used to determine the Contract Price ceases to be available, the Parties are unable to agree on an Alternate Index, the Parties shall submit such determination to arbitration in accordance with the provisions of Section 27 of this Agreement, which arbitration procedure will determine the Alternate Index.  From the date on which the index price used to determine the Contract Price ceases to be available until the Alternate Index is determined, the Contract Price shall be the average of the Contract Price in effect (or that would have been in effect) during the twelve (12) Months preceding the Month in which the index upon which the Contract Price was based ceased to be available, which price shall be effective until the effective date of the Alternate Index determined as set forth in this Section 2.  Upon the determination of an Alternate Index, the Contract Price will be adjusted retroactively to the date on which the index upon which the Contract Price previously was based ceased to be available.</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3</w:t>
      </w:r>
      <w:r>
        <w:rPr>
          <w:sz w:val="16"/>
          <w:u w:val="single"/>
          <w:b/>
        </w:rPr>
        <w:fldChar w:fldCharType="end"/>
      </w:r>
      <w:r>
        <w:rPr>
          <w:b/>
          <w:sz w:val="16"/>
          <w:u w:val="single"/>
        </w:rPr>
        <w:tab/>
        <w:t>SCHEDULING OF PRODUCT.</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3.1</w:t>
      </w:r>
      <w:r>
        <w:rPr>
          <w:sz w:val="16"/>
        </w:rPr>
        <w:tab/>
        <w:t>In the case of Product to be delivered into a truck, Buyer shall provide to Seller's distribution department, no later than one (1) Business Day in advance of each delivery date, notice that schedules the relevant delivery date, the number of trucks that Buyer will make available to receive Product, and the quantity of Product that Buyer is prepared to accept on such delivery date.</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3.2</w:t>
        <w:tab/>
      </w:r>
      <w:r>
        <w:rPr>
          <w:sz w:val="16"/>
        </w:rPr>
        <w:t>In the case of Product to be delivered into a rail car, Buyer shall provide to Seller's distribution department, no later than five (5) Days prior to the first Day of the Month in which Buyer is prepared to accept delivery of Product, written notice that schedules a five (5) Day date range or date ranges during the relevant Month in which Buyer estimates that loading of Product will take place, the number and capacity of rail cars that will be available to receive Product, and the quantity of Product that Buyer is prepared to accept during the relevant Month.</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3.3</w:t>
      </w:r>
      <w:r>
        <w:rPr>
          <w:sz w:val="16"/>
        </w:rPr>
        <w:tab/>
        <w:t>In the case of Product to be delivered into a pipeline, Seller and Buyer will coordinate to schedule the delivery of the Product in accordance with the procedures of the relevant pipeline transporter.  If Buyer requests any changes to previously scheduled quantities, Seller shall endeavor to accommodate such changes, but shall not be liable under any provision hereof for failure to do so.</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3.4</w:t>
        <w:tab/>
      </w:r>
      <w:r>
        <w:rPr>
          <w:sz w:val="16"/>
        </w:rPr>
        <w:t>Nothing contained in this Section 3 shall be deemed to modify or amend in any way the quantities of Product that Seller is obligated to deliver and Buyer is obligated to accept under the terms of this Agreement.  To the extent flexibility is allowed by this Agreement for time or number of deliveries of Product, Seller and Buyer shall exchange such communications and otherwise cooperate to coordinate the periods and times for deliveries hereunder.</w:t>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4</w:t>
      </w:r>
      <w:r>
        <w:rPr>
          <w:sz w:val="16"/>
          <w:u w:val="single"/>
          <w:b/>
        </w:rPr>
        <w:fldChar w:fldCharType="end"/>
      </w:r>
      <w:r>
        <w:rPr>
          <w:b/>
          <w:sz w:val="16"/>
          <w:u w:val="single"/>
        </w:rPr>
        <w:tab/>
        <w:t>TAXES.</w:t>
      </w:r>
    </w:p>
    <w:p>
      <w:pPr>
        <w:pStyle w:val="Normal"/>
        <w:tabs>
          <w:tab w:val="clear" w:pos="720"/>
          <w:tab w:val="left" w:pos="-720" w:leader="none"/>
          <w:tab w:val="left" w:pos="450" w:leader="none"/>
          <w:tab w:val="left" w:pos="900" w:leader="none"/>
        </w:tabs>
        <w:spacing w:before="0" w:after="64"/>
        <w:jc w:val="both"/>
        <w:rPr/>
      </w:pPr>
      <w:r>
        <w:rPr>
          <w:b/>
          <w:sz w:val="16"/>
        </w:rPr>
        <w:t>4.1</w:t>
      </w:r>
      <w:r>
        <w:rPr>
          <w:sz w:val="16"/>
        </w:rPr>
        <w:tab/>
        <w:t>Seller shall be liable for and shall pay, or cause to be paid, or reimburse Buyer, if Buyer has paid, all Taxes (other than environmental Taxes, including, without limitation, Taxes imposed under Sections 4611, 4612, 4661, 4662, 4671 and 4672 and successor sections of the Internal Revenue Code) applicable to the Product sold hereunder upstream of the Delivery Point(s).  If Buyer is required to remit such Tax, the amount thereof shall be deducted from any sums becoming due to Seller hereunder.</w:t>
      </w:r>
    </w:p>
    <w:p>
      <w:pPr>
        <w:pStyle w:val="Normal"/>
        <w:tabs>
          <w:tab w:val="clear" w:pos="720"/>
          <w:tab w:val="left" w:pos="-720" w:leader="none"/>
          <w:tab w:val="left" w:pos="450" w:leader="none"/>
          <w:tab w:val="left" w:pos="900" w:leader="none"/>
        </w:tabs>
        <w:spacing w:before="0" w:after="64"/>
        <w:jc w:val="both"/>
        <w:rPr/>
      </w:pPr>
      <w:r>
        <w:rPr>
          <w:b/>
          <w:sz w:val="16"/>
        </w:rPr>
        <w:t>4.2</w:t>
      </w:r>
      <w:r>
        <w:rPr>
          <w:sz w:val="16"/>
        </w:rPr>
        <w:tab/>
        <w:t>Buyer shall be liable for and shall pay, cause to be paid, or reimburse Seller, if Seller has paid, all environmental Taxes and all Taxes applicable to the sale and/or delivery of Product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Product hereunder at the Delivery Point or environmental Taxes, Seller shall collect all such Taxes from Buyer, which shall be in addition to the Contract Price, and remit the same to the appropriate governmental authority.</w:t>
      </w:r>
    </w:p>
    <w:p>
      <w:pPr>
        <w:pStyle w:val="Normal"/>
        <w:tabs>
          <w:tab w:val="clear" w:pos="720"/>
          <w:tab w:val="left" w:pos="-720" w:leader="none"/>
          <w:tab w:val="left" w:pos="450" w:leader="none"/>
          <w:tab w:val="left" w:pos="900" w:leader="none"/>
        </w:tabs>
        <w:spacing w:before="0" w:after="64"/>
        <w:jc w:val="both"/>
        <w:rPr/>
      </w:pPr>
      <w:r>
        <w:rPr>
          <w:b/>
          <w:sz w:val="16"/>
        </w:rPr>
        <w:t>4.3</w:t>
      </w:r>
      <w:r>
        <w:rPr>
          <w:sz w:val="16"/>
        </w:rPr>
        <w:tab/>
        <w:t>Seller or Buyer shall indemnify, defend, and hold the other Party harmless from and against any liability with respect to Taxes for which the Seller or Buyer, as applicable, is liable hereunder.</w:t>
      </w:r>
    </w:p>
    <w:p>
      <w:pPr>
        <w:pStyle w:val="Normal"/>
        <w:tabs>
          <w:tab w:val="clear" w:pos="720"/>
          <w:tab w:val="left" w:pos="-720" w:leader="none"/>
          <w:tab w:val="left" w:pos="450" w:leader="none"/>
          <w:tab w:val="left" w:pos="900" w:leader="none"/>
        </w:tabs>
        <w:spacing w:before="0" w:after="64"/>
        <w:jc w:val="both"/>
        <w:rPr/>
      </w:pPr>
      <w:r>
        <w:rPr>
          <w:b/>
          <w:sz w:val="16"/>
        </w:rPr>
        <w:t>4.4</w:t>
      </w:r>
      <w:r>
        <w:rPr>
          <w:sz w:val="16"/>
        </w:rPr>
        <w:tab/>
        <w:t>While this Agreement remains in effect, Buyer shall pay to Seller on demand, from time to time, all amounts necessary to compensate Seller for any New Taxes incurred by Seller after the Effective Date of this Agreement, and Buyer shall indemnify, defend, and hold Seller free and harmless from and against any liability with respect to all such New Taxes.  Seller will notify Buyer of the enactment of any New Taxes as promptly as practicable after it obtains knowledge thereof.  Seller will furnish Buyer with a statement setting forth the basis and amount of each request by Seller for compensation under this Section 4.4.  If Buyer becomes obligated to indemnify Seller under this Section 4.4 pursuant to a written request from Seller for same, Buyer shall be entitled to declare the accrual of such obligation to indemnify to be a Triggering Event, to establish an Early Termination Date pursuant to Section 17 hereof, and terminate this Agreement in accordance with the provisions of Section 17; provided however, that in such case Seller shall be the "Notifying Party" and Buyer shall be the "Affected Party", both terms as defined in Section 17.</w:t>
      </w:r>
    </w:p>
    <w:p>
      <w:pPr>
        <w:pStyle w:val="Normal"/>
        <w:tabs>
          <w:tab w:val="clear" w:pos="720"/>
          <w:tab w:val="left" w:pos="-720" w:leader="none"/>
          <w:tab w:val="left" w:pos="450" w:leader="none"/>
          <w:tab w:val="left" w:pos="900" w:leader="none"/>
        </w:tabs>
        <w:spacing w:before="0" w:after="64"/>
        <w:jc w:val="both"/>
        <w:rPr/>
      </w:pPr>
      <w:r>
        <w:rPr>
          <w:b/>
          <w:sz w:val="16"/>
        </w:rPr>
        <w:t>4.5</w:t>
      </w:r>
      <w:r>
        <w:rPr>
          <w:sz w:val="16"/>
        </w:rPr>
        <w:tab/>
        <w:t>To claim an exemption from payment of a Tax, a Party shall provide a certificate of exemption or other reasonably satisfactory evidence of exemption from any Tax.  Buyer acknowledges receipt of the disclosure statement from Seller (as set forth in Section 4101 of the Internal Revenue Code of 1986) or is knowledgeable of the contents thereof.</w:t>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5</w:t>
      </w:r>
      <w:r>
        <w:rPr>
          <w:sz w:val="16"/>
          <w:u w:val="single"/>
          <w:b/>
        </w:rPr>
        <w:fldChar w:fldCharType="end"/>
      </w:r>
      <w:r>
        <w:rPr>
          <w:b/>
          <w:sz w:val="16"/>
          <w:u w:val="single"/>
        </w:rPr>
        <w:tab/>
        <w:t>FORCE MAJEURE.</w:t>
      </w:r>
    </w:p>
    <w:p>
      <w:pPr>
        <w:pStyle w:val="Normal"/>
        <w:tabs>
          <w:tab w:val="clear" w:pos="720"/>
          <w:tab w:val="left" w:pos="-720" w:leader="none"/>
          <w:tab w:val="left" w:pos="450" w:leader="none"/>
          <w:tab w:val="left" w:pos="900" w:leader="none"/>
        </w:tabs>
        <w:spacing w:before="0" w:after="64"/>
        <w:jc w:val="both"/>
        <w:rPr/>
      </w:pPr>
      <w:r>
        <w:rPr>
          <w:b/>
          <w:sz w:val="16"/>
        </w:rPr>
        <w:t>5.1</w:t>
        <w:tab/>
      </w:r>
      <w:r>
        <w:rPr>
          <w:sz w:val="16"/>
        </w:rPr>
        <w:t>No failure or omission by either Party hereto in the performance of any obligation under this Agreement (except failure or delay of either Party to pay any amount as and when due and indemnity obligations) shall be considered a breach of contract, or create any liability for damages, if and to the extent same shall arise from any event of Force Majeure.  No curtailment or suspension of either Party's obligations as a result of Force Majeure shall operate to extend the term of this Agreement, unless otherwise specified in this Agreement.  Force Majeure shall include an event of Force Majeure with respect to third parties, including, without limitation, Seller's source of supply, Seller's or Buyer's transporter, or third-party storage or terminal facilities.  When EPC is Seller, Buyer acknowledges that Seller is not a producer of Product.  If, because of any circumstances of Force Majeure, Seller is unable to fulfill its obligation to deliver Product to Buyer and Seller's other customers, Seller shall allocate its available supply from the source of the Product sold hereunder in such a manner to enable Seller to fulfill its existing commitments to Buyer, to Seller's other customers, and for Seller's internal requirements from that source in an equitable manner.</w:t>
      </w:r>
    </w:p>
    <w:p>
      <w:pPr>
        <w:pStyle w:val="Normal"/>
        <w:tabs>
          <w:tab w:val="clear" w:pos="720"/>
          <w:tab w:val="left" w:pos="-720" w:leader="none"/>
          <w:tab w:val="left" w:pos="450" w:leader="none"/>
          <w:tab w:val="left" w:pos="900" w:leader="none"/>
        </w:tabs>
        <w:spacing w:before="0" w:after="64"/>
        <w:jc w:val="both"/>
        <w:rPr/>
      </w:pPr>
      <w:r>
        <w:rPr>
          <w:b/>
          <w:sz w:val="16"/>
        </w:rPr>
        <w:t>5.2</w:t>
      </w:r>
      <w:r>
        <w:rPr>
          <w:sz w:val="16"/>
        </w:rPr>
        <w:tab/>
        <w:t>In the event of a Force Majeure occurrence, the Party whose performance is prevented by any such occurrence shall notify the other Party, in writing, as soon as reasonably possible and shall use reasonable endeavors to remedy the situation as soon as possible; provided, however, that the settlement of strikes or lockouts shall be entirely within the discretion of the Party whose performance has been prevented by the Force Majeure occurrence, and the foregoing requirement of reasonable endeavors to remedy the situation shall not require the settlement of strikes or lockouts when such course is inadvisable in the sole discretion of the Party whose performance has been prevented by the Force Majeure occurrence.</w:t>
      </w:r>
    </w:p>
    <w:p>
      <w:pPr>
        <w:pStyle w:val="Normal"/>
        <w:tabs>
          <w:tab w:val="clear" w:pos="720"/>
          <w:tab w:val="left" w:pos="-720" w:leader="none"/>
          <w:tab w:val="left" w:pos="450" w:leader="none"/>
          <w:tab w:val="left" w:pos="900" w:leader="none"/>
        </w:tabs>
        <w:spacing w:before="0" w:after="64"/>
        <w:jc w:val="both"/>
        <w:rPr/>
      </w:pPr>
      <w:r>
        <w:rPr>
          <w:b/>
          <w:sz w:val="16"/>
        </w:rPr>
        <w:t>5.3</w:t>
        <w:tab/>
      </w:r>
      <w:r>
        <w:rPr>
          <w:sz w:val="16"/>
        </w:rPr>
        <w:t>The Party whose performance is prevented by Force Majeure shall, to the extent so affected and while such circumstances persist, have the right not to deliver or receive, as applicable, all or any portion of Product.  In such event, the total quantity of Product deliverable or receivable under this Agreement shall be reduced by the quantity not delivered or received, as applicable.</w:t>
      </w:r>
    </w:p>
    <w:p>
      <w:pPr>
        <w:pStyle w:val="Normal"/>
        <w:tabs>
          <w:tab w:val="clear" w:pos="720"/>
          <w:tab w:val="left" w:pos="-720" w:leader="none"/>
          <w:tab w:val="left" w:pos="450" w:leader="none"/>
          <w:tab w:val="left" w:pos="900" w:leader="none"/>
        </w:tabs>
        <w:spacing w:before="0" w:after="64"/>
        <w:jc w:val="both"/>
        <w:rPr/>
      </w:pPr>
      <w:r>
        <w:rPr>
          <w:b/>
          <w:sz w:val="16"/>
        </w:rPr>
        <w:t>5.4</w:t>
      </w:r>
      <w:r>
        <w:rPr>
          <w:sz w:val="16"/>
        </w:rPr>
        <w:tab/>
        <w:t>Seller shall not be obliged to purchase Product for delivery and sale hereunder from any other party in order to replace the amount of Product that is not delivered on time as a result of Force Majeure.</w:t>
      </w:r>
    </w:p>
    <w:p>
      <w:pPr>
        <w:pStyle w:val="Normal"/>
        <w:tabs>
          <w:tab w:val="clear" w:pos="720"/>
          <w:tab w:val="left" w:pos="-720" w:leader="none"/>
          <w:tab w:val="left" w:pos="450" w:leader="none"/>
          <w:tab w:val="left" w:pos="900" w:leader="none"/>
        </w:tabs>
        <w:spacing w:before="0" w:after="64"/>
        <w:jc w:val="both"/>
        <w:rPr/>
      </w:pPr>
      <w:r>
        <w:rPr>
          <w:b/>
          <w:sz w:val="16"/>
        </w:rPr>
        <w:t>5.5</w:t>
      </w:r>
      <w:r>
        <w:rPr>
          <w:sz w:val="16"/>
        </w:rPr>
        <w:tab/>
        <w:t>Notwithstanding any other provision of this Agreement to the contrary, if Buyer is regulated by a federal or state regulatory body and such body shall dispute or disallow Buyer's authority to collect or pass through all or any portion of any amounts payable or to become payable by Buyer under any provision of this Agreement, such action shall not operate to excuse Buyer from performance of any obligation nor shall such action give rise to any right of Buyer to any refund or retroactive adjustment of the Contract Price.</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6</w:t>
      </w:r>
      <w:r>
        <w:rPr>
          <w:sz w:val="16"/>
          <w:u w:val="single"/>
          <w:b/>
        </w:rPr>
        <w:fldChar w:fldCharType="end"/>
      </w:r>
      <w:r>
        <w:rPr>
          <w:b/>
          <w:sz w:val="16"/>
          <w:u w:val="single"/>
        </w:rPr>
        <w:tab/>
        <w:t>INDEMNITY.</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6.1</w:t>
        <w:tab/>
      </w:r>
      <w:r>
        <w:rPr>
          <w:sz w:val="16"/>
        </w:rPr>
        <w:t>To the fullest extent permissible by law, Seller agrees (regardless of the presence or absence of insurance) to indemnify, defend with counsel of Seller's choice, and hold Buyer harmless from and against any and all Claims (including injury to and death of persons, but exclusive of consequential, incidental, punitive, exemplary and indirect damages) arising from any act or incident occurring upstream of the Delivery Point(s), or the secondary Delivery Point, as the case may be, prior to commencement of that particular delivery of Product hereunder from which the Claim arises.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6.2</w:t>
      </w:r>
      <w:r>
        <w:rPr>
          <w:sz w:val="16"/>
        </w:rPr>
        <w:tab/>
        <w:t>To the fullest extent permissible by law, Buyer agrees (regardless of the presence or absence of insurance) to indemnify, defend with counsel of Buyer's choice, and hold Seller harmless from and against any and all Claims (including injury to and death of persons, but exclusive of consequential, incidental, punitive, exemplary and indirect damages) arising from any act or incident occurring at or downstream from the Delivery Point(s), or the secondary Delivery Point, as the case may be, following commencement of that particular delivery of Product hereunder from which the Claim arises.</w:t>
      </w:r>
    </w:p>
    <w:p>
      <w:pPr>
        <w:pStyle w:val="Normal"/>
        <w:tabs>
          <w:tab w:val="clear" w:pos="720"/>
          <w:tab w:val="left" w:pos="-720" w:leader="none"/>
          <w:tab w:val="left" w:pos="0" w:leader="none"/>
          <w:tab w:val="left" w:pos="450" w:leader="none"/>
          <w:tab w:val="left" w:pos="900" w:leader="none"/>
        </w:tabs>
        <w:spacing w:before="0" w:after="64"/>
        <w:jc w:val="both"/>
        <w:rPr>
          <w:b/>
          <w:sz w:val="16"/>
        </w:rPr>
      </w:pPr>
      <w:r>
        <w:rPr>
          <w:b/>
          <w:sz w:val="16"/>
        </w:rPr>
        <w:t>6.3</w:t>
        <w:tab/>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OR THE STRICT LIABILITY OF ANY INDEMNIFIED PARTY.</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7</w:t>
      </w:r>
      <w:r>
        <w:rPr>
          <w:sz w:val="16"/>
          <w:u w:val="single"/>
          <w:b/>
        </w:rPr>
        <w:fldChar w:fldCharType="end"/>
      </w:r>
      <w:r>
        <w:rPr>
          <w:b/>
          <w:sz w:val="16"/>
          <w:u w:val="single"/>
        </w:rPr>
        <w:tab/>
        <w:t>RULES AND REGULATIONS.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7.1</w:t>
      </w:r>
      <w:r>
        <w:rPr>
          <w:sz w:val="16"/>
        </w:rPr>
        <w:tab/>
        <w:t>Seller agrees that unless specifically exempted, all Products, commodities or services furnished hereunder, to the extent manufactured, processed, delivered and/or performed by Seller, have been manufactured, processed, delivered and/or performed in full compliance with all applicable laws and regulations as such may be amended or superseded from time to time, including, but not limited to, the Civil Rights Act of 1964, as amended, the Equal Pay Act, as amended, the Age Discrimination in Employment Act, as amended, Executive Orders 11246 and 11141 (Title 41, Chapter 60, Code of Federal Regulations), the Vietnam Era Readjustment Act of 1974, the Rehabilitation Act of 1973, Executive Order 11758 (48 CFR Part 52), The Americans with Disabilities Act, and all regulations, rules, and orders thereunder.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8</w:t>
      </w:r>
      <w:r>
        <w:rPr>
          <w:sz w:val="16"/>
          <w:u w:val="single"/>
          <w:b/>
        </w:rPr>
        <w:fldChar w:fldCharType="end"/>
      </w:r>
      <w:r>
        <w:rPr>
          <w:b/>
          <w:sz w:val="16"/>
          <w:u w:val="single"/>
        </w:rPr>
        <w:tab/>
        <w:t>NOTICES: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8.1</w:t>
      </w:r>
      <w:r>
        <w:rPr>
          <w:sz w:val="16"/>
        </w:rPr>
        <w:tab/>
        <w:t>Any notices and communications to be given under this Agreement shall be in writing and shall be deemed duly given or made if sent by facsimile, delivered by hand, or if sent by mail, upon deposit in the United States mail, either U.S. Express Mail, registered mail  or certified mail, with all postage fully prepaid, or if sent by courier, by delivery to a bonded courier with charges paid in accordance with the customary arrangements established by such courier, in each case addressed to a Party at its address set forth in the Special Terms and Conditions.  A notice sent by facsimile shall be deemed to have been received by the close of the Business Day following the Day on which it was transmitted and confirmed by transmission report or such earlier time as confirmed orally or in writing by the receiving Party.  Notice by U.S. Mail or by overnight courier shall be deemed to have been received by the close of the second Business Day after the day upon which it was sent, or such earlier time as is confirmed orally or in writing by the receiving Party.  Any Party may change its address or facsimile number by giving notice of such change in accordance herewith.</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9</w:t>
      </w:r>
      <w:r>
        <w:rPr>
          <w:sz w:val="16"/>
          <w:u w:val="single"/>
          <w:b/>
        </w:rPr>
        <w:fldChar w:fldCharType="end"/>
      </w:r>
      <w:r>
        <w:rPr>
          <w:b/>
          <w:sz w:val="16"/>
          <w:u w:val="single"/>
        </w:rPr>
        <w:tab/>
        <w:t>TITLE AND RISK OF LOSS.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9.1</w:t>
      </w:r>
      <w:r>
        <w:rPr>
          <w:sz w:val="16"/>
        </w:rPr>
        <w:tab/>
        <w:t>Subject to the provisions of Section 6 and Section 9.2 of these General Terms, title to and exclusive possession and control of the Product delivered hereunder shall pass from Seller to Buyer upon the commencement of delivery of such Product at the Delivery Point.  Buyer shall be responsible for all risk of loss, damage or liability associated with the Product to the extent that any such risk of loss, damage or liability arises from acts or omissions occurring at or downstream of the Delivery Point(s) or the secondary Delivery Point, as the case may be, following commencement of delivery of such Product 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9.2</w:t>
      </w:r>
      <w:r>
        <w:rPr>
          <w:sz w:val="16"/>
        </w:rPr>
        <w:tab/>
        <w:t>Notwithstanding the provisions of Section 9.1, but subject to the indemnification provisions of Section 6, in the event delivery of the Product sold hereunder is by in-storage transfer of Product located in a storage facility (other than a vessel) wholly owned by Seller or leased by Seller and in which Buyer owns no interest (leased or otherwise), title to the Product shall pass from Seller to Buyer at the point in time when such in-storage transfer shall be deemed to have occurred as provided in Section 10.  Exclusive possession and control of such Product shall not pass from Seller to Buyer, however, until the commencement of delivery of such Product to Buyer at the secondary Delivery Point specified below in Section 10.</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9.3</w:t>
        <w:tab/>
      </w:r>
      <w:r>
        <w:rPr>
          <w:sz w:val="16"/>
        </w:rPr>
        <w:t>Upon the passage to Buyer of title to the Product, or commencement of Buyer's responsibility for the risk of loss, damage and liability associated with the Product, whichever first occurs hereunder,</w:t>
      </w:r>
      <w:r>
        <w:rPr>
          <w:b/>
          <w:sz w:val="16"/>
        </w:rPr>
        <w:t xml:space="preserve"> BUYER SHALL OBTAIN AND MAINTAIN IN FULL FORCE AND EFFECT INSURANCE COVERAGE IN AMOUNTS ADEQUATE TO INSURE AGAINST ANY LOSS OR DAMAGE ASSOCIATED WITH THE OWNERSHIP, CONTROL AND POSSESSION OF THE PRODUCT, INCLUDING, BUT NOT LIMITED TO, LOSS OF PRODUCT, DAMAGE TO PROPERTY, INJURY AND/OR DEATH TO PERSONS, CONTRACTUAL LIABILITY FOR INDEMNITIES UNDER THIS AGREEMENT, AND ENVIRONMENTAL LIABILITIES.  BUYER AGREES TO REQUIRE ANY POLICIES FOR SUCH INSURANCE COVERAGE TO INCLUDE CLAUSES PROVIDING THAT EACH UNDERWRITER SHALL WAIVE ITS RIGHT OF RECOVERY, UNDER SUBROGATION OR OTHERWISE, AGAINST SELLER, ITS AFFILIATES, AND ITS AND THEIR DIRECTORS, OFFICERS, EMPLOYEES AND AGENTS.</w:t>
      </w:r>
      <w:r>
        <w:rPr>
          <w:sz w:val="16"/>
        </w:rPr>
        <w:t xml:space="preserve">  When EPC is Buyer under this Agreement, EPC shall have the right to self insure all or any part of such insurance coverage.  Seller shall have no responsibility for insuring Buyer's Product and property nor other persons and property of others with respect to occurrences following commencement of delivery of the Product at the Delivery Point(s).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10.</w:t>
        <w:tab/>
        <w:t>DELIVERY POINTS.</w:t>
      </w:r>
    </w:p>
    <w:p>
      <w:pPr>
        <w:pStyle w:val="Normal"/>
        <w:tabs>
          <w:tab w:val="clear" w:pos="720"/>
          <w:tab w:val="left" w:pos="-720" w:leader="none"/>
          <w:tab w:val="left" w:pos="450" w:leader="none"/>
          <w:tab w:val="left" w:pos="900" w:leader="none"/>
        </w:tabs>
        <w:spacing w:before="0" w:after="64"/>
        <w:jc w:val="both"/>
        <w:rPr/>
      </w:pPr>
      <w:r>
        <w:rPr>
          <w:b/>
          <w:sz w:val="16"/>
        </w:rPr>
        <w:t>10.1</w:t>
        <w:tab/>
      </w:r>
      <w:r>
        <w:rPr>
          <w:sz w:val="16"/>
        </w:rPr>
        <w:t>The Delivery Location of the Product sold hereunder shall be at the geographic location agreed upon by the Parties and set forth in the Special Terms and Conditions.  The Delivery Point or Delivery Points at such geographic location will be determined in accordance with the provisions of this Section 10 unless otherwise specified in the Special Terms and Conditions.  In the event that EPC, as Seller, agrees to provide transportation services incident to the sale of Product under this Agreement, the Delivery Point shall be determined in accordance with the provisions of EPC Marine Provisions, unless otherwise agreed by the Parties in the Special Terms and Conditions.</w:t>
      </w:r>
    </w:p>
    <w:p>
      <w:pPr>
        <w:pStyle w:val="Normal"/>
        <w:tabs>
          <w:tab w:val="clear" w:pos="720"/>
          <w:tab w:val="left" w:pos="-720" w:leader="none"/>
          <w:tab w:val="left" w:pos="450" w:leader="none"/>
          <w:tab w:val="left" w:pos="900" w:leader="none"/>
        </w:tabs>
        <w:spacing w:before="0" w:after="64"/>
        <w:jc w:val="both"/>
        <w:rPr/>
      </w:pPr>
      <w:r>
        <w:rPr>
          <w:b/>
          <w:sz w:val="16"/>
        </w:rPr>
        <w:t>10.2</w:t>
      </w:r>
      <w:r>
        <w:rPr>
          <w:sz w:val="16"/>
        </w:rPr>
        <w:tab/>
        <w:t>In the event delivery is to be to or from a pipeline, the Delivery Point shall be located, and delivery of Product shall be deemed to occur, at the point at which Product passes the pipeline meter.  If pipeline delivery is by in-line inventory transfer, delivery shall be deemed to occur on the date that the relevant pipeline carrier advises Buyer and Seller, by product transfer order, book transfer, or letter of transfer, that Product shall be transferred to Buyer's account, and the Delivery Point shall be the location of the Product in the pipeline of the pipeline carrier on the Day and time that such in-line transfer of Product is deemed to occur.  The Parties hereto understand and agree that Seller has no control over the operations of the pipeline carrier and therefore cannot control when Product transfer to Buyer's account by the pipeline carrier will, in fact, occur.</w:t>
      </w:r>
    </w:p>
    <w:p>
      <w:pPr>
        <w:pStyle w:val="Normal"/>
        <w:tabs>
          <w:tab w:val="clear" w:pos="720"/>
          <w:tab w:val="left" w:pos="-720" w:leader="none"/>
          <w:tab w:val="left" w:pos="450" w:leader="none"/>
          <w:tab w:val="left" w:pos="900" w:leader="none"/>
        </w:tabs>
        <w:spacing w:before="0" w:after="64"/>
        <w:jc w:val="both"/>
        <w:rPr/>
      </w:pPr>
      <w:r>
        <w:rPr>
          <w:b/>
          <w:sz w:val="16"/>
        </w:rPr>
        <w:t>10.3</w:t>
      </w:r>
      <w:r>
        <w:rPr>
          <w:sz w:val="16"/>
        </w:rPr>
        <w:tab/>
        <w:t>In the event delivery is to be by or into a rail car or truck owned, operated, leased or hired by Buyer, the Delivery Point shall be located, and delivery of Product shall be deemed to occur, at the point at which the Product passes from the flange connecting the delivering facility to Buyer's owned, operated, leased or hired rail car or truck, whether said rail car or truck is loaded by Buyer directly or on behalf of Buyer through Buyer's agent.</w:t>
      </w:r>
    </w:p>
    <w:p>
      <w:pPr>
        <w:pStyle w:val="Normal"/>
        <w:tabs>
          <w:tab w:val="clear" w:pos="720"/>
          <w:tab w:val="left" w:pos="-720" w:leader="none"/>
          <w:tab w:val="left" w:pos="450" w:leader="none"/>
          <w:tab w:val="left" w:pos="900" w:leader="none"/>
        </w:tabs>
        <w:spacing w:before="0" w:after="64"/>
        <w:jc w:val="both"/>
        <w:rPr/>
      </w:pPr>
      <w:r>
        <w:rPr>
          <w:b/>
          <w:sz w:val="16"/>
        </w:rPr>
        <w:t>10.4</w:t>
        <w:tab/>
      </w:r>
      <w:r>
        <w:rPr>
          <w:sz w:val="16"/>
        </w:rPr>
        <w:t>In the event delivery is into or from a storage facility (other than from a vessel), except as provided below in this Section 10, the Delivery Point shall be located, and delivery of Product shall be deemed to occur, at the point at which the Product passes the flange between the delivering or receiving line of the storage facility and the receiving or delivering equipment, as applicable.  If delivery is by in-storage transfer, delivery of Product shall be deemed to occur on the date that the operator of the storage facility advises Buyer and Seller by product transfer order, book transfer, or letter of transfer, that Product shall be transferred to Buyer's account, and the Delivery Point shall be the storage facility in which the Product is then located; provided, however, that in the case of an in-storage transfer of Product located in a storage facility wholly owned by Seller or leased by Seller and in which Buyer owns no interest (leased or otherwise), for purposes of determining when possession and control of the Product in storage and the risk of loss, damage, and liability associated therewith passes from Seller to Buyer as provided in Section 9.2, the secondary Delivery Point shall be the point at which the Product passes the discharge flange of Seller's owned or leased storage facility connecting the delivering line to the receiving line.  To the extent that Seller does not operate the storage facility, the Parties hereto understand and agree that Seller cannot control when the Product transfer to Buyer's account by the storage facility will, in fact, occur.</w:t>
      </w:r>
    </w:p>
    <w:p>
      <w:pPr>
        <w:pStyle w:val="Normal"/>
        <w:tabs>
          <w:tab w:val="clear" w:pos="720"/>
          <w:tab w:val="left" w:pos="-720" w:leader="none"/>
          <w:tab w:val="left" w:pos="450" w:leader="none"/>
          <w:tab w:val="left" w:pos="900" w:leader="none"/>
        </w:tabs>
        <w:spacing w:before="0" w:after="64"/>
        <w:jc w:val="both"/>
        <w:rPr/>
      </w:pPr>
      <w:r>
        <w:rPr>
          <w:b/>
          <w:sz w:val="16"/>
        </w:rPr>
        <w:t>10.5</w:t>
      </w:r>
      <w:r>
        <w:rPr>
          <w:sz w:val="16"/>
        </w:rPr>
        <w:tab/>
        <w:t>In the event that delivery of any Product hereunder is to be accomplished by waterborne transportation, the EPC Marine Provisions shall apply, unless otherwise agreed by the Parties in the Special Terms and Conditions.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11.</w:t>
        <w:tab/>
        <w:t>MEASUREMENT.</w:t>
      </w:r>
    </w:p>
    <w:p>
      <w:pPr>
        <w:pStyle w:val="Normal"/>
        <w:tabs>
          <w:tab w:val="clear" w:pos="720"/>
          <w:tab w:val="left" w:pos="-720" w:leader="none"/>
          <w:tab w:val="left" w:pos="450" w:leader="none"/>
          <w:tab w:val="left" w:pos="900" w:leader="none"/>
        </w:tabs>
        <w:spacing w:before="0" w:after="64"/>
        <w:jc w:val="both"/>
        <w:rPr/>
      </w:pPr>
      <w:r>
        <w:rPr>
          <w:b/>
          <w:sz w:val="16"/>
        </w:rPr>
        <w:t>11.1</w:t>
        <w:tab/>
      </w:r>
      <w:r>
        <w:rPr>
          <w:sz w:val="16"/>
        </w:rPr>
        <w:t>The quantity of Product delivered hereunder shall be measured as follows:  (a) on all deliveries into or out of rail cars, the quantity shall be determined by official tank car capacity tables, meters, or scales in accordance with generally accepted industry practice; (b) on all deliveries into or out of truck equipment, quantities shall be determined by meter or weighing, in accordance with generally accepted industry practice; (c) on all deliveries into or out of pipelines, quantities shall be determined by pipeline meter in accordance with the American Petroleum Institute ("API") Manual of Petroleum Measurement Standards; (d) on all deliveries into or out of shore tanks, quantities shall be determined by either meter or gauge from a static tank in accordance with the API Manual of Petroleum Measurement Standards and based upon the practice of the relevant terminal.  All quantities shall be corrected to standard  conditions of 60° Fahrenheit and equilibrium vapor pressure in accordance with the API Manual of Petroleum Measurement Standards, Chapter 14, Section B.</w:t>
      </w:r>
    </w:p>
    <w:p>
      <w:pPr>
        <w:pStyle w:val="Normal"/>
        <w:tabs>
          <w:tab w:val="clear" w:pos="720"/>
          <w:tab w:val="left" w:pos="-720" w:leader="none"/>
          <w:tab w:val="left" w:pos="450" w:leader="none"/>
          <w:tab w:val="left" w:pos="900" w:leader="none"/>
        </w:tabs>
        <w:spacing w:before="0" w:after="64"/>
        <w:jc w:val="both"/>
        <w:rPr/>
      </w:pPr>
      <w:r>
        <w:rPr>
          <w:b/>
          <w:sz w:val="16"/>
        </w:rPr>
        <w:t>11.2</w:t>
      </w:r>
      <w:r>
        <w:rPr>
          <w:sz w:val="16"/>
        </w:rPr>
        <w:tab/>
        <w:t>The quantity and quality of Product covered by this Agreement shall be measured according to the current versions of the applicable standards of API and the American Society for Testing Materials, if available.  Inspection procedures relating to quantity and quality of Product delivered hereunder shall be as set forth in the Special Terms and Conditions.  Each Party shall be entitled to have its representatives present during all loadings, unloadings, tests and measurements involving Product delivered hereunder.  To the extent no inspection procedures are specified, or if the Parties cannot agree on measurement or quality test results, the measurements and quality tests required to determine the volume of receipts or shipments or the conformity of the Product delivered to the specifications set forth in the Special Terms and Conditions shall be made by an independent inspector selected jointly by the Parties, the cost of which shall be shared equally by the Parties. Such inspector's determinations of quantity and quality shall be conclusive and binding on both Parties, except to the extent shown by either Party to be erroneous under current standards in the industry.</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12.</w:t>
        <w:tab/>
        <w:t>DAMAGES AND LIMITATIONS.</w:t>
      </w:r>
    </w:p>
    <w:p>
      <w:pPr>
        <w:pStyle w:val="Normal"/>
        <w:tabs>
          <w:tab w:val="clear" w:pos="720"/>
          <w:tab w:val="left" w:pos="-720" w:leader="none"/>
          <w:tab w:val="left" w:pos="450" w:leader="none"/>
          <w:tab w:val="left" w:pos="900" w:leader="none"/>
        </w:tabs>
        <w:spacing w:before="0" w:after="64"/>
        <w:jc w:val="both"/>
        <w:rPr/>
      </w:pPr>
      <w:r>
        <w:rPr>
          <w:b/>
          <w:sz w:val="16"/>
        </w:rPr>
        <w:t>12.1</w:t>
        <w:tab/>
      </w:r>
      <w:r>
        <w:rPr>
          <w:sz w:val="16"/>
        </w:rPr>
        <w:t xml:space="preserve">Unless performance is excused by another provision of this Agreement, if Seller fails to deliver the minimum quantity of Product that Seller is obligated to deliver within a Delivery Period, Seller shall pay to Buyer, within ten (10) Days after Seller's receipt of Buyer's invoice therefor, an amount equal to the sum of the following amounts: (a) the arithmetic product obtained by multiplying (i) the difference between the quantity of Product actually delivered by Seller and the minimum quantity of Product that Seller is obligated to deliver (the "Seller Deficiency Quantity") by (ii) the positive difference, if any, obtained by subtracting the Contract Price from the cost to Buyer of Product, including incremental transportation and storage costs, to replace the Seller Deficiency Quantity pursuant to an arms-length purchase of such Product from a third party; </w:t>
      </w:r>
      <w:r>
        <w:rPr>
          <w:sz w:val="16"/>
          <w:u w:val="single"/>
        </w:rPr>
        <w:t>plus</w:t>
      </w:r>
      <w:r>
        <w:rPr>
          <w:sz w:val="16"/>
        </w:rPr>
        <w:t xml:space="preserve"> (b) an amount, as liquidated damages, equal to two cents per Gallon ($0.02/Gallon) multiplied by the Seller Deficiency Quantity to cover Buyer's administrative and operational costs and expenses.</w:t>
      </w:r>
    </w:p>
    <w:p>
      <w:pPr>
        <w:pStyle w:val="Normal"/>
        <w:tabs>
          <w:tab w:val="clear" w:pos="720"/>
          <w:tab w:val="left" w:pos="-720" w:leader="none"/>
          <w:tab w:val="left" w:pos="450" w:leader="none"/>
          <w:tab w:val="left" w:pos="900" w:leader="none"/>
        </w:tabs>
        <w:spacing w:before="0" w:after="64"/>
        <w:jc w:val="both"/>
        <w:rPr/>
      </w:pPr>
      <w:r>
        <w:rPr>
          <w:b/>
          <w:sz w:val="16"/>
        </w:rPr>
        <w:t>12.2</w:t>
        <w:tab/>
      </w:r>
      <w:r>
        <w:rPr>
          <w:sz w:val="16"/>
        </w:rPr>
        <w:t xml:space="preserve">Unless performance is excused by another provision of this Agreement, if Seller delivers to Buyer within a Delivery Period Product that does not conform to the quality specifications set forth in the Special Terms and Conditions or that is otherwise defective (the "Non-Conforming Quantity"), Buyer shall be entitled to reject such Non-Conforming Quantity and return the same to Seller.  All costs and expenses associated with any such return of the Non-Conforming Quantity to Seller shall be borne by Seller.  If Buyer elects to reject any Non-Conforming Quantity, Buyer shall be entitled to payment by Seller, within ten (10) Days after Seller's receipt of Buyer's invoice therefor, of an amount equal to the sum of the following amounts:  (a) the arithmetic product obtained by multiplying (i) the Non-Conforming Quantity by (ii) the positive difference, if any, obtained by subtracting the Contract Price from the cost to Buyer of Product, including incremental transportation and storage costs, to replace the Non-Conforming Quantity pursuant to an arms-length purchase from a third party of Product that conforms to the quality specifications set forth in the Special Terms and Conditions; </w:t>
      </w:r>
      <w:r>
        <w:rPr>
          <w:sz w:val="16"/>
          <w:u w:val="single"/>
        </w:rPr>
        <w:t>plus</w:t>
      </w:r>
      <w:r>
        <w:rPr>
          <w:sz w:val="16"/>
        </w:rPr>
        <w:t xml:space="preserve"> (b) an amount, as liquidated damages, equal to two cents per Gallon ($0.02/Gallon) multiplied by the Non-Conforming Quantity to cover Buyer's administrative and operational costs and expenses.  If Buyer elects to accept any Non-Conforming Quantity, Buyer may pay to Seller a reduced price for such Product to be agreed upon in advance by Seller and Buyer that reflects the value of non-conforming or defective Product.  The acceptance by Buyer of any Non-Conforming Quantity shall constitute a waiver by Buyer of any and all other rights and remedies available to Buyer under this Agreement or otherwise with respect to Seller's tender of such Non-Conforming Quantity, and all risk of loss, damage or liability arising out of Buyer's ownership, control, possession, or use of such Non-Conforming Quantity shall pass to and be borne by Buyer in accordance with Section 9.1.</w:t>
      </w:r>
    </w:p>
    <w:p>
      <w:pPr>
        <w:pStyle w:val="Normal"/>
        <w:tabs>
          <w:tab w:val="clear" w:pos="720"/>
          <w:tab w:val="left" w:pos="-720" w:leader="none"/>
          <w:tab w:val="left" w:pos="450" w:leader="none"/>
          <w:tab w:val="left" w:pos="900" w:leader="none"/>
        </w:tabs>
        <w:spacing w:before="0" w:after="64"/>
        <w:jc w:val="both"/>
        <w:rPr/>
      </w:pPr>
      <w:r>
        <w:rPr>
          <w:b/>
          <w:sz w:val="16"/>
        </w:rPr>
        <w:t>12.3</w:t>
      </w:r>
      <w:r>
        <w:rPr>
          <w:sz w:val="16"/>
        </w:rPr>
        <w:tab/>
        <w:t xml:space="preserve">Unless performance is excused by another provision of this Agreement, if Buyer fails to accept delivery of all quantities of Product tendered by Seller up to the maximum quantity of Product that Buyer is obligated to receive within a Delivery Period, Buyer shall pay to Seller, within ten (10) Days after Buyer's receipt of Seller's invoice therefor, an amount equal to the sum of the following amounts: (a) the arithmetic product obtained by multiplying (i) the difference between the quantity of Product actually accepted by Buyer and the quantity of Product tendered by Seller (the "Buyer Deficiency Quantity") (but not to exceed the maximum quantity of Product that Buyer is obligated to receive as set forth in the Special Terms and Conditions) by (ii) the positive difference, if any, obtained by subtracting from the Contract Price an amount derived from (1) the price obtained by Seller in an arms-length sale to a third party of a quantity of Product equal to the Buyer Deficiency Quantity, less (2) incremental transportation and storage costs incurred by Seller; </w:t>
      </w:r>
      <w:r>
        <w:rPr>
          <w:sz w:val="16"/>
          <w:u w:val="single"/>
        </w:rPr>
        <w:t>plus</w:t>
      </w:r>
      <w:r>
        <w:rPr>
          <w:sz w:val="16"/>
        </w:rPr>
        <w:t xml:space="preserve"> (b) an amount, as liquidated damages, equal to two cents per Gallon ($0.02/Gallon) multiplied by the Buyer Deficiency Quantity to cover Seller's administrative and operational costs and expenses.</w:t>
      </w:r>
    </w:p>
    <w:p>
      <w:pPr>
        <w:pStyle w:val="Normal"/>
        <w:tabs>
          <w:tab w:val="clear" w:pos="720"/>
          <w:tab w:val="left" w:pos="-720" w:leader="none"/>
          <w:tab w:val="left" w:pos="450" w:leader="none"/>
          <w:tab w:val="left" w:pos="900" w:leader="none"/>
        </w:tabs>
        <w:spacing w:before="0" w:after="64"/>
        <w:jc w:val="both"/>
        <w:rPr>
          <w:b/>
          <w:sz w:val="16"/>
        </w:rPr>
      </w:pPr>
      <w:r>
        <w:rPr>
          <w:b/>
          <w:sz w:val="16"/>
        </w:rPr>
        <w:t>12.4</w:t>
        <w:tab/>
        <w:t>THE PARTIES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AND THE OBLIGOR'S LIABILITY SHALL BE LIMITED AS SET FORTH IN SUCH PROVISION, AND ALL OTHER REMEDIES OR DAMAGES AT LAW OR IN EQUITY ARE WAIVED.  IF NO REMEDY OR MEASURE OF DAMAGES IS EXPRESSLY PROVIDED HEREIN, THE OBLIGOR'S LIABILITY SHALL BE LIMITED TO DIRECT ACTUAL DAMAGES ONLY, AND SUCH DIRECT ACTUAL DAMAGES SHALL BE THE SOLE AND EXCLUSIVE REMEDY HEREUNDER, AND ALL OTHER REMEDIES OR DAMAGES AT LAW OR IN EQUITY ARE WAIVED.  IN NO EVENT SHALL EITHER PARTY BE LIABLE TO THE OTHER PARTY UNDER ANY PROVISION OF THIS AGREEMENT FOR CONSEQUENTIAL, INCIDENTAL, PUNITIVE, EXEMPLARY, OR INDIRECT DAMAGES IN TORT, CONTRACT, UNDER ANY INDEMNITY PROVISION OR OTHERWISE.  TO THE EXTENT ANY PAYMENT REQUIRED TO BE MADE PURSUANT TO ANY PROVISION OF THIS AGREEMENT IS AGREED BY THE PARTIES TO CONSTITUTE LIQUIDATED DAMAGES, THE PARTIES ACKNOWLEDGE THAT THE DAMAGES ARE DIFFICULT OR IMPOSSIBLE TO DETERMINE, AND THAT SUCH PAYMENT CONSTITUTES A REASONABLE APPROXIMATION OF THE AMOUNT OF SUCH DAMAGES.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13.</w:t>
        <w:tab/>
        <w:t>WARRANTY.</w:t>
      </w:r>
    </w:p>
    <w:p>
      <w:pPr>
        <w:pStyle w:val="Normal"/>
        <w:tabs>
          <w:tab w:val="clear" w:pos="720"/>
          <w:tab w:val="left" w:pos="-720" w:leader="none"/>
          <w:tab w:val="left" w:pos="450" w:leader="none"/>
          <w:tab w:val="left" w:pos="900" w:leader="none"/>
        </w:tabs>
        <w:spacing w:before="0" w:after="64"/>
        <w:jc w:val="both"/>
        <w:rPr/>
      </w:pPr>
      <w:r>
        <w:rPr>
          <w:b/>
          <w:sz w:val="16"/>
        </w:rPr>
        <w:t>13.1</w:t>
      </w:r>
      <w:r>
        <w:rPr>
          <w:sz w:val="16"/>
        </w:rPr>
        <w:tab/>
        <w:t xml:space="preserve">Seller warrants title to all Product sold and delivered by it to Buyer, and further warrants that Seller has the right to sell such Product and that such Product meets the specifications, as may be revised from time to time, contained in the Special Terms and Conditions and is free from all liens, claims or other charges.  </w:t>
      </w:r>
      <w:r>
        <w:rPr>
          <w:b/>
          <w:sz w:val="16"/>
        </w:rPr>
        <w:t>THERE ARE, HOWEVER, NO OTHER WARRANTIES, EITHER EXPRESSED OR IMPLIED, INCLUDING, WITHOUT LIMITATION, ANY WARRANTY OF FITNESS FOR A PARTICULAR PURPOSE, MERCHANTABILITY, CONFORMITY TO MODELS OR SAMPLES, OR AGAINST INFRINGEMENT OF ANY PATENT, TRADEMARK, OR COPYRIGHT</w:t>
      </w:r>
      <w:r>
        <w:rPr>
          <w:sz w:val="16"/>
        </w:rPr>
        <w:t>.</w:t>
      </w:r>
    </w:p>
    <w:p>
      <w:pPr>
        <w:pStyle w:val="Normal"/>
        <w:keepNext w:val="true"/>
        <w:tabs>
          <w:tab w:val="clear" w:pos="720"/>
          <w:tab w:val="left" w:pos="-720" w:leader="none"/>
          <w:tab w:val="left" w:pos="450" w:leader="none"/>
          <w:tab w:val="left" w:pos="900" w:leader="none"/>
        </w:tabs>
        <w:spacing w:before="0" w:after="64"/>
        <w:jc w:val="both"/>
        <w:rPr>
          <w:b/>
          <w:sz w:val="16"/>
          <w:u w:val="single"/>
        </w:rPr>
      </w:pPr>
      <w:r>
        <w:rPr>
          <w:b/>
          <w:sz w:val="16"/>
          <w:u w:val="single"/>
        </w:rPr>
        <w:t>14.</w:t>
        <w:tab/>
        <w:t>CONDITIONS PRECEDENT TO DELIVERY.</w:t>
      </w:r>
    </w:p>
    <w:p>
      <w:pPr>
        <w:pStyle w:val="Normal"/>
        <w:tabs>
          <w:tab w:val="clear" w:pos="720"/>
          <w:tab w:val="left" w:pos="-720" w:leader="none"/>
          <w:tab w:val="left" w:pos="450" w:leader="none"/>
          <w:tab w:val="left" w:pos="900" w:leader="none"/>
        </w:tabs>
        <w:spacing w:before="0" w:after="64"/>
        <w:jc w:val="both"/>
        <w:rPr/>
      </w:pPr>
      <w:r>
        <w:rPr>
          <w:b/>
          <w:sz w:val="16"/>
        </w:rPr>
        <w:t>14.1</w:t>
      </w:r>
      <w:r>
        <w:rPr>
          <w:sz w:val="16"/>
        </w:rPr>
        <w:tab/>
        <w:t>Seller's delivery of Product to Buyer under this Agreement is subject to the prior approval of Buyer's credit by Seller, and such approval is a condition precedent to Seller's obligation to perform under this Agreement.  When EPC as Seller uses either the term "line of credit", "credit line", or "credit limit" in connection with Buyer's transactions with EPC, such term shall mean that:  (a) EPC has established a credit ceiling as the highest amount of credit allowed Buyer; and (b) all decisions with respect to the extension or continuation of the credit available to Buyer in transactions with EPC shall be in the sole discretion of EPC, and EPC shall have the right to terminate any credit availability, at any time, within its sole discretion, without notice to Buyer.</w:t>
      </w:r>
    </w:p>
    <w:p>
      <w:pPr>
        <w:pStyle w:val="Normal"/>
        <w:tabs>
          <w:tab w:val="clear" w:pos="720"/>
          <w:tab w:val="left" w:pos="-720" w:leader="none"/>
          <w:tab w:val="left" w:pos="450" w:leader="none"/>
          <w:tab w:val="left" w:pos="900" w:leader="none"/>
        </w:tabs>
        <w:spacing w:before="0" w:after="64"/>
        <w:jc w:val="both"/>
        <w:rPr/>
      </w:pPr>
      <w:r>
        <w:rPr>
          <w:b/>
          <w:sz w:val="16"/>
        </w:rPr>
        <w:t>14.2</w:t>
      </w:r>
      <w:r>
        <w:rPr>
          <w:sz w:val="16"/>
        </w:rPr>
        <w:tab/>
        <w:t>In order to secure the full and proper performance of this Agreement, Seller may require Buyer to provide, no later than three (3) Business Days prior to the date that Seller advises Buyer that Product will be scheduled for delivery to Buyer:  (a) a guaranty agreement in form and substance acceptable to Seller, executed by Buyer's guarantor; (b) prepayment of the full amount of the Contract Price to become due to Seller with respect to the full quantity of Product to be delivered by Seller under this Agreement; (c) a Letter of Credit in the full amount of the Contract Price to become due to Seller with respect to the full quantity of Product to be delivered by Seller under this Agreement, such Letter of Credit not expiring sooner than fifteen (15) Days after the date on which payment for the Product delivered under this Agreement becomes due as provided in Section 16 hereof, and shall otherwise be in form and substance acceptable to Seller in Seller's sole discretion, with all banking charges relating to the Letter of Credit being for Buyer's account; or (d) such other forms of security as are mutually acceptable to Seller and Buyer.  The provision by Buyer of the security requested by Seller, if any, shall be a condition precedent to Seller's obligation to perform under the terms of this Agreement.</w:t>
      </w:r>
    </w:p>
    <w:p>
      <w:pPr>
        <w:pStyle w:val="Normal"/>
        <w:tabs>
          <w:tab w:val="clear" w:pos="720"/>
          <w:tab w:val="left" w:pos="-720" w:leader="none"/>
          <w:tab w:val="left" w:pos="450" w:leader="none"/>
          <w:tab w:val="left" w:pos="900" w:leader="none"/>
        </w:tabs>
        <w:spacing w:before="0" w:after="64"/>
        <w:jc w:val="both"/>
        <w:rPr/>
      </w:pPr>
      <w:r>
        <w:rPr>
          <w:b/>
          <w:sz w:val="16"/>
        </w:rPr>
        <w:t>14.3</w:t>
      </w:r>
      <w:r>
        <w:rPr>
          <w:sz w:val="16"/>
        </w:rPr>
        <w:tab/>
        <w:t>If Buyer fails to deliver the requested security in a timely manner as provided in this Section 14, Seller shall have the option to terminate this Agreement; provided, that such termination shall not affect any obligations of Buyer arising, accruing or otherwise existing as of the time of termination (including, without limitation, any payment of a Termination Payment), and is in all respects subject to Section 28.</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15.</w:t>
        <w:tab/>
        <w:t>FINANCIAL INFORMATION; ADDITIONAL COLLATERAL REQUIREMENT.</w:t>
      </w:r>
    </w:p>
    <w:p>
      <w:pPr>
        <w:pStyle w:val="Normal"/>
        <w:tabs>
          <w:tab w:val="clear" w:pos="720"/>
          <w:tab w:val="left" w:pos="-720" w:leader="none"/>
          <w:tab w:val="left" w:pos="450" w:leader="none"/>
          <w:tab w:val="left" w:pos="900" w:leader="none"/>
        </w:tabs>
        <w:spacing w:before="0" w:after="64"/>
        <w:jc w:val="both"/>
        <w:rPr/>
      </w:pPr>
      <w:r>
        <w:rPr>
          <w:b/>
          <w:sz w:val="16"/>
        </w:rPr>
        <w:t>15.1</w:t>
      </w:r>
      <w:r>
        <w:rPr>
          <w:sz w:val="16"/>
        </w:rPr>
        <w:tab/>
        <w:t xml:space="preserve">If requested by Counterparty, EPC shall deliver, or cause to be delivered, within one hundred and twenty (120) Days following the end of each fiscal year, a copy of Enron Corp.'s annual report containing consolidated financial statements for such fiscal year certified by independent certified public accountants and prepared in accordance with GAAP.  Further, if requested, EPC shall deliver, or cause to be delivered, within sixty (60) Days after the end of each of its first three (3) fiscal quarters of each fiscal year, copies of Enron Corp.'s quarterly reports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EPC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6"/>
        </w:rPr>
        <w:t>15.2</w:t>
        <w:tab/>
      </w:r>
      <w:r>
        <w:rPr>
          <w:sz w:val="16"/>
        </w:rPr>
        <w:t xml:space="preserve">If requested by EPC, Counterparty shall deliver, or cause to be delivered, within one hundred and twenty (120) Days following the end of each fiscal year, a copy of its annual report (or the annual report of its guarantor, if applicable) containing consolidated financial statements for such fiscal year certified by independent certified public accountants and prepared in accordance with GAAP.  Further, if requested, Counterparty shall deliver, or cause to be delivered, within sixty (60) Days after the end of each of its (or its guarantor's, if applicable) first three (3) fiscal quarters of each fiscal year, copies of its quarterly reports (or the quarterly reports of its guarantor, if applicable)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Counterparty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6"/>
        </w:rPr>
        <w:t>15.3</w:t>
        <w:tab/>
      </w:r>
      <w:r>
        <w:rPr>
          <w:sz w:val="16"/>
        </w:rPr>
        <w:t>If, at any time and from time to time during the term of this Agreement, there occurs a Material Adverse Change with respect to one of the Parties to this Agreement, the Party as to which no Material Adverse Change has occurred (the "Beneficiary Party") may request the Party as to which the Material Adverse Change has occurred (the "Account Party") to establish a Letter of Credit (or increase the amount of any existing Letter of Credit) in an amount equal to the Termination Payment that would be owed by the Account Party to the Beneficiary Party hereunder if this Agreement were terminated at that time, or to provide such other collateral as may be reasonably acceptable to the Beneficiary Party.  Such Letter of Credit or other collateral shall be delivered within two (2) Days of the date of such notice.  Such Letter of Credit may be increased or reduced correspondingly to the amount of such Termination Payment.</w:t>
      </w:r>
    </w:p>
    <w:p>
      <w:pPr>
        <w:pStyle w:val="Normal"/>
        <w:tabs>
          <w:tab w:val="clear" w:pos="720"/>
          <w:tab w:val="left" w:pos="-720" w:leader="none"/>
        </w:tabs>
        <w:suppressAutoHyphens w:val="true"/>
        <w:jc w:val="both"/>
        <w:rPr/>
      </w:pPr>
      <w:r>
        <w:rPr>
          <w:b/>
          <w:sz w:val="16"/>
        </w:rPr>
        <w:t>15.4</w:t>
      </w:r>
      <w:r>
        <w:rPr>
          <w:sz w:val="16"/>
        </w:rPr>
        <w:t xml:space="preserve">   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sz w:val="16"/>
        </w:rPr>
      </w:pPr>
      <w:r>
        <w:rPr>
          <w:sz w:val="16"/>
        </w:rPr>
      </w:r>
    </w:p>
    <w:p>
      <w:pPr>
        <w:pStyle w:val="Normal"/>
        <w:tabs>
          <w:tab w:val="clear" w:pos="720"/>
          <w:tab w:val="left" w:pos="-720" w:leader="none"/>
        </w:tabs>
        <w:suppressAutoHyphens w:val="true"/>
        <w:jc w:val="both"/>
        <w:rPr/>
      </w:pPr>
      <w:r>
        <w:rPr>
          <w:b/>
          <w:sz w:val="16"/>
        </w:rPr>
        <w:t xml:space="preserve">15.5    </w:t>
      </w:r>
      <w:r>
        <w:rPr>
          <w:sz w:val="16"/>
        </w:rPr>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15.3 and 15.4.  </w:t>
      </w:r>
    </w:p>
    <w:p>
      <w:pPr>
        <w:pStyle w:val="Normal"/>
        <w:tabs>
          <w:tab w:val="clear" w:pos="720"/>
          <w:tab w:val="left" w:pos="-720" w:leader="none"/>
          <w:tab w:val="left" w:pos="45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16.</w:t>
        <w:tab/>
        <w:t>PAYMENT AND CREDIT.</w:t>
      </w:r>
    </w:p>
    <w:p>
      <w:pPr>
        <w:pStyle w:val="Normal"/>
        <w:tabs>
          <w:tab w:val="clear" w:pos="720"/>
          <w:tab w:val="left" w:pos="-720" w:leader="none"/>
          <w:tab w:val="left" w:pos="450" w:leader="none"/>
          <w:tab w:val="left" w:pos="900" w:leader="none"/>
        </w:tabs>
        <w:spacing w:before="0" w:after="64"/>
        <w:jc w:val="both"/>
        <w:rPr/>
      </w:pPr>
      <w:r>
        <w:rPr>
          <w:b/>
          <w:sz w:val="16"/>
        </w:rPr>
        <w:t>16.1</w:t>
        <w:tab/>
      </w:r>
      <w:r>
        <w:rPr>
          <w:sz w:val="16"/>
        </w:rPr>
        <w:t>In the case of a sale or purchase of Product under this Agreement, Seller shall deliver to Buyer, after delivery of Product hereunder, an invoice setting forth the quantity of Product delivered and the amount due hereunder for such quantity.  Buyer shall remit any amounts due no later than the payment due date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16"/>
        </w:rPr>
        <w:t>16.2</w:t>
        <w:tab/>
      </w:r>
      <w:r>
        <w:rPr>
          <w:sz w:val="16"/>
        </w:rPr>
        <w:t>In the case of an exchange of Product under this Agreement, EPC shall deliver to Counterparty an invoice and such other documents as may be required in the Special Terms and Conditions, which sets forth all deliveries of Product occurring during the preceding Month and the price differential calculations associated therewith.  Net price differentials and Taxes, if any, payable hereunder with respect to deliveries of Product made by both Parties during the relevant Month will be made by the Party obligated to pay such amounts no later than the payment due date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16"/>
        </w:rPr>
        <w:t>16.3</w:t>
      </w:r>
      <w:r>
        <w:rPr>
          <w:sz w:val="16"/>
        </w:rPr>
        <w:tab/>
        <w:t>If Buyer or Seller should fail to remit any amounts in full when due as required hereunder, or if any adjustments are made under this Agreement, including, without limitation, adjustments as the result of the conclusion of any audits or as a result of the resolution of a billing dispute, interest on the unpaid portion shall accrue at a rate equal to the Interest Rate from the date upon which such payment became delinquent hereunder until paid.  All such accrued interest shall be added to the amount reflected as being owed hereunder by Buyer or Seller, as the case may be, on the next invoice or by separate invoice.</w:t>
      </w:r>
    </w:p>
    <w:p>
      <w:pPr>
        <w:pStyle w:val="Normal"/>
        <w:tabs>
          <w:tab w:val="clear" w:pos="720"/>
          <w:tab w:val="left" w:pos="-720" w:leader="none"/>
          <w:tab w:val="left" w:pos="450" w:leader="none"/>
          <w:tab w:val="left" w:pos="900" w:leader="none"/>
        </w:tabs>
        <w:spacing w:before="0" w:after="64"/>
        <w:jc w:val="both"/>
        <w:rPr/>
      </w:pPr>
      <w:r>
        <w:rPr>
          <w:b/>
          <w:sz w:val="16"/>
        </w:rPr>
        <w:t>16.4</w:t>
      </w:r>
      <w:r>
        <w:rPr>
          <w:sz w:val="16"/>
        </w:rPr>
        <w:tab/>
        <w:t>If Buyer fails to make timely payment under this Section 16 and such failure is not remedied within five (5) Business Days after Seller gives Buyer written notice of such failure, Seller, in addition to any other remedy it may have, may suspend further sales and deliveries of Product until such amount, including interest, is paid; provided, however, that if Buyer, in good faith, shall dispute the amount of any such billing or part thereof and shall pay to Seller such amounts as it concedes to be correct, Seller shall continue to sell and deliver Product as provided hereunder.  Seller shall promptly investigate the matter and submit an adjusted bill, if necessary, to Buyer.  If Buyer has underpaid the amount actually due, Buyer shall remit any amount due plus interest at the Interest Rate within five (5) Days after Buyer's receipt of an adjusted billing statement from Seller.  If Buyer has overpaid amounts actually due, Seller shall remit to Buyer any necessary refund within thirty (30) Days after determination of such overpayment.  Interest on the refund shall accrue at the Interest Rate from the date that the overpayment is determined until paid.</w:t>
      </w:r>
    </w:p>
    <w:p>
      <w:pPr>
        <w:pStyle w:val="Normal"/>
        <w:tabs>
          <w:tab w:val="clear" w:pos="720"/>
          <w:tab w:val="left" w:pos="-720" w:leader="none"/>
          <w:tab w:val="left" w:pos="450" w:leader="none"/>
          <w:tab w:val="left" w:pos="900" w:leader="none"/>
        </w:tabs>
        <w:spacing w:before="0" w:after="64"/>
        <w:jc w:val="both"/>
        <w:rPr>
          <w:b/>
          <w:sz w:val="16"/>
        </w:rPr>
      </w:pPr>
      <w:r>
        <w:rPr>
          <w:b/>
          <w:sz w:val="16"/>
        </w:rPr>
        <w:t>16.5</w:t>
        <w:tab/>
        <w:t>ALL DISPUTES ARISING UNDER THIS SECTION 16 THAT ARE NOT OTHERWISE RESOLVED AS PROVIDED HEREIN SHALL BE SUBMITTED TO A COURT WITH JURISDICTION.  TO THE EXTENT THAT ANY SUCH UNRESOLVED DISPUTE HAS NOT BEEN SUBMITTED TO A COURT WITH JURISDICTION WITHIN TWENTY-FIVE (25) MONTHS AFTER THE EVENT CAUSING THE DISPUTE IS DISCOVERED OR REASONABLY SHOULD HAVE BEEN DISCOVERED, THE PARTY ASSERTING THE CLAIM IN DISPUTE SHALL BE DEEMED TO HAVE WAIVED ANY SUCH CLAIM AND ALL RIGHTS HEREUNDER WITH RESPECT THERETO.</w:t>
      </w:r>
    </w:p>
    <w:p>
      <w:pPr>
        <w:pStyle w:val="Normal"/>
        <w:tabs>
          <w:tab w:val="clear" w:pos="720"/>
          <w:tab w:val="left" w:pos="-720" w:leader="none"/>
          <w:tab w:val="left" w:pos="450" w:leader="none"/>
          <w:tab w:val="left" w:pos="900" w:leader="none"/>
        </w:tabs>
        <w:spacing w:before="0" w:after="64"/>
        <w:jc w:val="both"/>
        <w:rPr/>
      </w:pPr>
      <w:r>
        <w:rPr>
          <w:b/>
          <w:sz w:val="16"/>
        </w:rPr>
        <w:t>16.6</w:t>
      </w:r>
      <w:r>
        <w:rPr>
          <w:sz w:val="16"/>
        </w:rPr>
        <w:tab/>
        <w:t>All invoices and statements shall be sent to the Parties at the addresses set forth in the Special Terms and Conditions.  All payments by either Seller or Buyer hereunder shall be governed by the remittance and payment instructions set forth on the invoice.  If the Day on which any payment is due is not a Business Day, the relevant payment shall be due upon the immediately preceding Business Day, except if such payment due date is a Sunday or a Monday, then the relevant payment shall be due upon the immediately succeeding Business Day.</w:t>
      </w:r>
    </w:p>
    <w:p>
      <w:pPr>
        <w:pStyle w:val="Normal"/>
        <w:tabs>
          <w:tab w:val="clear" w:pos="720"/>
          <w:tab w:val="left" w:pos="-720" w:leader="none"/>
          <w:tab w:val="left" w:pos="450" w:leader="none"/>
          <w:tab w:val="left" w:pos="900" w:leader="none"/>
        </w:tabs>
        <w:spacing w:before="0" w:after="64"/>
        <w:jc w:val="both"/>
        <w:rPr/>
      </w:pPr>
      <w:r>
        <w:rPr>
          <w:b/>
          <w:sz w:val="16"/>
        </w:rPr>
        <w:t>16.7</w:t>
      </w:r>
      <w:r>
        <w:rPr>
          <w:sz w:val="16"/>
        </w:rPr>
        <w:tab/>
        <w:t>The Parties hereto may agree from time to time in the normal course of business to pay, by wire transfer of funds ("Cross Wire"), the Parties' mutual obligations for book transfer deliveries of Product. "Cross Wire" shall mean the method of payment whereby the Parties to this Agreement agree by prior written confirmation that (a) a certain date shall be the effective date for each Party to transfer its ownership of certain volumes of Product to the account of the other Party; and (b) a certain date shall be the date on which each Party pays the other Party, by electronic wire transfer to the other Party's bank account, the full amount of the invoice for the volume of Product transferred.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17.</w:t>
        <w:tab/>
        <w:t>EARLY TERMINATION; OTHER REMEDIES.</w:t>
      </w:r>
    </w:p>
    <w:p>
      <w:pPr>
        <w:pStyle w:val="Normal"/>
        <w:tabs>
          <w:tab w:val="clear" w:pos="720"/>
          <w:tab w:val="left" w:pos="-720" w:leader="none"/>
          <w:tab w:val="left" w:pos="450" w:leader="none"/>
          <w:tab w:val="left" w:pos="900" w:leader="none"/>
        </w:tabs>
        <w:spacing w:before="0" w:after="64"/>
        <w:jc w:val="both"/>
        <w:rPr/>
      </w:pPr>
      <w:r>
        <w:rPr>
          <w:b/>
          <w:sz w:val="16"/>
        </w:rPr>
        <w:t>17.1</w:t>
      </w:r>
      <w:r>
        <w:rPr>
          <w:sz w:val="16"/>
        </w:rPr>
        <w:tab/>
        <w:t>If a Triggering Event (defined below in Section 17.5) occurs with respect to a Party (the "Affected Party") at any time during the term of this Agreement, the other Party (the "Notifying Party") may, upon two (2) Business Days written notice to the Affected Party, which notice shall be given no later than sixty (60) Days after the occurrence of the Triggering Event, establish a date on which this Agreement and any Transaction governed hereby will terminate ("Early Termination Date"), except as provided in Section 28.  Notwithstanding the foregoing, if a Triggering Event occurs, the Notifying Party may, in its sole discretion (without waiving any of its rights later to declare an Early Termination Date), agree to (a) the posting of a Letter of Credit, (b) cash prepayments, or (c) the provision of other security in a form acceptable to the Notifying Party by the Affected Party as additional assurance of the Affected Party’s performance pursuant to this Agreement.</w:t>
      </w:r>
    </w:p>
    <w:p>
      <w:pPr>
        <w:pStyle w:val="Normal"/>
        <w:tabs>
          <w:tab w:val="clear" w:pos="720"/>
          <w:tab w:val="left" w:pos="-720" w:leader="none"/>
          <w:tab w:val="left" w:pos="450" w:leader="none"/>
          <w:tab w:val="left" w:pos="900" w:leader="none"/>
        </w:tabs>
        <w:spacing w:before="0" w:after="64"/>
        <w:jc w:val="both"/>
        <w:rPr/>
      </w:pPr>
      <w:r>
        <w:rPr>
          <w:b/>
          <w:sz w:val="16"/>
        </w:rPr>
        <w:t>17.2</w:t>
        <w:tab/>
      </w:r>
      <w:r>
        <w:rPr>
          <w:sz w:val="16"/>
        </w:rPr>
        <w:t>If an Early Termination Date occurs as provided herein, the Notifying Party shall in good faith calculate its Termination Payment resulting from the termination of this Agreement.  For purposes hereof, if Buyer is the Notifying Party, the term "Termination Payment" shall mean the positive difference, if any, obtained by subtracting (a) the product obtained by multiplying the remaining quantities of Product to be delivered under this Agreement by the Contract Price specified in the Special Terms and Conditions from (b) the product obtained by multiplying such remaining quantities of Product by the Market Price in effect for the remainder of the Term of this Agreement; and if Seller is the Notifying Party, the term "Termination Payment" shall mean the positive difference, if any, obtained by subtracting (a) the product obtained by multiplying the remaining quantities of Product to be delivered under this Agreement by the Market Price in effect for the remainder of the Term of this Agreement, from (b) the product obtained by multiplying such remaining quantities of Product by the Contract Price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16"/>
        </w:rPr>
        <w:t>17.3</w:t>
      </w:r>
      <w:r>
        <w:rPr>
          <w:sz w:val="16"/>
        </w:rPr>
        <w:tab/>
        <w:t>Notwithstanding the definitions of Termination Payment set forth above in this Section 17, if Buyer or Seller is the Notifying Party, Buyer or Seller, as applicable, may elect, as an alternative, to calculate such Party's Termination Payment by reference to the cost associated with obtaining a replacement swap (the "Replacement Swap") for the remaining term and covering quantities of Product to be delivered under the Transaction at the Delivery Point had it not been terminated.  The cost of the Replacement Swap shall be calculated as, and the term "Termination Payment" shall mean, the arithmetic average of the prices (excluding the highest and lowest prices) quoted for a swap transaction relating to the relevant Product by four (4) leading dealers in the energy swap market selected by the Notifying Party in good faith from among dealers of the highest credit rating, which satisfy all of the criteria that the Notifying Party applies generally at the time in deciding whether to offer or to make an extension of credit.  In addition, the term "Termination Payment" under this Section 17 shall include the Notifying Party's attorneys fees.  If the calculation of the Termination Payment does not result in damages to the Notifying Party, the Termination Payment shall be zero.</w:t>
      </w:r>
    </w:p>
    <w:p>
      <w:pPr>
        <w:pStyle w:val="Normal"/>
        <w:tabs>
          <w:tab w:val="clear" w:pos="720"/>
          <w:tab w:val="left" w:pos="-720" w:leader="none"/>
          <w:tab w:val="left" w:pos="450" w:leader="none"/>
          <w:tab w:val="left" w:pos="900" w:leader="none"/>
        </w:tabs>
        <w:spacing w:before="0" w:after="64"/>
        <w:jc w:val="both"/>
        <w:rPr/>
      </w:pPr>
      <w:r>
        <w:rPr>
          <w:b/>
          <w:sz w:val="16"/>
        </w:rPr>
        <w:t>17.4</w:t>
      </w:r>
      <w:r>
        <w:rPr>
          <w:sz w:val="16"/>
        </w:rPr>
        <w:tab/>
        <w:t>The Notifying Party shall give the Affected Party notice of the Notifying Party's Termination Payment, if any, accompanied by a statement in reasonable detail stating how the amount was calculated.  In the event the Affected Party disagrees with any element of the foregoing calculation, the issue shall be submitted to arbitration in accordance with Section 27.  The Affected Party shall pay such Termination Payment to the Notifying Party within ten (10) Days after receipt of such notice.  At the time for payment of any amount due under this Section 17, each Party shall pay the other Party all additional amounts payable by it pursuant to this Agreement, but all such amounts shall be netted and aggregated with any Termination Payment payable hereunder.</w:t>
      </w:r>
    </w:p>
    <w:p>
      <w:pPr>
        <w:pStyle w:val="Normal"/>
        <w:tabs>
          <w:tab w:val="clear" w:pos="720"/>
          <w:tab w:val="left" w:pos="-720" w:leader="none"/>
          <w:tab w:val="left" w:pos="450" w:leader="none"/>
          <w:tab w:val="left" w:pos="900" w:leader="none"/>
        </w:tabs>
        <w:spacing w:before="0" w:after="64"/>
        <w:jc w:val="both"/>
        <w:rPr/>
      </w:pPr>
      <w:r>
        <w:rPr>
          <w:b/>
          <w:sz w:val="16"/>
        </w:rPr>
        <w:t>17.5</w:t>
      </w:r>
      <w:r>
        <w:rPr>
          <w:sz w:val="16"/>
        </w:rPr>
        <w:tab/>
        <w:t>"Triggering Event" shall mean, with respect to the Affected Party:  (a) the failure by the Affected Party to make, when due, any payment required under this Agreement if such failure is not remedied within five (5) Business Days after written notice of such failure is given to the Affected Party, provided that the payment is not the subject of a good faith dispute as described in Section 16; or (b) the failure by the Affected Party to perform (unless such performance is excused by Force Majeure pursuant to Section 5) any material covenant or other agreement set forth in this Agreement (other than its obligations to make any payment or obligations which are otherwise specifically covered in this Section 17 as a separate Triggering Event), and such failure is not cured within five (5) Business Days after notice thereof to the Affected Party from the Notifying Party; or (c) an assignment or transfer by the Affected Party in violation of Section 19; or (d) the Affected Party or its guarantor under this Agreement (if applicable)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 or (e) Seller's unexcused failure to deliver Product (i) to the extent that Seller is obligated to deliver Product on a basis other than a daily basis, during two (2) Delivery Periods comprising the Term or (ii) to the extent that Seller is obligated to deliver Product on a daily basis, for thirty (30) Days cumulatively during the Term, all as provided in this Agreement; or (f) Buyer's unexcused failure to receive Product (i) to the extent that Buyer is obligated to receive Product on a basis other than a daily basis, during two (2) Delivery Periods comprising the Term or (ii) to the extent that Buyer is obligated to receive Product on a daily basis, for thirty (30) Days cumulatively during the Term, all as provided in this Agreement; or (g) the occurrence of a Material Adverse Change with respect to the Affected Party; provided, however, that such Material Adverse Change shall not be considered to be a Triggering Event if the Affected Party establishes, and maintains throughout the Term, a Letter of Credit (naming the Notifying Party as the beneficiary thereof) or provides other security acceptable to the Notifying Party in accordance with the provisions of Section 15; or (h) the Affected Party fails to establish, maintain, extend or increase a Letter of Credit or otherwise furnish adequate security when required pursuant to this Agreement (including, without limitation, Section 14), or after reasonable notice fails to replace the issuing bank with another bank acceptable to the Notifying Party.</w:t>
      </w:r>
    </w:p>
    <w:p>
      <w:pPr>
        <w:pStyle w:val="Normal"/>
        <w:tabs>
          <w:tab w:val="clear" w:pos="720"/>
          <w:tab w:val="left" w:pos="-720" w:leader="none"/>
          <w:tab w:val="left" w:pos="450" w:leader="none"/>
          <w:tab w:val="left" w:pos="900" w:leader="none"/>
        </w:tabs>
        <w:spacing w:before="0" w:after="64"/>
        <w:jc w:val="both"/>
        <w:rPr/>
      </w:pPr>
      <w:r>
        <w:rPr>
          <w:b/>
          <w:sz w:val="16"/>
        </w:rPr>
        <w:t>17.6</w:t>
      </w:r>
      <w:r>
        <w:rPr>
          <w:sz w:val="16"/>
        </w:rPr>
        <w:tab/>
        <w:t>If the Affected Party's activities hereunder are or become subject to regulation of any kind whatsoever under any law (other than with respect to New Taxes) to a greater or different extent than that existing on the date of initial deliveries of Product hereunder (or thereafter as such regulation may have changed and been acquiesced to hereunder by such Party) and such greater or different regulation either (a) renders this Agreement illegal or unenforceable, or (b) materially adversely affects the business of the Affected Party, with respect to its financial position or otherwise, then in the case of item (a) above, either Party, and in the case of item (b) above, only the Affected Party, shall at such time have the right to declare an Early Termination Date in accordance with the provisions of this Agreement; provided, however, that notwithstanding the rights of the Parties to declare an Early Termination Date as above stated, the Affected Party shall be liable to the other Party for the payment of a Termination Payment as provided in this Section 17.</w:t>
      </w:r>
    </w:p>
    <w:p>
      <w:pPr>
        <w:pStyle w:val="Normal"/>
        <w:tabs>
          <w:tab w:val="clear" w:pos="720"/>
          <w:tab w:val="left" w:pos="-720" w:leader="none"/>
          <w:tab w:val="left" w:pos="450" w:leader="none"/>
          <w:tab w:val="left" w:pos="900" w:leader="none"/>
        </w:tabs>
        <w:spacing w:before="0" w:after="64"/>
        <w:jc w:val="both"/>
        <w:rPr/>
      </w:pPr>
      <w:r>
        <w:rPr>
          <w:b/>
          <w:sz w:val="16"/>
        </w:rPr>
        <w:t>17.7</w:t>
      </w:r>
      <w:r>
        <w:rPr>
          <w:sz w:val="16"/>
        </w:rPr>
        <w:tab/>
        <w:t>Each Party reserves to itself all rights, set-offs, counter</w:t>
        <w:softHyphen/>
        <w:t>claims, and other remedies consistent with Section 12 and/or defenses which such Party is or may be entitled to arising from or out of this Agreement.  All outstanding sales, purchases, and/or exchanges conducted pursuant to this Agreement and the obligations to make payment in connection therewith or under this Agreement may be offset against each other, set off, or recouped therefrom.</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18.</w:t>
        <w:tab/>
        <w:t>SAFETY AND HEALTH.</w:t>
      </w:r>
    </w:p>
    <w:p>
      <w:pPr>
        <w:pStyle w:val="Normal"/>
        <w:tabs>
          <w:tab w:val="clear" w:pos="720"/>
          <w:tab w:val="left" w:pos="-720" w:leader="none"/>
          <w:tab w:val="left" w:pos="450" w:leader="none"/>
          <w:tab w:val="left" w:pos="900" w:leader="none"/>
        </w:tabs>
        <w:spacing w:before="0" w:after="64"/>
        <w:jc w:val="both"/>
        <w:rPr/>
      </w:pPr>
      <w:r>
        <w:rPr>
          <w:b/>
          <w:sz w:val="16"/>
        </w:rPr>
        <w:t>18.1</w:t>
        <w:tab/>
      </w:r>
      <w:r>
        <w:rPr>
          <w:sz w:val="16"/>
        </w:rPr>
        <w:t>Seller has furnished to Buyer Material Safety Data Sheet(s) concerning the safety and health aspects of Products sold to Buyer hereunder, including safety and health warnings.  Buyer acknowledges receipt of such information and agrees to communicate such warnings and information contained within such Material Safety Data Sheets and other relevant knowledge available to Buyer to those persons that Buyer can reasonably foresee may be exposed to or may handle such Products and/or containers, including, but not limited to, Buyer's employees, agents, contractors, subcontractors, and customers.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19.</w:t>
        <w:tab/>
        <w:t>ASSIGNMENT.</w:t>
      </w:r>
    </w:p>
    <w:p>
      <w:pPr>
        <w:pStyle w:val="Normal"/>
        <w:tabs>
          <w:tab w:val="clear" w:pos="720"/>
          <w:tab w:val="left" w:pos="-720" w:leader="none"/>
          <w:tab w:val="left" w:pos="450" w:leader="none"/>
          <w:tab w:val="left" w:pos="900" w:leader="none"/>
        </w:tabs>
        <w:spacing w:before="0" w:after="64"/>
        <w:jc w:val="both"/>
        <w:rPr/>
      </w:pPr>
      <w:r>
        <w:rPr>
          <w:b/>
          <w:sz w:val="16"/>
        </w:rPr>
        <w:t>19.1</w:t>
        <w:tab/>
      </w:r>
      <w:r>
        <w:rPr>
          <w:sz w:val="16"/>
        </w:rPr>
        <w:t>Subject to the provisions of this Section 19, this Agreement, including, without limitation, each indemnification, shall inure to and be binding upon the successors and permitted assigns of the Parties hereto; provided, neither Party shall assign this Agreement in whole or in part without the prior written consent of the other Party, except to any Affiliate of the assignor, but no such assignment shall operate to relieve the assignor of its obligations hereunder; further provided that EPC may mortgage, pledge, encumber or grant a security interest in or a lien on this Agreement and/or EPC's rights or interests hereunder without the prior written consent of the other Party hereto; provided further, notwithstanding anything herein to the contrary, EPC may assign this Agreement to any party to which EPC sells, leases or otherwise disposes of all or a substantial part of the assets used in EPC's business, without the prior written consent of Counterparty, and upon consummation of such sale, lease or other disposition, EPC shall be relieved of its obligations hereunder.  Any transfer or assignment in violation of this Section 19 shall be void.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20.</w:t>
        <w:tab/>
        <w:t>DOCUMENT RETENTION, EVIDENCE, SEVERABILITY AND WAIVERS.</w:t>
      </w:r>
    </w:p>
    <w:p>
      <w:pPr>
        <w:pStyle w:val="Normal"/>
        <w:tabs>
          <w:tab w:val="clear" w:pos="720"/>
          <w:tab w:val="left" w:pos="-720" w:leader="none"/>
          <w:tab w:val="left" w:pos="450" w:leader="none"/>
          <w:tab w:val="left" w:pos="900" w:leader="none"/>
        </w:tabs>
        <w:spacing w:before="0" w:after="64"/>
        <w:jc w:val="both"/>
        <w:rPr/>
      </w:pPr>
      <w:r>
        <w:rPr>
          <w:b/>
          <w:sz w:val="16"/>
        </w:rPr>
        <w:t>20.1</w:t>
        <w:tab/>
      </w:r>
      <w:r>
        <w:rPr>
          <w:sz w:val="16"/>
        </w:rPr>
        <w:t>The provisions of the Special Terms and Conditions, these General Terms, any Appendices hereto or thereto, and, to the extent made applicable by the Parties in the Special Terms and Conditions, and EPC Marine Provisions, when taken together, are intended by the Parties to be the final and entire expression of their agreement.  There are no prior or contemporaneous agreements (whether oral or written) affecting the subject matter.</w:t>
      </w:r>
    </w:p>
    <w:p>
      <w:pPr>
        <w:pStyle w:val="Normal"/>
        <w:tabs>
          <w:tab w:val="clear" w:pos="720"/>
          <w:tab w:val="left" w:pos="-720" w:leader="none"/>
          <w:tab w:val="left" w:pos="450" w:leader="none"/>
          <w:tab w:val="left" w:pos="900" w:leader="none"/>
        </w:tabs>
        <w:spacing w:before="0" w:after="64"/>
        <w:jc w:val="both"/>
        <w:rPr/>
      </w:pPr>
      <w:r>
        <w:rPr>
          <w:b/>
          <w:sz w:val="16"/>
        </w:rPr>
        <w:t>20.2</w:t>
      </w:r>
      <w:r>
        <w:rPr>
          <w:sz w:val="16"/>
        </w:rPr>
        <w:tab/>
        <w:t>Except as otherwise provided in this Agreement, no amendment or modification to this Agreement shall be enforceable, unless reduced to writing and executed by both Parties.</w:t>
      </w:r>
    </w:p>
    <w:p>
      <w:pPr>
        <w:pStyle w:val="Normal"/>
        <w:tabs>
          <w:tab w:val="clear" w:pos="720"/>
          <w:tab w:val="left" w:pos="-720" w:leader="none"/>
          <w:tab w:val="left" w:pos="450" w:leader="none"/>
          <w:tab w:val="left" w:pos="900" w:leader="none"/>
        </w:tabs>
        <w:spacing w:before="0" w:after="64"/>
        <w:jc w:val="both"/>
        <w:rPr/>
      </w:pPr>
      <w:r>
        <w:rPr>
          <w:b/>
          <w:sz w:val="16"/>
        </w:rPr>
        <w:t>20.3</w:t>
      </w:r>
      <w:r>
        <w:rPr>
          <w:sz w:val="16"/>
        </w:rPr>
        <w:tab/>
        <w:t>The provisions of this Agreement shall not impart rights enforceable by any person, firm or organization not a Party or not bound as a Party, or not a permitted assignee of a Party bound to this Agreement.</w:t>
      </w:r>
    </w:p>
    <w:p>
      <w:pPr>
        <w:pStyle w:val="Normal"/>
        <w:tabs>
          <w:tab w:val="clear" w:pos="720"/>
          <w:tab w:val="left" w:pos="-720" w:leader="none"/>
          <w:tab w:val="left" w:pos="450" w:leader="none"/>
          <w:tab w:val="left" w:pos="900" w:leader="none"/>
        </w:tabs>
        <w:spacing w:before="0" w:after="64"/>
        <w:jc w:val="both"/>
        <w:rPr/>
      </w:pPr>
      <w:r>
        <w:rPr>
          <w:b/>
          <w:sz w:val="16"/>
        </w:rPr>
        <w:t>20.4</w:t>
      </w:r>
      <w:r>
        <w:rPr>
          <w:sz w:val="16"/>
        </w:rPr>
        <w:tab/>
        <w:t>If a provision of this Agreement is or becomes illegal, invalid or unenforceable in any jurisdiction, the foregoing event shall not affect the validity or enforceability in that jurisdiction of any other provision of this Agreement nor the validity or enforceability in other jurisdictions of that or any other provision of this Agreement.</w:t>
      </w:r>
    </w:p>
    <w:p>
      <w:pPr>
        <w:pStyle w:val="Normal"/>
        <w:tabs>
          <w:tab w:val="clear" w:pos="720"/>
          <w:tab w:val="left" w:pos="-720" w:leader="none"/>
          <w:tab w:val="left" w:pos="450" w:leader="none"/>
          <w:tab w:val="left" w:pos="900" w:leader="none"/>
        </w:tabs>
        <w:spacing w:before="0" w:after="64"/>
        <w:jc w:val="both"/>
        <w:rPr/>
      </w:pPr>
      <w:r>
        <w:rPr>
          <w:b/>
          <w:sz w:val="16"/>
        </w:rPr>
        <w:t>20.5</w:t>
      </w:r>
      <w:r>
        <w:rPr>
          <w:sz w:val="16"/>
        </w:rPr>
        <w:tab/>
        <w:t>The right of either Party to require performance by the other of any and/or all obligations imposed upon the other by this Agreement shall not in any way be affected by previous waivers, forbearance, or course of dealing.</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21.</w:t>
        <w:tab/>
        <w:t>DRAWBACK.</w:t>
      </w:r>
    </w:p>
    <w:p>
      <w:pPr>
        <w:pStyle w:val="Normal"/>
        <w:tabs>
          <w:tab w:val="clear" w:pos="720"/>
          <w:tab w:val="left" w:pos="-720" w:leader="none"/>
          <w:tab w:val="left" w:pos="450" w:leader="none"/>
          <w:tab w:val="left" w:pos="900" w:leader="none"/>
        </w:tabs>
        <w:spacing w:before="0" w:after="64"/>
        <w:jc w:val="both"/>
        <w:rPr/>
      </w:pPr>
      <w:r>
        <w:rPr>
          <w:b/>
          <w:sz w:val="16"/>
        </w:rPr>
        <w:t>21.1</w:t>
        <w:tab/>
      </w:r>
      <w:r>
        <w:rPr>
          <w:sz w:val="16"/>
        </w:rPr>
        <w:t>Whether EPC is the Buyer or the Seller of Product under this Agreement, duties on the Product subject to refund by the U.S. Customs Service under drawback laws because of the export of the Product shall be refunded to EPC.  Counterparty shall provide EPC with all documents, if any, needed by EPC to receive such refund.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22.</w:t>
        <w:tab/>
        <w:t>LAW AND JURISDICTION.</w:t>
      </w:r>
    </w:p>
    <w:p>
      <w:pPr>
        <w:pStyle w:val="Normal"/>
        <w:tabs>
          <w:tab w:val="clear" w:pos="720"/>
          <w:tab w:val="left" w:pos="-720" w:leader="none"/>
          <w:tab w:val="left" w:pos="900" w:leader="none"/>
        </w:tabs>
        <w:spacing w:before="0" w:after="64"/>
        <w:jc w:val="both"/>
        <w:rPr>
          <w:sz w:val="16"/>
          <w:u w:val="single"/>
        </w:rPr>
      </w:pPr>
      <w:r>
        <w:rPr>
          <w:b/>
          <w:sz w:val="16"/>
        </w:rPr>
        <w:t>22.1</w:t>
      </w:r>
      <w:r>
        <w:rPr>
          <w:sz w:val="16"/>
        </w:rPr>
        <w:t xml:space="preserve">  This Agreement shall be governed by, and construed, enforced and performed in accordance with Texas law, including, without limitation, the Uniform Commercial Code as in effect in the State of Texas, as the same may be amended from time to time, without regard to principles of conflicts of law, and to the exclusion of the laws of any other legal system.  The parties agree that this Agreement shall be deemed to have been made in Texas.</w:t>
      </w:r>
    </w:p>
    <w:p>
      <w:pPr>
        <w:pStyle w:val="Normal"/>
        <w:tabs>
          <w:tab w:val="clear" w:pos="720"/>
          <w:tab w:val="left" w:pos="-720" w:leader="none"/>
          <w:tab w:val="left" w:pos="900" w:leader="none"/>
        </w:tabs>
        <w:spacing w:before="0" w:after="64"/>
        <w:jc w:val="both"/>
        <w:rPr/>
      </w:pPr>
      <w:r>
        <w:rPr>
          <w:b/>
          <w:sz w:val="16"/>
          <w:u w:val="single"/>
        </w:rPr>
        <w:t>23.</w:t>
      </w:r>
      <w:r>
        <w:rPr>
          <w:sz w:val="16"/>
          <w:u w:val="single"/>
        </w:rPr>
        <w:t xml:space="preserve">  </w:t>
      </w:r>
      <w:r>
        <w:rPr>
          <w:b/>
          <w:sz w:val="16"/>
          <w:u w:val="single"/>
        </w:rPr>
        <w:t>AUDIT.</w:t>
      </w:r>
    </w:p>
    <w:p>
      <w:pPr>
        <w:pStyle w:val="Normal"/>
        <w:tabs>
          <w:tab w:val="clear" w:pos="720"/>
          <w:tab w:val="left" w:pos="-720" w:leader="none"/>
          <w:tab w:val="left" w:pos="450" w:leader="none"/>
          <w:tab w:val="left" w:pos="900" w:leader="none"/>
        </w:tabs>
        <w:spacing w:before="0" w:after="64"/>
        <w:jc w:val="both"/>
        <w:rPr/>
      </w:pPr>
      <w:r>
        <w:rPr>
          <w:b/>
          <w:sz w:val="16"/>
        </w:rPr>
        <w:t>23.1</w:t>
        <w:tab/>
      </w:r>
      <w:r>
        <w:rPr>
          <w:sz w:val="16"/>
        </w:rPr>
        <w:t>Subject to the confidentiality provisions of Section 26, for a period of two (2) years from a date of delivery of Product under this Agreement, each Party and its duly authorized representatives shall have the right, at its own expense and following reasonable notice, to audit (and take copies of) the books and records of the other relating to that delivery to the extent necessary to verify the accuracy of any invoice, charge, payment, or computation made under this Agreement.</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24.</w:t>
        <w:tab/>
        <w:t>EXCHANGE BALANCE.</w:t>
      </w:r>
    </w:p>
    <w:p>
      <w:pPr>
        <w:pStyle w:val="Normal"/>
        <w:tabs>
          <w:tab w:val="clear" w:pos="720"/>
          <w:tab w:val="left" w:pos="-720" w:leader="none"/>
          <w:tab w:val="left" w:pos="450" w:leader="none"/>
          <w:tab w:val="left" w:pos="900" w:leader="none"/>
        </w:tabs>
        <w:spacing w:before="0" w:after="64"/>
        <w:jc w:val="both"/>
        <w:rPr/>
      </w:pPr>
      <w:r>
        <w:rPr>
          <w:b/>
          <w:sz w:val="16"/>
        </w:rPr>
        <w:t>24.1</w:t>
        <w:tab/>
      </w:r>
      <w:r>
        <w:rPr>
          <w:sz w:val="16"/>
        </w:rPr>
        <w:t xml:space="preserve">When this Agreement is a Product exchange, this Agreement shall be on a unit volume for unit volume (gallon/barrel/ton) basis without the payment of money by either Party except as otherwise indicated and except for differentials and Taxes.  It is intended that the exchange of Products hereunder shall be kept in approximate balance as to volume during the continuance of this Agreement.  If, at the termination of this Agreement, the exchange shall be out of balance, the Party owing the imbalance volumes shall pay for such imbalance at a mutually agreed commercial price, payable in money or volume, unless otherwise agreed.  </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25.</w:t>
        <w:tab/>
        <w:t>COMPLIANCE WITH U.S. LAWS AND REGULATIONS IN INTERNATIONAL TRANSACTIONS.</w:t>
      </w:r>
    </w:p>
    <w:p>
      <w:pPr>
        <w:pStyle w:val="Normal"/>
        <w:tabs>
          <w:tab w:val="clear" w:pos="720"/>
          <w:tab w:val="left" w:pos="-720" w:leader="none"/>
          <w:tab w:val="left" w:pos="450" w:leader="none"/>
          <w:tab w:val="left" w:pos="900" w:leader="none"/>
        </w:tabs>
        <w:spacing w:before="0" w:after="64"/>
        <w:jc w:val="both"/>
        <w:rPr/>
      </w:pPr>
      <w:r>
        <w:rPr>
          <w:b/>
          <w:sz w:val="16"/>
        </w:rPr>
        <w:t>25.1</w:t>
      </w:r>
      <w:r>
        <w:rPr>
          <w:sz w:val="16"/>
        </w:rPr>
        <w:tab/>
        <w:t>The Parties acknowledge that EPC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EPC or any of its Affiliates is not placed in a position of noncompliance with the U.S. Laws, including but not limited to any reporting requirements.</w:t>
      </w:r>
    </w:p>
    <w:p>
      <w:pPr>
        <w:pStyle w:val="Normal"/>
        <w:spacing w:lineRule="atLeast" w:line="240"/>
        <w:jc w:val="both"/>
        <w:rPr/>
      </w:pPr>
      <w:r>
        <w:rPr>
          <w:b/>
          <w:color w:val="000000"/>
          <w:sz w:val="16"/>
        </w:rPr>
        <w:t xml:space="preserve">25.2    </w:t>
      </w:r>
      <w:r>
        <w:rPr>
          <w:color w:val="000000"/>
          <w:sz w:val="16"/>
        </w:rPr>
        <w:t>If EPC is Buyer</w:t>
      </w:r>
      <w:r>
        <w:rPr>
          <w:color w:val="000000"/>
          <w:sz w:val="16"/>
          <w:u w:val="single"/>
        </w:rPr>
        <w:t>,</w:t>
      </w:r>
      <w:r>
        <w:rPr>
          <w:color w:val="000000"/>
          <w:sz w:val="16"/>
        </w:rPr>
        <w:t xml:space="preserve"> Seller warrants that the product supplied under this agreement shall not be produced by, originate or be shipped from any country subject to U.S</w:t>
      </w:r>
      <w:r>
        <w:rPr>
          <w:color w:val="000000"/>
          <w:sz w:val="16"/>
          <w:u w:val="single"/>
        </w:rPr>
        <w:t>.</w:t>
      </w:r>
      <w:r>
        <w:rPr>
          <w:color w:val="000000"/>
          <w:sz w:val="16"/>
        </w:rPr>
        <w:t xml:space="preserve"> trade sanctions (including but not limited to Iran, Iraq, Cuba, North Korea, Libya, Sudan, The Federal Republic of Yugoslavia and The Republic of Serbia) and/or any country with whom EPC is prohibited by U.S. law or U.S. regulations from trading.  Seller shall if requested by EPC provide EPC with a certificate of origin for the product.  The certificate of origin shall be attested by an official seal and signature of the customs authorities or the Chamber of Commerce at the loadport.  Seller shall ensure that EPC  receives the certificate of origin within 30 days of the bill of lading date.  It is a condition of this Agreement that the Seller complies with their obligations under this clause. In the event that the Seller is in breach of its obligations hereunder in whole or in part EPC shall be entitled to reject the product and claim damages.</w:t>
      </w:r>
    </w:p>
    <w:p>
      <w:pPr>
        <w:pStyle w:val="Normal"/>
        <w:tabs>
          <w:tab w:val="clear" w:pos="720"/>
          <w:tab w:val="left" w:pos="-720" w:leader="none"/>
        </w:tabs>
        <w:suppressAutoHyphens w:val="true"/>
        <w:jc w:val="both"/>
        <w:rPr>
          <w:color w:val="000000"/>
          <w:sz w:val="16"/>
        </w:rPr>
      </w:pPr>
      <w:r>
        <w:rPr>
          <w:color w:val="000000"/>
          <w:sz w:val="16"/>
        </w:rPr>
      </w:r>
    </w:p>
    <w:p>
      <w:pPr>
        <w:pStyle w:val="Normal"/>
        <w:tabs>
          <w:tab w:val="clear" w:pos="720"/>
          <w:tab w:val="left" w:pos="-720" w:leader="none"/>
        </w:tabs>
        <w:suppressAutoHyphens w:val="true"/>
        <w:jc w:val="both"/>
        <w:rPr/>
      </w:pPr>
      <w:r>
        <w:rPr>
          <w:b/>
          <w:sz w:val="16"/>
        </w:rPr>
        <w:t xml:space="preserve">25.3   </w:t>
      </w:r>
      <w:r>
        <w:rPr>
          <w:sz w:val="16"/>
        </w:rPr>
        <w:t>If EPC is Seller, 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EPC’s request, Buyer agrees to notify EPC of the final destination of the product and provide EPC with relevant documentation adequate to verify such destination. It is a condition of this Agreement that Buyer complies with its obligations under this clause.  In the event that Buyer is in breach of any of the provisions of this clause in whole or part, EPC shall be entitled to terminate this agreement immediately without any liability to Buyer, and Buyer shall hold EPC harmless and indemnify EPC for any damages, losses, costs, fines or penalties incurred by EPC resulting from Buyer’s breach</w:t>
      </w:r>
      <w:r>
        <w:rPr>
          <w:sz w:val="18"/>
        </w:rPr>
        <w:t>.</w:t>
      </w:r>
    </w:p>
    <w:p>
      <w:pPr>
        <w:pStyle w:val="Normal"/>
        <w:tabs>
          <w:tab w:val="clear" w:pos="720"/>
          <w:tab w:val="left" w:pos="-720" w:leader="none"/>
          <w:tab w:val="left" w:pos="45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26.</w:t>
        <w:tab/>
        <w:t>CONFIDENTIALITY.</w:t>
      </w:r>
    </w:p>
    <w:p>
      <w:pPr>
        <w:pStyle w:val="Normal"/>
        <w:tabs>
          <w:tab w:val="clear" w:pos="720"/>
          <w:tab w:val="left" w:pos="-720" w:leader="none"/>
          <w:tab w:val="left" w:pos="450" w:leader="none"/>
          <w:tab w:val="left" w:pos="900" w:leader="none"/>
        </w:tabs>
        <w:spacing w:before="0" w:after="64"/>
        <w:jc w:val="both"/>
        <w:rPr/>
      </w:pPr>
      <w:r>
        <w:rPr>
          <w:b/>
          <w:sz w:val="16"/>
        </w:rPr>
        <w:t>26.1</w:t>
        <w:tab/>
      </w:r>
      <w:r>
        <w:rPr>
          <w:sz w:val="16"/>
        </w:rPr>
        <w:t>Each Party shall keep all information obtained by the relevant Party pursuant to any audit conducted under Section 23 of this Agreement confidential, and shall make no press release or public disclosure, either written or oral, regarding such information or the terms of any Transaction without the prior knowledge and consent of the other Party hereto; provided that the foregoing shall not prohibit any disclosure (a) by press release, filing or otherwise that is required by any applicable law, regulation, rule, order, judgment, or decree, and (b) to Affiliates of the Parties and to attorneys, accountants, and other agents of the Parties or their Affiliates assisting the Parties in connection with any Transaction contemplated by this Agreement.  Each Party shall be responsible for assuring that its attorneys, accountants, and other agents or its Affiliates, their attorneys, accountants and other agents keep all information obtained by the relevant Party pursuant to any audit conducted under Section 23 of this Agreement confidential; provided, however, that nothing contained in this Section 26 shall be construed to prohibit the Parties hereto from operating businesses in competition with each other.  The provisions of the Agreement other than the terms of any Transaction are not subject to this confidentiality provision.</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27</w:t>
        <w:tab/>
        <w:t>ARBITRATION.</w:t>
      </w:r>
    </w:p>
    <w:p>
      <w:pPr>
        <w:pStyle w:val="Normal"/>
        <w:jc w:val="both"/>
        <w:rPr/>
      </w:pPr>
      <w:r>
        <w:rPr>
          <w:b/>
          <w:sz w:val="16"/>
        </w:rPr>
        <w:t xml:space="preserve">27.1  </w:t>
      </w:r>
      <w:r>
        <w:rPr>
          <w:sz w:val="16"/>
        </w:rPr>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b/>
          <w:sz w:val="16"/>
        </w:rPr>
        <w:t xml:space="preserve"> the parties hereby waiving their rights, if any, to recover attorneys' fees and consequential, special, indirect, treble, exemplary and punitive damages with respect to this Agreement</w:t>
      </w:r>
      <w:r>
        <w:rPr>
          <w:sz w:val="16"/>
        </w:rPr>
        <w:t>.</w:t>
      </w:r>
      <w:r>
        <w:rPr>
          <w:b/>
          <w:sz w:val="16"/>
        </w:rPr>
        <w:t xml:space="preserve">  </w:t>
      </w:r>
      <w:r>
        <w:rPr>
          <w:sz w:val="16"/>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sz w:val="16"/>
        </w:rPr>
      </w:pPr>
      <w:r>
        <w:rPr>
          <w:sz w:val="16"/>
        </w:rPr>
      </w:r>
    </w:p>
    <w:p>
      <w:pPr>
        <w:pStyle w:val="Normal"/>
        <w:jc w:val="both"/>
        <w:rPr/>
      </w:pPr>
      <w:r>
        <w:rPr>
          <w:b/>
          <w:sz w:val="16"/>
        </w:rPr>
        <w:t>27.2</w:t>
        <w:tab/>
      </w:r>
      <w:r>
        <w:rPr>
          <w:sz w:val="16"/>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sz w:val="16"/>
        </w:rPr>
      </w:pPr>
      <w:r>
        <w:rPr>
          <w:sz w:val="16"/>
        </w:rPr>
      </w:r>
    </w:p>
    <w:p>
      <w:pPr>
        <w:pStyle w:val="Normal"/>
        <w:ind w:hanging="720" w:start="1440" w:end="0"/>
        <w:jc w:val="both"/>
        <w:rPr>
          <w:sz w:val="16"/>
        </w:rPr>
      </w:pPr>
      <w:r>
        <w:rPr>
          <w:sz w:val="16"/>
        </w:rPr>
        <w:t>(i)</w:t>
        <w:tab/>
        <w:t>consents to the exclusive personal jurisdiction of the courts located in Harris County, Texas, USA;</w:t>
      </w:r>
    </w:p>
    <w:p>
      <w:pPr>
        <w:pStyle w:val="Normal"/>
        <w:ind w:hanging="720" w:start="1440" w:end="0"/>
        <w:jc w:val="both"/>
        <w:rPr>
          <w:sz w:val="16"/>
        </w:rPr>
      </w:pPr>
      <w:r>
        <w:rPr>
          <w:sz w:val="16"/>
        </w:rPr>
      </w:r>
    </w:p>
    <w:p>
      <w:pPr>
        <w:pStyle w:val="Normal"/>
        <w:ind w:hanging="720" w:start="1440" w:end="0"/>
        <w:jc w:val="both"/>
        <w:rPr>
          <w:sz w:val="16"/>
        </w:rPr>
      </w:pPr>
      <w:r>
        <w:rPr>
          <w:sz w:val="16"/>
        </w:rPr>
        <w:t>(ii)</w:t>
        <w:tab/>
        <w:t>agrees that venue properly lies in the above-designated jurisdiction; and</w:t>
      </w:r>
    </w:p>
    <w:p>
      <w:pPr>
        <w:pStyle w:val="Normal"/>
        <w:ind w:hanging="720" w:start="1440" w:end="0"/>
        <w:jc w:val="both"/>
        <w:rPr>
          <w:sz w:val="16"/>
        </w:rPr>
      </w:pPr>
      <w:r>
        <w:rPr>
          <w:sz w:val="16"/>
        </w:rPr>
      </w:r>
    </w:p>
    <w:p>
      <w:pPr>
        <w:pStyle w:val="Normal"/>
        <w:ind w:hanging="720" w:start="1440" w:end="0"/>
        <w:jc w:val="both"/>
        <w:rPr>
          <w:sz w:val="16"/>
        </w:rPr>
      </w:pPr>
      <w:r>
        <w:rPr>
          <w:sz w:val="16"/>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sz w:val="16"/>
        </w:rPr>
      </w:pPr>
      <w:r>
        <w:rPr>
          <w:sz w:val="16"/>
        </w:rPr>
      </w:r>
    </w:p>
    <w:p>
      <w:pPr>
        <w:pStyle w:val="Normal"/>
        <w:ind w:hanging="720" w:start="720" w:end="0"/>
        <w:jc w:val="both"/>
        <w:rPr>
          <w:sz w:val="16"/>
        </w:rPr>
      </w:pPr>
      <w:r>
        <w:rPr>
          <w:sz w:val="16"/>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sz w:val="16"/>
        </w:rPr>
      </w:pPr>
      <w:r>
        <w:rPr>
          <w:sz w:val="16"/>
        </w:rPr>
      </w:r>
    </w:p>
    <w:p>
      <w:pPr>
        <w:pStyle w:val="Normal"/>
        <w:ind w:hanging="720" w:start="720" w:end="0"/>
        <w:jc w:val="both"/>
        <w:rPr>
          <w:sz w:val="16"/>
        </w:rPr>
      </w:pPr>
      <w:r>
        <w:rPr>
          <w:sz w:val="16"/>
        </w:rPr>
        <w:t>(c)</w:t>
        <w:tab/>
        <w:t>The parties hereby waive any claim that a judgment obtained in the above-designated jurisdiction is invalid or unenforceable.</w:t>
      </w:r>
    </w:p>
    <w:p>
      <w:pPr>
        <w:pStyle w:val="Normal"/>
        <w:ind w:hanging="720" w:start="720" w:end="0"/>
        <w:jc w:val="both"/>
        <w:rPr>
          <w:sz w:val="16"/>
        </w:rPr>
      </w:pPr>
      <w:r>
        <w:rPr>
          <w:sz w:val="16"/>
        </w:rPr>
      </w:r>
    </w:p>
    <w:p>
      <w:pPr>
        <w:pStyle w:val="Normal"/>
        <w:ind w:hanging="720" w:start="720" w:end="0"/>
        <w:jc w:val="both"/>
        <w:rPr>
          <w:sz w:val="16"/>
        </w:rPr>
      </w:pPr>
      <w:r>
        <w:rPr>
          <w:sz w:val="16"/>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sz w:val="16"/>
        </w:rPr>
      </w:pPr>
      <w:r>
        <w:rPr>
          <w:sz w:val="16"/>
        </w:rPr>
      </w:r>
    </w:p>
    <w:p>
      <w:pPr>
        <w:pStyle w:val="BodyText2"/>
        <w:jc w:val="both"/>
        <w:rPr>
          <w:rFonts w:ascii="Arial" w:hAnsi="Arial" w:cs="Arial"/>
          <w:sz w:val="16"/>
        </w:rPr>
      </w:pPr>
      <w:r>
        <w:rPr>
          <w:sz w:val="16"/>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left" w:pos="-720" w:leader="none"/>
          <w:tab w:val="left" w:pos="0" w:leader="none"/>
          <w:tab w:val="left" w:pos="450" w:leader="none"/>
          <w:tab w:val="left" w:pos="720" w:leader="none"/>
          <w:tab w:val="left" w:pos="900" w:leader="none"/>
        </w:tabs>
        <w:spacing w:before="0" w:after="64"/>
        <w:jc w:val="both"/>
        <w:rPr>
          <w:b/>
          <w:sz w:val="16"/>
          <w:u w:val="single"/>
        </w:rPr>
      </w:pPr>
      <w:r>
        <w:rPr>
          <w:b/>
          <w:sz w:val="16"/>
          <w:u w:val="single"/>
        </w:rPr>
        <w:t>28.</w:t>
        <w:tab/>
        <w:t>WINDING-UP ARRANGEMENTS.</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28.1</w:t>
      </w:r>
      <w:r>
        <w:rPr>
          <w:sz w:val="16"/>
        </w:rPr>
        <w:tab/>
        <w:t>Upon the expiration or termination of the Parties' delivery and purchase obligations under this Agreement, any monies or penalties due and owing Seller shall be paid pursuant to the terms hereof, any correction or adjustments to payments previously made shall be determined, and any refunds due Buyer shall be made at the earliest possible time, and in any event no later than sixty (60) Days after the expiration or termination of this Agreement.</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28.2</w:t>
      </w:r>
      <w:r>
        <w:rPr>
          <w:sz w:val="16"/>
        </w:rPr>
        <w:tab/>
        <w:t>All indemnity obligations and audit rights shall survive the termination of this Agreement.  The Parties' obligations, as provided in this Agreement, shall remain in effect solely for the purpose of complying with this Section 28 until the obligations under this Section 28 have been fulfilled.</w:t>
      </w:r>
    </w:p>
    <w:p>
      <w:pPr>
        <w:pStyle w:val="Normal"/>
        <w:tabs>
          <w:tab w:val="left" w:pos="-720" w:leader="none"/>
          <w:tab w:val="left" w:pos="0" w:leader="none"/>
          <w:tab w:val="left" w:pos="450" w:leader="none"/>
          <w:tab w:val="left" w:pos="720" w:leader="none"/>
          <w:tab w:val="left" w:pos="900" w:leader="none"/>
        </w:tabs>
        <w:spacing w:before="0" w:after="64"/>
        <w:jc w:val="both"/>
        <w:rPr>
          <w:b/>
          <w:sz w:val="16"/>
          <w:u w:val="single"/>
        </w:rPr>
      </w:pPr>
      <w:r>
        <w:rPr>
          <w:b/>
          <w:sz w:val="16"/>
          <w:u w:val="single"/>
        </w:rPr>
        <w:t>29.</w:t>
        <w:tab/>
        <w:t>DTPA WAIVER.</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29.1</w:t>
        <w:tab/>
      </w:r>
      <w:r>
        <w:rPr>
          <w:sz w:val="16"/>
        </w:rPr>
        <w:t>The Product covered by this Agreement is intended for commercial or business use, and the Counterparty waives all provisions, remedies and claims contemplated by the Texas Deceptive Trade Practices -- Consumer Protection Act to the extent permitted by Section 17.42 thereof.</w:t>
      </w:r>
    </w:p>
    <w:p>
      <w:pPr>
        <w:sectPr>
          <w:headerReference w:type="default" r:id="rId2"/>
          <w:headerReference w:type="first" r:id="rId3"/>
          <w:footerReference w:type="default" r:id="rId4"/>
          <w:footerReference w:type="first" r:id="rId5"/>
          <w:type w:val="nextPage"/>
          <w:pgSz w:w="12240" w:h="15840"/>
          <w:pgMar w:left="720" w:right="720" w:gutter="0" w:header="432" w:top="720" w:footer="288" w:bottom="720"/>
          <w:pgNumType w:fmt="decimal"/>
          <w:cols w:num="2" w:space="432" w:equalWidth="true" w:sep="false"/>
          <w:formProt w:val="false"/>
          <w:titlePg/>
          <w:textDirection w:val="lrTb"/>
          <w:docGrid w:type="default" w:linePitch="360" w:charSpace="0"/>
        </w:sectPr>
        <w:pStyle w:val="Normal"/>
        <w:tabs>
          <w:tab w:val="left" w:pos="-720" w:leader="none"/>
          <w:tab w:val="left" w:pos="0" w:leader="none"/>
          <w:tab w:val="left" w:pos="450" w:leader="none"/>
          <w:tab w:val="left" w:pos="72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ind w:hanging="720" w:start="720" w:end="0"/>
        <w:jc w:val="center"/>
        <w:rPr>
          <w:b/>
          <w:sz w:val="16"/>
          <w:u w:val="single"/>
        </w:rPr>
      </w:pPr>
      <w:r>
        <w:rPr>
          <w:b/>
          <w:sz w:val="16"/>
          <w:u w:val="single"/>
        </w:rPr>
        <w:t>APPENDIX I</w:t>
      </w:r>
    </w:p>
    <w:p>
      <w:pPr>
        <w:pStyle w:val="Normal"/>
        <w:tabs>
          <w:tab w:val="clear" w:pos="720"/>
          <w:tab w:val="left" w:pos="-720" w:leader="none"/>
          <w:tab w:val="left" w:pos="450" w:leader="none"/>
          <w:tab w:val="left" w:pos="900" w:leader="none"/>
        </w:tabs>
        <w:ind w:hanging="720" w:start="720" w:end="0"/>
        <w:jc w:val="center"/>
        <w:rPr>
          <w:b/>
          <w:sz w:val="16"/>
        </w:rPr>
      </w:pPr>
      <w:r>
        <w:rPr>
          <w:b/>
          <w:sz w:val="16"/>
        </w:rPr>
        <w:t>to</w:t>
      </w:r>
    </w:p>
    <w:p>
      <w:pPr>
        <w:pStyle w:val="Normal"/>
        <w:tabs>
          <w:tab w:val="clear" w:pos="720"/>
          <w:tab w:val="left" w:pos="-720" w:leader="none"/>
          <w:tab w:val="left" w:pos="450" w:leader="none"/>
          <w:tab w:val="left" w:pos="900" w:leader="none"/>
        </w:tabs>
        <w:ind w:hanging="720" w:start="720" w:end="0"/>
        <w:jc w:val="center"/>
        <w:rPr>
          <w:b/>
          <w:sz w:val="16"/>
        </w:rPr>
      </w:pPr>
      <w:r>
        <w:rPr>
          <w:b/>
          <w:sz w:val="16"/>
        </w:rPr>
        <w:t>ENRON PETROCHEMICALS COMPANY</w:t>
      </w:r>
    </w:p>
    <w:p>
      <w:pPr>
        <w:pStyle w:val="Normal"/>
        <w:tabs>
          <w:tab w:val="clear" w:pos="720"/>
          <w:tab w:val="left" w:pos="-720" w:leader="none"/>
          <w:tab w:val="left" w:pos="450" w:leader="none"/>
          <w:tab w:val="left" w:pos="900" w:leader="none"/>
        </w:tabs>
        <w:spacing w:before="0" w:after="64"/>
        <w:ind w:hanging="720" w:start="720" w:end="0"/>
        <w:jc w:val="center"/>
        <w:rPr>
          <w:b/>
          <w:sz w:val="16"/>
        </w:rPr>
      </w:pPr>
      <w:r>
        <w:rPr>
          <w:b/>
          <w:sz w:val="16"/>
        </w:rPr>
        <w:t>"General Terms"</w:t>
      </w:r>
    </w:p>
    <w:p>
      <w:pPr>
        <w:pStyle w:val="Normal"/>
        <w:tabs>
          <w:tab w:val="clear" w:pos="720"/>
          <w:tab w:val="left" w:pos="-720" w:leader="none"/>
          <w:tab w:val="left" w:pos="450" w:leader="none"/>
          <w:tab w:val="left" w:pos="900" w:leader="none"/>
        </w:tabs>
        <w:spacing w:before="0" w:after="64"/>
        <w:jc w:val="both"/>
        <w:rPr/>
      </w:pPr>
      <w:r>
        <w:rPr>
          <w:b/>
          <w:sz w:val="16"/>
        </w:rPr>
        <w:t xml:space="preserve">DEFINITIONS.  </w:t>
      </w:r>
      <w:r>
        <w:rPr>
          <w:sz w:val="16"/>
        </w:rPr>
        <w:t>In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General Terms</w:t>
      </w:r>
      <w:r>
        <w:rPr>
          <w:sz w:val="16"/>
        </w:rPr>
        <w:t>" means the general terms set out in this document;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Affiliate</w:t>
      </w:r>
      <w:r>
        <w:rPr>
          <w:sz w:val="16"/>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(50%) of the outstanding capital stock or other equity interests having ordinary voting power;</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Agreement</w:t>
      </w:r>
      <w:r>
        <w:rPr>
          <w:sz w:val="16"/>
        </w:rPr>
        <w:t>" means the Special Terms and Conditions, together with these General Terms and, to the extent made applicable in the Special Terms and Conditions and the EPC Marine Provisions and any amendment(s) to the foregoing;</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Barrel</w:t>
      </w:r>
      <w:r>
        <w:rPr>
          <w:sz w:val="16"/>
        </w:rPr>
        <w:t>" means 42 United States Gallons;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Business Day</w:t>
      </w:r>
      <w:r>
        <w:rPr>
          <w:sz w:val="16"/>
        </w:rPr>
        <w:t>" means a Day on which Federal Reserve member banks in New York City are open for business;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Buyer</w:t>
      </w:r>
      <w:r>
        <w:rPr>
          <w:sz w:val="16"/>
        </w:rPr>
        <w:t>" means the party so described in the Special Terms and Conditions who is obligated to purchase Product.  Under an exchange agreement, all references to "Buyer" shall apply to the receiving party;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Claims</w:t>
      </w:r>
      <w:r>
        <w:rPr>
          <w:sz w:val="16"/>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Confirm Deadline</w:t>
      </w:r>
      <w:r>
        <w:rPr>
          <w:sz w:val="16"/>
        </w:rPr>
        <w:t>" means ten (10) Days after receipt by Counterparty of the Special Terms and Conditions following a Transaction;</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Contract Price</w:t>
      </w:r>
      <w:r>
        <w:rPr>
          <w:sz w:val="16"/>
        </w:rPr>
        <w:t>" means the price to be paid for the sale or purchase of Product as set forth in the Special Terms and Conditions; in the case of an exchange of Product, Contract Price shall mean the fair market value of the Product at the Delivery Location where it is to be delivered or received;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Counterparty</w:t>
      </w:r>
      <w:r>
        <w:rPr>
          <w:sz w:val="16"/>
        </w:rPr>
        <w:t>" means the party to this Agreement other than EPC as described in the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Day</w:t>
      </w:r>
      <w:r>
        <w:rPr>
          <w:sz w:val="16"/>
        </w:rPr>
        <w:t>" means a period of twenty-four (24) consecutive hours, beginning at 12:00 (midnight) Central Time on any calendar Day and ending at 12:00 (midnight) Central Time on the following calendar Day;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Location</w:t>
      </w:r>
      <w:r>
        <w:rPr>
          <w:sz w:val="16"/>
        </w:rPr>
        <w:t>" means the geographic location(s) specified in the Special Terms and Conditions where delivery of Product will take place;</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Period</w:t>
      </w:r>
      <w:r>
        <w:rPr>
          <w:sz w:val="16"/>
        </w:rPr>
        <w:t>" means each time period during the Term of this Agreement as specified in the Special Terms and Conditions during which Seller is obligated to tender Product for delivery to Buyer pursuant to the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Point(s)</w:t>
      </w:r>
      <w:r>
        <w:rPr>
          <w:sz w:val="16"/>
        </w:rPr>
        <w:t>" means the point(s) at the Delivery Location, determined as provided in Section 10 of the General Terms (unless otherwise designated by Seller and Buyer in the Special Terms and Conditions), at which delivery of Product shall be deemed to occur under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Effective Date</w:t>
      </w:r>
      <w:r>
        <w:rPr>
          <w:sz w:val="16"/>
        </w:rPr>
        <w:t>" means the date on which this Agreement becomes effective as described in the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EPC</w:t>
      </w:r>
      <w:r>
        <w:rPr>
          <w:sz w:val="16"/>
        </w:rPr>
        <w:t>" means Enron Petrochemicals Company, a division of Enron Liquid Fuels, Inc.;</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EPC Marine Provisions</w:t>
      </w:r>
      <w:r>
        <w:rPr>
          <w:sz w:val="16"/>
        </w:rPr>
        <w:t>" means the Enron Petrochemicals Company Marine Provisions Addendum: Domestic Operations, attached to these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Force Majeure</w:t>
      </w:r>
      <w:r>
        <w:rPr>
          <w:sz w:val="16"/>
        </w:rPr>
        <w:t>" means (i) any cause or causes reasonably beyond the control of a Party which, by the exercise of due diligence, such Party shall not have been able to avoid or overcome, or (ii) the following which shall be deemed to be "force majeure":  acts of God; strikes, lockouts, or other industrial disturbances; acts, omissions to act, or delays in action of a federal, state or local government or any agency thereof; compliance with rules, regulations, or orders of any governmental authority, or any office, department, agency or instrumentality thereof; epidemics; landslides; lightning, earthquakes; fires; storms; floods; washouts; arrests and restraints of rulers and people; arrests and restraints of government, either federal or state; labor shortage; trade or transportation embargoes; failure, shortage or delay in transportation or transportation facilities; inability to obtain any necessary export or import permits; curtailment of or failure to obtain sufficient raw materials, feedstock, labor, utilities or necessary licenses, permits or other authorizations; civil disturbances; wars; rebellions; revolutions; invasions; explosions; sabotage; accident, including death; breakage, destruction or accident to machinery, equipment lines of pipe, production facilities or terminal facilities; or freezing of lines of pipe.  It is expressly agreed by the Parties that neither:  (i) Buyer's inability economically to use or resell Product purchased under this Agreement nor (ii) Seller's ability to sell Product to a market at a more advantageous price shall constitute an event of Force Majeure.</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GAAP</w:t>
      </w:r>
      <w:r>
        <w:rPr>
          <w:sz w:val="16"/>
        </w:rPr>
        <w:t>" means generally accepted accounting principles applied in the United States of America;</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Gallon</w:t>
      </w:r>
      <w:r>
        <w:rPr>
          <w:sz w:val="16"/>
        </w:rPr>
        <w:t>" means the standard employed in the United States with respect to liquids of 231 cubic inches of liquid when such liquid has a temperature of 60 degrees Fahrenheit and is at its equilibrium vapor pressure or atmospheric pressure, whichever is greater;</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Interest Rate</w:t>
      </w:r>
      <w:r>
        <w:rPr>
          <w:sz w:val="16"/>
        </w:rPr>
        <w:t>" means, for any date, two percent (2%) over the per annum rate of interest announced as the "Prime Rate" from time to time for commercial loans by Citibank, N.A., as established by such bank, as same may change from time to time; provided, however, that the Interest Rate shall never exceed the maximum lawful rate permitted by applicable law;</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Letter of Credit</w:t>
      </w:r>
      <w:r>
        <w:rPr>
          <w:sz w:val="16"/>
        </w:rPr>
        <w:t>" means an irrevocable letter of credit issued or confirmed by a commercial bank acceptable to the Party to this Agreement in whose favor it is issued and which contains commercially reasonable terms acceptable to the Party to this Agreement in whose favor it is issued;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Market Price</w:t>
      </w:r>
      <w:r>
        <w:rPr>
          <w:sz w:val="16"/>
        </w:rPr>
        <w:t>" means, at the option of the Notifying Party following the declaration of an Early Termination Date: (a) if there is a futures contract covering the Product sold pursuant to this Agreement traded on the New York Mercantile Exchange ("NYMEX"), the arithmetic average of the settlement prices quoted on NYMEX on the relevant Early Termination Date (or, if no such settlement prices are quoted on NYMEX on such Early Termination Date, the first Day after such Early Termination Date on which such settlement prices are quoted on NYMEX) for the relevant Product for delivery in each Month in which such Product would have been delivered hereunder after such Early Termination Date if this Agreement had not been terminated, such arithmetic average being weighted according to the volumes of such Product to be delivered in each of the relevant Months; or (b) the prices quoted by four (4) non-Affiliate third parties with respect to an arms-length purchase or sale of the quantity of the relevant Product that would have been delivered hereunder after the relevant Early Termination Date if this Agreement had not been terminated, and after deleting the high and low quotes from such price quotes, taking the arithmetic average of the remaining two (2) price quotes.  Any Market Price selected by the Notifying Party shall be subject to adjustment to reflect the applicable basis differential if such Market Price is calculated at points of delivery that vary from the Delivery Location(s) in effect under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Material Adverse Change</w:t>
      </w:r>
      <w:r>
        <w:rPr>
          <w:sz w:val="16"/>
        </w:rPr>
        <w:t>" means: (a) with respect to EPC, Enron Corp. shall have long-term debt unsupported by third party credit enhancement that is rated by Standard &amp; Poor's below BBB-; or (b) with respect to Counterparty, (i) Counterparty (or Counterparty's guarantor, if applicable) shall have long-term debt unsupported by third party credit enhancement that is rated by Standard &amp; Poor's below BBB-, or (ii) if Counterparty (or Counterparty's guarantor, if applicable) does not have long-term debt rated by Standard &amp; Poor's, Counterparty (or Counterparty's guarantor, if applicable) shall have any of the following:</w:t>
      </w:r>
    </w:p>
    <w:p>
      <w:pPr>
        <w:pStyle w:val="Normal"/>
        <w:tabs>
          <w:tab w:val="clear" w:pos="720"/>
          <w:tab w:val="left" w:pos="-720" w:leader="none"/>
          <w:tab w:val="left" w:pos="540" w:leader="none"/>
        </w:tabs>
        <w:spacing w:before="0" w:after="64"/>
        <w:jc w:val="both"/>
        <w:rPr>
          <w:sz w:val="16"/>
        </w:rPr>
      </w:pPr>
      <w:r>
        <w:rPr>
          <w:sz w:val="16"/>
        </w:rPr>
        <w:t>(A)</w:t>
        <w:tab/>
        <w:t xml:space="preserve">in the reasonable opinion of EPC, a material change in the creditworthiness, financial condition, or ongoing business of Counterparty (or Counterparty's guarantor, if applicable) that may adversely affect Counterparty's ability (or the ability of Counterparty's guarantor, if applicable) to perform hereunder; or </w:t>
      </w:r>
    </w:p>
    <w:p>
      <w:pPr>
        <w:pStyle w:val="Normal"/>
        <w:tabs>
          <w:tab w:val="clear" w:pos="720"/>
          <w:tab w:val="left" w:pos="-720" w:leader="none"/>
          <w:tab w:val="left" w:pos="540" w:leader="none"/>
        </w:tabs>
        <w:spacing w:before="0" w:after="64"/>
        <w:jc w:val="both"/>
        <w:rPr>
          <w:sz w:val="16"/>
        </w:rPr>
      </w:pPr>
      <w:r>
        <w:rPr>
          <w:sz w:val="16"/>
        </w:rPr>
        <w:t>(B)</w:t>
        <w:tab/>
        <w:t>no availability under its third party credit facilities to post a Letter of Credit in the amount of the Termination Payment that would then be owed by Counterparty hereunder (notwithstanding whether a Triggering Event has occurred) or to deposit collateral equivalent in value (and the proceeds thereof) as security for the payment of such Termination Payment to EPC; or</w:t>
      </w:r>
    </w:p>
    <w:p>
      <w:pPr>
        <w:pStyle w:val="Normal"/>
        <w:tabs>
          <w:tab w:val="clear" w:pos="720"/>
          <w:tab w:val="left" w:pos="-720" w:leader="none"/>
          <w:tab w:val="left" w:pos="540" w:leader="none"/>
        </w:tabs>
        <w:spacing w:before="0" w:after="64"/>
        <w:jc w:val="both"/>
        <w:rPr>
          <w:sz w:val="16"/>
        </w:rPr>
      </w:pPr>
      <w:r>
        <w:rPr>
          <w:sz w:val="16"/>
        </w:rPr>
        <w:t>(C)</w:t>
        <w:tab/>
        <w:t>any other definition of Material Adverse Change as determined by EPC's credit department and as set forth in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Month</w:t>
      </w:r>
      <w:r>
        <w:rPr>
          <w:sz w:val="16"/>
        </w:rPr>
        <w:t>" means any calendar month;</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New Taxes</w:t>
      </w:r>
      <w:r>
        <w:rPr>
          <w:sz w:val="16"/>
        </w:rPr>
        <w:t>" means any Taxes enacted and effective after the Effective Date, including that portion of any Taxes or New Taxes that constitutes an increase either in rate or breadth of coverage;</w:t>
      </w:r>
    </w:p>
    <w:p>
      <w:pPr>
        <w:pStyle w:val="Normal"/>
        <w:tabs>
          <w:tab w:val="clear" w:pos="720"/>
          <w:tab w:val="left" w:pos="-720" w:leader="none"/>
        </w:tabs>
        <w:spacing w:before="0" w:after="72"/>
        <w:jc w:val="both"/>
        <w:rPr/>
      </w:pPr>
      <w:r>
        <w:rPr>
          <w:sz w:val="16"/>
        </w:rPr>
        <w:t>"</w:t>
      </w:r>
      <w:r>
        <w:rPr>
          <w:b/>
          <w:sz w:val="16"/>
        </w:rPr>
        <w:t>Party</w:t>
      </w:r>
      <w:r>
        <w:rPr>
          <w:sz w:val="16"/>
        </w:rPr>
        <w:t>" or "</w:t>
      </w:r>
      <w:r>
        <w:rPr>
          <w:b/>
          <w:sz w:val="16"/>
        </w:rPr>
        <w:t>Parties</w:t>
      </w:r>
      <w:r>
        <w:rPr>
          <w:sz w:val="16"/>
        </w:rPr>
        <w:t>" means, individually or together, EPC and Counterparty;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Product</w:t>
      </w:r>
      <w:r>
        <w:rPr>
          <w:sz w:val="16"/>
        </w:rPr>
        <w:t>" means the product to be purchased, sold, or exchanged as set forth in the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Seller</w:t>
      </w:r>
      <w:r>
        <w:rPr>
          <w:sz w:val="16"/>
        </w:rPr>
        <w:t>" means the party so described in the Special Terms and Conditions who is obligated to sell Product.  Under an exchange agreement, all references to "Seller" shall apply to the delivering party;</w:t>
      </w:r>
    </w:p>
    <w:p>
      <w:pPr>
        <w:pStyle w:val="BodyText3"/>
        <w:rPr/>
      </w:pPr>
      <w:r>
        <w:rPr>
          <w:b/>
          <w:strike w:val="false"/>
          <w:dstrike w:val="false"/>
        </w:rPr>
        <w:t>"Special Terms and Conditions"</w:t>
      </w:r>
      <w:r>
        <w:rPr>
          <w:strike w:val="false"/>
          <w:dstrike w:val="false"/>
        </w:rPr>
        <w:t xml:space="preserve"> means the special terms and conditions of a particular Transaction for the sale or purchase of Products, including but not limited to, payment terms, price, quantity/tolerance, Products description, specifications, delivery location and delivery window shall be as set forth on this website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Taxes</w:t>
      </w:r>
      <w:r>
        <w:rPr>
          <w:sz w:val="16"/>
        </w:rPr>
        <w:t>" means any or all ad valorem, property, occupation, severance, production, extraction, first use, conservation, Btu or energy, gathering, transport, pipeline, utility, gross receipts, gas or oil revenue, gas or oil import, privilege, sales, use, consumption, excise, lease, transaction, environmental, and other taxes, governmental charges, duties, licenses, fees, permits, and assessments;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Term</w:t>
      </w:r>
      <w:r>
        <w:rPr>
          <w:sz w:val="16"/>
        </w:rPr>
        <w:t>" means the term of this Agreement specified in the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Ton</w:t>
      </w:r>
      <w:r>
        <w:rPr>
          <w:sz w:val="16"/>
        </w:rPr>
        <w:t>" or "</w:t>
      </w:r>
      <w:r>
        <w:rPr>
          <w:b/>
          <w:sz w:val="16"/>
        </w:rPr>
        <w:t>MT</w:t>
      </w:r>
      <w:r>
        <w:rPr>
          <w:sz w:val="16"/>
        </w:rPr>
        <w:t>" means a metric ton of 2,204.52 English pounds; and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Transaction</w:t>
      </w:r>
      <w:r>
        <w:rPr>
          <w:sz w:val="16"/>
        </w:rPr>
        <w:t>" means an agreement made in accordance herewith for the purchase, sale or exchange of Product to be performed hereunder.</w:t>
      </w:r>
    </w:p>
    <w:p>
      <w:pPr>
        <w:pStyle w:val="Normal"/>
        <w:tabs>
          <w:tab w:val="clear" w:pos="720"/>
          <w:tab w:val="left" w:pos="-720" w:leader="none"/>
          <w:tab w:val="left" w:pos="450" w:leader="none"/>
          <w:tab w:val="left" w:pos="900" w:leader="none"/>
        </w:tabs>
        <w:spacing w:before="0" w:after="64"/>
        <w:jc w:val="both"/>
        <w:rPr>
          <w:sz w:val="16"/>
        </w:rPr>
      </w:pPr>
      <w:r>
        <w:rPr>
          <w:sz w:val="16"/>
        </w:rPr>
        <w:t xml:space="preserve">Other terms are elsewhere defined in this Agreement and shall, for purposes of this Agreement, have the meanings so specified unless the context otherwise requires. </w:t>
      </w:r>
    </w:p>
    <w:p>
      <w:pPr>
        <w:sectPr>
          <w:headerReference w:type="default" r:id="rId6"/>
          <w:headerReference w:type="first" r:id="rId7"/>
          <w:footerReference w:type="default" r:id="rId8"/>
          <w:footerReference w:type="first" r:id="rId9"/>
          <w:type w:val="nextPage"/>
          <w:pgSz w:w="12240" w:h="15840"/>
          <w:pgMar w:left="900" w:right="990" w:gutter="0" w:header="432" w:top="1080" w:footer="288" w:bottom="344"/>
          <w:pgNumType w:start="1" w:fmt="decimal"/>
          <w:cols w:num="2" w:space="708" w:equalWidth="true" w:sep="false"/>
          <w:formProt w:val="false"/>
          <w:titlePg/>
          <w:textDirection w:val="lrTb"/>
          <w:docGrid w:type="default" w:linePitch="360" w:charSpace="0"/>
        </w:sect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ind w:hanging="720" w:start="720" w:end="0"/>
        <w:jc w:val="center"/>
        <w:rPr>
          <w:b/>
          <w:sz w:val="16"/>
          <w:u w:val="single"/>
        </w:rPr>
      </w:pPr>
      <w:r>
        <w:rPr>
          <w:b/>
          <w:sz w:val="16"/>
          <w:u w:val="single"/>
        </w:rPr>
        <w:t>APPENDIX II</w:t>
      </w:r>
    </w:p>
    <w:p>
      <w:pPr>
        <w:pStyle w:val="Normal"/>
        <w:tabs>
          <w:tab w:val="clear" w:pos="720"/>
          <w:tab w:val="left" w:pos="-720" w:leader="none"/>
          <w:tab w:val="left" w:pos="450" w:leader="none"/>
          <w:tab w:val="left" w:pos="900" w:leader="none"/>
        </w:tabs>
        <w:ind w:hanging="720" w:start="720" w:end="0"/>
        <w:jc w:val="center"/>
        <w:rPr>
          <w:b/>
          <w:sz w:val="16"/>
        </w:rPr>
      </w:pPr>
      <w:r>
        <w:rPr>
          <w:b/>
          <w:sz w:val="16"/>
        </w:rPr>
        <w:t>to</w:t>
      </w:r>
    </w:p>
    <w:p>
      <w:pPr>
        <w:pStyle w:val="Normal"/>
        <w:tabs>
          <w:tab w:val="clear" w:pos="720"/>
          <w:tab w:val="left" w:pos="-720" w:leader="none"/>
          <w:tab w:val="left" w:pos="450" w:leader="none"/>
          <w:tab w:val="left" w:pos="900" w:leader="none"/>
        </w:tabs>
        <w:ind w:hanging="720" w:start="720" w:end="0"/>
        <w:jc w:val="center"/>
        <w:rPr>
          <w:b/>
          <w:sz w:val="16"/>
        </w:rPr>
      </w:pPr>
      <w:r>
        <w:rPr>
          <w:b/>
          <w:sz w:val="16"/>
        </w:rPr>
        <w:t>ENRON PETROCHEMICALS COMPANY</w:t>
      </w:r>
    </w:p>
    <w:p>
      <w:pPr>
        <w:pStyle w:val="Normal"/>
        <w:tabs>
          <w:tab w:val="clear" w:pos="720"/>
          <w:tab w:val="left" w:pos="-720" w:leader="none"/>
        </w:tabs>
        <w:spacing w:before="0" w:after="120"/>
        <w:jc w:val="center"/>
        <w:rPr>
          <w:b/>
          <w:sz w:val="16"/>
        </w:rPr>
      </w:pPr>
      <w:r>
        <w:rPr>
          <w:b/>
          <w:sz w:val="16"/>
        </w:rPr>
        <w:t>a division of Enron Liquid Fuels, Inc.</w:t>
      </w:r>
    </w:p>
    <w:p>
      <w:pPr>
        <w:pStyle w:val="BodyText"/>
        <w:rPr/>
      </w:pPr>
      <w:r>
        <w:rPr/>
        <w:t>MARINE PROVISIONS ADDENDUM: DOMESTIC OPERATIONS</w:t>
      </w:r>
    </w:p>
    <w:p>
      <w:pPr>
        <w:pStyle w:val="Normal"/>
        <w:tabs>
          <w:tab w:val="clear" w:pos="720"/>
          <w:tab w:val="left" w:pos="-720" w:leader="none"/>
        </w:tabs>
        <w:jc w:val="both"/>
        <w:rPr>
          <w:sz w:val="20"/>
        </w:rPr>
      </w:pPr>
      <w:r>
        <w:rPr>
          <w:sz w:val="20"/>
        </w:rPr>
      </w:r>
    </w:p>
    <w:p>
      <w:pPr>
        <w:pStyle w:val="Normal"/>
        <w:spacing w:before="0" w:after="120"/>
        <w:jc w:val="both"/>
        <w:rPr/>
      </w:pPr>
      <w:r>
        <w:rPr>
          <w:b/>
          <w:sz w:val="16"/>
        </w:rPr>
        <w:t>GENERAL</w:t>
      </w:r>
      <w:r>
        <w:rPr>
          <w:sz w:val="16"/>
        </w:rPr>
        <w:t xml:space="preserve"> -- To the extent that these Marine Provisions become effective between Seller and Buyer, INCOTERMS 1990 shall also apply.  When used in these Marine Provisions, capitalized terms defined in the Special Terms and Conditions and EPC General Terms shall have the meanings as set forth therein, unless expressly indicated otherwise herein.</w:t>
      </w:r>
    </w:p>
    <w:p>
      <w:pPr>
        <w:pStyle w:val="Normal"/>
        <w:tabs>
          <w:tab w:val="clear" w:pos="720"/>
          <w:tab w:val="left" w:pos="-720" w:leader="none"/>
        </w:tabs>
        <w:spacing w:before="0" w:after="120"/>
        <w:jc w:val="both"/>
        <w:rPr>
          <w:sz w:val="16"/>
        </w:rPr>
      </w:pPr>
      <w:r>
        <w:rPr>
          <w:sz w:val="16"/>
        </w:rPr>
        <w:t>The term "cargo" as used in these Marine Provisions refers to any Product described in the Special Terms and Conditions.</w:t>
      </w:r>
    </w:p>
    <w:p>
      <w:pPr>
        <w:pStyle w:val="Normal"/>
        <w:tabs>
          <w:tab w:val="clear" w:pos="720"/>
          <w:tab w:val="left" w:pos="-720" w:leader="none"/>
        </w:tabs>
        <w:spacing w:before="0" w:after="120"/>
        <w:jc w:val="both"/>
        <w:rPr>
          <w:sz w:val="16"/>
        </w:rPr>
      </w:pPr>
      <w:r>
        <w:rPr>
          <w:sz w:val="16"/>
        </w:rPr>
        <w:t>The term "terminal" as used in these Marine Provisions refers to the plant or terminal facility delivering or receiving the cargo referenced to in the Special Terms and Conditions.</w:t>
      </w:r>
    </w:p>
    <w:p>
      <w:pPr>
        <w:pStyle w:val="Normal"/>
        <w:tabs>
          <w:tab w:val="clear" w:pos="720"/>
          <w:tab w:val="left" w:pos="-720" w:leader="none"/>
        </w:tabs>
        <w:spacing w:before="0" w:after="120"/>
        <w:jc w:val="both"/>
        <w:rPr>
          <w:sz w:val="16"/>
        </w:rPr>
      </w:pPr>
      <w:r>
        <w:rPr>
          <w:sz w:val="16"/>
        </w:rPr>
        <w:t xml:space="preserve">The term "vessel" as used in these Marine Provisions refers to any barge, tow, ocean-going barge or ocean tanker, collectively.  The term "tow" refers to any combination of boats or barges with the ability to function as a single unit.  A vessel shall know the terminal requirements for maximum vessel dimensions at the terminal loading berth before receiving or delivering cargo at the terminal and shall comply with the same.  Obligations of the vessel designated under these Marine Provisions shall be the obligations of the vessel's charterer, owner, or operator that is a party to the Agreement. </w:t>
      </w:r>
    </w:p>
    <w:p>
      <w:pPr>
        <w:pStyle w:val="Normal"/>
        <w:tabs>
          <w:tab w:val="clear" w:pos="720"/>
          <w:tab w:val="left" w:pos="-720" w:leader="none"/>
        </w:tabs>
        <w:spacing w:before="0" w:after="120"/>
        <w:jc w:val="both"/>
        <w:rPr>
          <w:sz w:val="16"/>
        </w:rPr>
      </w:pPr>
      <w:r>
        <w:rPr>
          <w:sz w:val="16"/>
        </w:rPr>
        <w:t>The term "USCG" as used in these Marine Provisions refers to the United States Coast Guard.</w:t>
      </w:r>
    </w:p>
    <w:p>
      <w:pPr>
        <w:pStyle w:val="Normal"/>
        <w:spacing w:before="0" w:after="120"/>
        <w:jc w:val="both"/>
        <w:rPr/>
      </w:pPr>
      <w:r>
        <w:rPr>
          <w:b/>
          <w:sz w:val="16"/>
        </w:rPr>
        <w:t>DELIVERY; DELIVERY POINT</w:t>
      </w:r>
      <w:r>
        <w:rPr>
          <w:sz w:val="16"/>
        </w:rPr>
        <w:t xml:space="preserve"> -- Shipment of the cargo shall be from a terminal designated by the delivering party into a vessel nominated by the receiving party or by a vessel nominated by the delivering party to a port of discharge designated by the receiving party in accordance with the provisions contained in the Special Terms and Conditions.  The Delivery Point shall be located, and delivery of cargo shall be deemed to occur, at the point at which the cargo passes the flange connection between the vessel's cargo manifold and the shoreline connection at the port of loading, unless otherwise stated in the Special Terms and Conditions.</w:t>
      </w:r>
    </w:p>
    <w:p>
      <w:pPr>
        <w:pStyle w:val="Normal"/>
        <w:spacing w:before="0" w:after="120"/>
        <w:jc w:val="both"/>
        <w:rPr/>
      </w:pPr>
      <w:r>
        <w:rPr>
          <w:b/>
          <w:sz w:val="16"/>
        </w:rPr>
        <w:t>CLEANING</w:t>
      </w:r>
      <w:r>
        <w:rPr>
          <w:sz w:val="16"/>
        </w:rPr>
        <w:t xml:space="preserve"> -- The vessel's tanks, pumps, valves, pipes, and lines shall be cleaned to the quality and quantity independent inspector's reasonable satisfaction.</w:t>
      </w:r>
    </w:p>
    <w:p>
      <w:pPr>
        <w:pStyle w:val="Normal"/>
        <w:spacing w:before="0" w:after="120"/>
        <w:jc w:val="both"/>
        <w:rPr/>
      </w:pPr>
      <w:r>
        <w:rPr>
          <w:b/>
          <w:sz w:val="16"/>
        </w:rPr>
        <w:t>VESSEL NOMINATION AND APPROVAL</w:t>
      </w:r>
      <w:r>
        <w:rPr>
          <w:sz w:val="16"/>
        </w:rPr>
        <w:t xml:space="preserve"> -- The terminal shall be notified by facsimile, telegram, or telex of each vessel nominated, not less than seven (7) days prior to the expected arrival date.  All vessels nominated shall meet the general vessel requirements of the terminal which shall receive or deliver the cargo.  Acceptance or rejection of the nominated vessel by the relevant party shall be communicated to the other party within forty-eight (48) hours, excluding Saturdays, Sundays and holidays, after receipt of nomination.  No nomination, acceptance, or confirmation will be deemed to be a waiver of the general vessel requirements of the terminal.  Acceptance of any vessel shall not constitute a continuing acceptance of such vessel for any subsequent loading or discharging.</w:t>
      </w:r>
    </w:p>
    <w:p>
      <w:pPr>
        <w:pStyle w:val="Normal"/>
        <w:spacing w:before="0" w:after="120"/>
        <w:jc w:val="both"/>
        <w:rPr/>
      </w:pPr>
      <w:r>
        <w:rPr>
          <w:b/>
          <w:sz w:val="16"/>
        </w:rPr>
        <w:t>SAFE BERTH AVAILABILITY</w:t>
      </w:r>
      <w:r>
        <w:rPr>
          <w:sz w:val="16"/>
        </w:rPr>
        <w:t xml:space="preserve"> -- A nominated and accepted vessel shall be provided with a berth free of all wharfage, dockage, tariff and quay dues (hereinafter referred to collectively as "Fees") incurred for normal cargo transfers.  These Fees, however, will be charged to vessels that cause delays or expense that, by the exercise of due diligence, the vessel owner/operator shall have been able to avoid or overcome.  All duties and other charges on the vessel (including without limitation, those incurred for the tugs and pilots), other port costs, and taxes on freight shall be borne by the vessel.  The berth provided shall be a safe berth to which vessels may proceed to or depart from, and where the vessel can always lie safely afloat.  However, notwithstanding anything contained elsewhere in this clause, no party hereto shall be deemed to warrant the safety of public channels, fairways, approaches thereto, anchorages, or other publicly-maintained area either inside or outside the port area where the vessel may be directed.</w:t>
      </w:r>
    </w:p>
    <w:p>
      <w:pPr>
        <w:pStyle w:val="Normal"/>
        <w:spacing w:before="0" w:after="120"/>
        <w:jc w:val="both"/>
        <w:rPr/>
      </w:pPr>
      <w:r>
        <w:rPr>
          <w:b/>
          <w:sz w:val="16"/>
        </w:rPr>
        <w:t>NOTICE OF ARRIVAL TIME</w:t>
      </w:r>
      <w:r>
        <w:rPr>
          <w:sz w:val="16"/>
        </w:rPr>
        <w:t xml:space="preserve"> -- The vessel shall notify the terminal and the other parties hereto of the estimated time of arrival ("ETA") by facsimile, telegram, or telex within twenty-four (24) hours after the vessel has sailed from its last port or facility prior to calling at the terminal, or as soon as the ETA is available.  The vessel shall similarly notify the terminal, and the other parties hereto, of the ETA approximately 72, 48, and 24 hours before the vessel's expected arrival.  The vessel shall promptly notify the terminal of a new ETA if the ETA changes by plus or minus three (3) hours or more following the twenty-four (24) hour arrival notice.  EPC has the option not to accept any vessel for loading or discharge that arrives more than twelve (12) hours before or after the arrival time that had been last agreed upon by the parties hereto.</w:t>
      </w:r>
    </w:p>
    <w:p>
      <w:pPr>
        <w:pStyle w:val="Normal"/>
        <w:spacing w:before="0" w:after="120"/>
        <w:jc w:val="both"/>
        <w:rPr/>
      </w:pPr>
      <w:r>
        <w:rPr>
          <w:b/>
          <w:sz w:val="16"/>
        </w:rPr>
        <w:t>NOTICE OF READINESS</w:t>
      </w:r>
      <w:r>
        <w:rPr>
          <w:sz w:val="16"/>
        </w:rPr>
        <w:t xml:space="preserve"> -- After the vessel has arrived at the customary anchorage in the load or discharge port, and in all respects is ready to proceed to the berth to commence loading or discharging cargo, the vessel master or his agent shall give the terminal and the other parties hereto notice by letter, telegraph, telex, or facsimile that the vessel is ready to load or discharge cargo, as the case may be, berth or no berth.</w:t>
      </w:r>
    </w:p>
    <w:p>
      <w:pPr>
        <w:pStyle w:val="Normal"/>
        <w:tabs>
          <w:tab w:val="clear" w:pos="720"/>
          <w:tab w:val="left" w:pos="-720" w:leader="none"/>
        </w:tabs>
        <w:spacing w:before="0" w:after="120"/>
        <w:jc w:val="both"/>
        <w:rPr/>
      </w:pPr>
      <w:r>
        <w:rPr>
          <w:b/>
          <w:sz w:val="16"/>
        </w:rPr>
        <w:t>LAYTIME</w:t>
      </w:r>
      <w:r>
        <w:rPr>
          <w:sz w:val="16"/>
        </w:rPr>
        <w:t xml:space="preserve"> -- Laytime shall not commence prior to the date stipulated at the time the vessel is nominated and accepted, except with the terminal's sanction.  In such case, laytime shall commence when the vessel has been approved for berthing and is secured to the berth by terminal personnel.</w:t>
      </w:r>
    </w:p>
    <w:p>
      <w:pPr>
        <w:pStyle w:val="Normal"/>
        <w:tabs>
          <w:tab w:val="clear" w:pos="720"/>
          <w:tab w:val="left" w:pos="-720" w:leader="none"/>
        </w:tabs>
        <w:spacing w:before="0" w:after="120"/>
        <w:jc w:val="both"/>
        <w:rPr>
          <w:sz w:val="16"/>
        </w:rPr>
      </w:pPr>
      <w:r>
        <w:rPr>
          <w:sz w:val="16"/>
        </w:rPr>
        <w:t>Ordinarily, laytime shall commence six (6) hours after receipt of vessel's Notice of Readiness, provided that the vessel has been accepted for loading or discharge by the terminal, or when the vessel has been approved for berthing and is secured to the berth by terminal personnel, whichever occurs first.</w:t>
      </w:r>
    </w:p>
    <w:p>
      <w:pPr>
        <w:pStyle w:val="Normal"/>
        <w:tabs>
          <w:tab w:val="clear" w:pos="720"/>
          <w:tab w:val="left" w:pos="-720" w:leader="none"/>
        </w:tabs>
        <w:spacing w:before="0" w:after="120"/>
        <w:jc w:val="both"/>
        <w:rPr>
          <w:sz w:val="16"/>
        </w:rPr>
      </w:pPr>
      <w:r>
        <w:rPr>
          <w:sz w:val="16"/>
        </w:rPr>
        <w:t>Laytime for vessels arriving more than forty-eight (48) hours after the date originally nominated and accepted by the terminal shall commence when the vessel has been approved for berthing and is secured to the berth by terminal personnel, or twenty-four (24) hours after arrival and tendering of the Notice of Readiness if EPC elects to accept late vessels.</w:t>
      </w:r>
    </w:p>
    <w:p>
      <w:pPr>
        <w:pStyle w:val="Normal"/>
        <w:tabs>
          <w:tab w:val="clear" w:pos="720"/>
          <w:tab w:val="left" w:pos="-720" w:leader="none"/>
        </w:tabs>
        <w:spacing w:before="0" w:after="120"/>
        <w:jc w:val="both"/>
        <w:rPr/>
      </w:pPr>
      <w:r>
        <w:rPr>
          <w:sz w:val="16"/>
        </w:rPr>
        <w:t xml:space="preserve">Time consumed in the following situations shall </w:t>
      </w:r>
      <w:r>
        <w:rPr>
          <w:sz w:val="16"/>
          <w:u w:val="single"/>
        </w:rPr>
        <w:t>not</w:t>
      </w:r>
      <w:r>
        <w:rPr>
          <w:sz w:val="16"/>
        </w:rPr>
        <w:t xml:space="preserve"> count as used laytime:</w:t>
      </w:r>
    </w:p>
    <w:p>
      <w:pPr>
        <w:pStyle w:val="Normal"/>
        <w:tabs>
          <w:tab w:val="left" w:pos="-720" w:leader="none"/>
          <w:tab w:val="left" w:pos="0" w:leader="none"/>
          <w:tab w:val="left" w:pos="720" w:leader="none"/>
        </w:tabs>
        <w:spacing w:before="0" w:after="120"/>
        <w:ind w:hanging="720" w:start="1440" w:end="0"/>
        <w:jc w:val="both"/>
        <w:rPr>
          <w:sz w:val="16"/>
        </w:rPr>
      </w:pPr>
      <w:r>
        <w:rPr>
          <w:sz w:val="16"/>
        </w:rPr>
        <w:t>A.</w:t>
        <w:tab/>
        <w:t>time consumed by the vessel in moving from port anchorage to the receiving or discharging berth;</w:t>
      </w:r>
    </w:p>
    <w:p>
      <w:pPr>
        <w:pStyle w:val="Normal"/>
        <w:tabs>
          <w:tab w:val="left" w:pos="-720" w:leader="none"/>
          <w:tab w:val="left" w:pos="0" w:leader="none"/>
          <w:tab w:val="left" w:pos="720" w:leader="none"/>
        </w:tabs>
        <w:spacing w:before="0" w:after="120"/>
        <w:ind w:hanging="720" w:start="1440" w:end="0"/>
        <w:jc w:val="both"/>
        <w:rPr>
          <w:sz w:val="16"/>
        </w:rPr>
      </w:pPr>
      <w:r>
        <w:rPr>
          <w:sz w:val="16"/>
        </w:rPr>
        <w:t>B.</w:t>
        <w:tab/>
        <w:t>delay due to prohibition of cargo transfer at any time by the vessel, the owner or operator of the vessel, or by port authorities, unless such prohibition is caused by the terminal's failure to comply with applicable laws or regulations;</w:t>
      </w:r>
    </w:p>
    <w:p>
      <w:pPr>
        <w:pStyle w:val="Normal"/>
        <w:tabs>
          <w:tab w:val="left" w:pos="-720" w:leader="none"/>
          <w:tab w:val="left" w:pos="0" w:leader="none"/>
          <w:tab w:val="left" w:pos="720" w:leader="none"/>
        </w:tabs>
        <w:spacing w:before="0" w:after="120"/>
        <w:ind w:hanging="720" w:start="1440" w:end="0"/>
        <w:jc w:val="both"/>
        <w:rPr>
          <w:sz w:val="16"/>
        </w:rPr>
      </w:pPr>
      <w:r>
        <w:rPr>
          <w:sz w:val="16"/>
        </w:rPr>
        <w:t>C.</w:t>
        <w:tab/>
        <w:t>failure to have the required certificate of financial responsibility, or failure to be in compliance with USCG regulations (or hold the necessary waiver if not in compliance), or failure to have other required documentation;</w:t>
      </w:r>
    </w:p>
    <w:p>
      <w:pPr>
        <w:pStyle w:val="Normal"/>
        <w:tabs>
          <w:tab w:val="left" w:pos="-720" w:leader="none"/>
          <w:tab w:val="left" w:pos="0" w:leader="none"/>
          <w:tab w:val="left" w:pos="720" w:leader="none"/>
        </w:tabs>
        <w:spacing w:before="0" w:after="120"/>
        <w:ind w:hanging="720" w:start="1440" w:end="0"/>
        <w:jc w:val="both"/>
        <w:rPr>
          <w:sz w:val="16"/>
        </w:rPr>
      </w:pPr>
      <w:r>
        <w:rPr>
          <w:sz w:val="16"/>
        </w:rPr>
        <w:t>D.</w:t>
        <w:tab/>
        <w:t>any delay caused by strike, lockout, stoppage, or restraint of labor of the master, officers, and crew of the vessel or towboat or pilots;</w:t>
      </w:r>
    </w:p>
    <w:p>
      <w:pPr>
        <w:pStyle w:val="Normal"/>
        <w:tabs>
          <w:tab w:val="left" w:pos="-720" w:leader="none"/>
          <w:tab w:val="left" w:pos="0" w:leader="none"/>
          <w:tab w:val="left" w:pos="720" w:leader="none"/>
        </w:tabs>
        <w:spacing w:before="0" w:after="120"/>
        <w:ind w:hanging="720" w:start="1440" w:end="0"/>
        <w:jc w:val="both"/>
        <w:rPr>
          <w:sz w:val="16"/>
        </w:rPr>
      </w:pPr>
      <w:r>
        <w:rPr>
          <w:sz w:val="16"/>
        </w:rPr>
        <w:t>E.</w:t>
        <w:tab/>
        <w:t>any delay for which the vessel, her master, or crew is responsible; and</w:t>
      </w:r>
    </w:p>
    <w:p>
      <w:pPr>
        <w:pStyle w:val="Normal"/>
        <w:tabs>
          <w:tab w:val="left" w:pos="-720" w:leader="none"/>
          <w:tab w:val="left" w:pos="0" w:leader="none"/>
          <w:tab w:val="left" w:pos="720" w:leader="none"/>
        </w:tabs>
        <w:spacing w:before="0" w:after="120"/>
        <w:ind w:hanging="720" w:start="1440" w:end="0"/>
        <w:jc w:val="both"/>
        <w:rPr>
          <w:sz w:val="16"/>
        </w:rPr>
      </w:pPr>
      <w:r>
        <w:rPr>
          <w:sz w:val="16"/>
        </w:rPr>
        <w:t>F.</w:t>
        <w:tab/>
        <w:t>delay in reaching or clearing the berth caused by conditions not reasonably within the terminal's control, i.e., weather delays.</w:t>
      </w:r>
    </w:p>
    <w:p>
      <w:pPr>
        <w:pStyle w:val="Normal"/>
        <w:tabs>
          <w:tab w:val="clear" w:pos="720"/>
          <w:tab w:val="left" w:pos="-720" w:leader="none"/>
          <w:tab w:val="left" w:pos="0" w:leader="none"/>
        </w:tabs>
        <w:spacing w:before="0" w:after="120"/>
        <w:jc w:val="both"/>
        <w:rPr>
          <w:sz w:val="16"/>
        </w:rPr>
      </w:pPr>
      <w:r>
        <w:rPr>
          <w:sz w:val="16"/>
        </w:rPr>
        <w:t>Laytime shall cease upon disconnection of hoses after all cargo has been discharged or received.  The vessel shall vacate the berth expeditiously, consistent with safe operating practices (unless permission to remain is expressly granted by the terminal).</w:t>
      </w:r>
    </w:p>
    <w:p>
      <w:pPr>
        <w:pStyle w:val="Normal"/>
        <w:spacing w:before="0" w:after="120"/>
        <w:jc w:val="both"/>
        <w:rPr>
          <w:sz w:val="16"/>
        </w:rPr>
      </w:pPr>
      <w:r>
        <w:rPr>
          <w:sz w:val="16"/>
        </w:rPr>
        <w:t>The terminal shall have the right to shift a vessel from one berth to another or to anchorage.  Expenses incurred in such shifting or anchoring of vessels shall be for the terminal's account, with the time consumed in shifting counted as used laytime.  Expenses incurred for any shifting of the vessel within a port by one of the parties hereto for the sole convenience of said party shall be handled in accordance with provisions contained elsewhere in this Agreement.</w:t>
      </w:r>
    </w:p>
    <w:p>
      <w:pPr>
        <w:pStyle w:val="Normal"/>
        <w:spacing w:before="0" w:after="120"/>
        <w:jc w:val="both"/>
        <w:rPr>
          <w:sz w:val="16"/>
        </w:rPr>
      </w:pPr>
      <w:r>
        <w:rPr>
          <w:sz w:val="16"/>
        </w:rPr>
        <w:t>The terminal may order the vessel to vacate its berth if it appears that the vessel will not, because of the vessel's disability, be able to complete loading or discharge of cargo within thirty-six (36) hours of the vessel's arrival in berth; provided, however, that the vessel shall not be required to vacate a berth unless that berth is needed to accommodate another vessel.  Upon vacating the berth, used laytime shall cease, and the vessel, after tendering notice of readiness to recommence loading or discharging, shall be reberthed in order of rotation as provided herein, and used laytime shall resume upon the vessel's reberthing (all fast).</w:t>
      </w:r>
    </w:p>
    <w:p>
      <w:pPr>
        <w:pStyle w:val="Normal"/>
        <w:spacing w:before="0" w:after="120"/>
        <w:jc w:val="both"/>
        <w:rPr>
          <w:sz w:val="16"/>
        </w:rPr>
      </w:pPr>
      <w:r>
        <w:rPr>
          <w:sz w:val="16"/>
        </w:rPr>
        <w:t>Permitted laytime shall consist of:</w:t>
      </w:r>
    </w:p>
    <w:p>
      <w:pPr>
        <w:pStyle w:val="Normal"/>
        <w:keepNext w:val="true"/>
        <w:tabs>
          <w:tab w:val="clear" w:pos="720"/>
          <w:tab w:val="left" w:pos="-720" w:leader="none"/>
        </w:tabs>
        <w:spacing w:before="0" w:after="120"/>
        <w:ind w:start="720" w:end="0"/>
        <w:jc w:val="both"/>
        <w:rPr>
          <w:sz w:val="16"/>
        </w:rPr>
      </w:pPr>
      <w:r>
        <w:rPr>
          <w:sz w:val="16"/>
        </w:rPr>
        <w:t>the time required to prepare for loading, including connecting loading hoses and preinspection of the vessel by the inspector, for which two (2) hours shall be allowed, plus</w:t>
      </w:r>
    </w:p>
    <w:p>
      <w:pPr>
        <w:pStyle w:val="Normal"/>
        <w:tabs>
          <w:tab w:val="clear" w:pos="720"/>
          <w:tab w:val="left" w:pos="-720" w:leader="none"/>
        </w:tabs>
        <w:spacing w:before="0" w:after="120"/>
        <w:ind w:start="720" w:end="0"/>
        <w:jc w:val="both"/>
        <w:rPr>
          <w:sz w:val="16"/>
        </w:rPr>
      </w:pPr>
      <w:r>
        <w:rPr>
          <w:sz w:val="16"/>
        </w:rPr>
        <w:t>the time required for actual cargo loading for which the time allowed shall be calculated based on the minimum loading rates by product as are customary and usual in the industry, plus</w:t>
      </w:r>
    </w:p>
    <w:p>
      <w:pPr>
        <w:pStyle w:val="Normal"/>
        <w:tabs>
          <w:tab w:val="clear" w:pos="720"/>
          <w:tab w:val="left" w:pos="-720" w:leader="none"/>
        </w:tabs>
        <w:spacing w:before="0" w:after="120"/>
        <w:ind w:start="720" w:end="0"/>
        <w:jc w:val="both"/>
        <w:rPr>
          <w:sz w:val="16"/>
        </w:rPr>
      </w:pPr>
      <w:r>
        <w:rPr>
          <w:sz w:val="16"/>
        </w:rPr>
        <w:t>the time required to disconnect loading hoses and for the inspector or shore authorities to release the vessel, for which two (2) hours shall be allowed.</w:t>
      </w:r>
    </w:p>
    <w:p>
      <w:pPr>
        <w:pStyle w:val="Normal"/>
        <w:spacing w:before="0" w:after="120"/>
        <w:jc w:val="both"/>
        <w:rPr/>
      </w:pPr>
      <w:r>
        <w:rPr>
          <w:b/>
          <w:sz w:val="16"/>
        </w:rPr>
        <w:t>DEMURRAGE -</w:t>
      </w:r>
      <w:r>
        <w:rPr>
          <w:sz w:val="16"/>
        </w:rPr>
        <w:t>- Demurrage (including fleeting charges if incurred) shall be payable by the responsible party for each running hour and pro rata for each part of an hour, for all time that used laytime exceeds the permitted laytime (as defined above) at the demurrage rate specified in the vessel's transportation contract or at any previously negotiated rate specified in the Special Terms and Conditions.  Such rate shall not exceed the customary and reasonable rate for the charter of like kind and size vessels in the area.  For demurrage purposes, all barges or tows operating as a unit shall be considered collectively as one barge or tow.</w:t>
      </w:r>
    </w:p>
    <w:p>
      <w:pPr>
        <w:pStyle w:val="Normal"/>
        <w:spacing w:before="0" w:after="120"/>
        <w:jc w:val="both"/>
        <w:rPr/>
      </w:pPr>
      <w:r>
        <w:rPr>
          <w:b/>
          <w:sz w:val="16"/>
        </w:rPr>
        <w:t>EXCEPTIONS AND "FORCE MAJEURE"</w:t>
      </w:r>
      <w:r>
        <w:rPr>
          <w:sz w:val="16"/>
        </w:rPr>
        <w:t xml:space="preserve"> -- Demurrage incurred by reason of an event not reasonably within the control of the party claiming suspension (including, but not limited to, an Act of God, storm, or lightning), or by an explosion, fire, strike, lockout, stoppage or restraint of labor, or by breakdown of machinery or equipment in or about the terminal, shall be paid for at one-half the demurrage rate provided herein.</w:t>
      </w:r>
    </w:p>
    <w:p>
      <w:pPr>
        <w:pStyle w:val="Normal"/>
        <w:spacing w:before="0" w:after="120"/>
        <w:jc w:val="both"/>
        <w:rPr/>
      </w:pPr>
      <w:r>
        <w:rPr>
          <w:b/>
          <w:sz w:val="16"/>
        </w:rPr>
        <w:t>DOCUMENTATION AND FILING OF DEMURRAGE CLAIMS</w:t>
      </w:r>
      <w:r>
        <w:rPr>
          <w:sz w:val="16"/>
        </w:rPr>
        <w:t xml:space="preserve"> -- Demurrage claims shall be submitted in the form of an invoice accompanied by a copy of the vessel's port log signed by the master, a copy of the vessel's demurrage invoice, as well as such supporting data as may be reasonably requested.  Any demurrage invoice by the owed party must be submitted in writing, with supporting documentation, within ninety (90) days from the date of completion of loading or discharging, or the party's demurrage claim will be barred.  Valid demurrage charges between EPC and Counterparty will be due by the owing party no later than thirty (30) days from receipt of invoice and supporting documents.  Valid demurrage charges involving EPC, Counterparty, and a third party will be due by the owing party no later than ninety (90) days from receipt of invoice and supporting documents.  Demurrage charges shall be presumed to be valid if not objected to in writing by the owing party hereto and a third party within the time specified above.  The failure of the owing party to collect demurrage from a third party shall not be an excuse or defense to a claim for payment by the owed party.</w:t>
      </w:r>
    </w:p>
    <w:p>
      <w:pPr>
        <w:pStyle w:val="Normal"/>
        <w:spacing w:before="0" w:after="120"/>
        <w:jc w:val="both"/>
        <w:rPr/>
      </w:pPr>
      <w:r>
        <w:rPr>
          <w:b/>
          <w:sz w:val="16"/>
        </w:rPr>
        <w:t>HOSES/LOADING CONNECTIONS</w:t>
      </w:r>
      <w:r>
        <w:rPr>
          <w:sz w:val="16"/>
        </w:rPr>
        <w:t xml:space="preserve"> -- Hoses for loading or discharging, as the case may be, shall be furnished by the terminal and shall be connected and disconnected by the terminal, or at the option of the vessel, by the vessel, at the vessel's sole risk and expense.  Flanges for hose connections should be at or near the vessel's dock side rail.  Crossover hoses between barges shall be furnished and connected by the barges at the barges' sole risk and expense.</w:t>
      </w:r>
    </w:p>
    <w:p>
      <w:pPr>
        <w:pStyle w:val="Normal"/>
        <w:spacing w:before="0" w:after="120"/>
        <w:jc w:val="both"/>
        <w:rPr/>
      </w:pPr>
      <w:r>
        <w:rPr>
          <w:b/>
          <w:sz w:val="16"/>
        </w:rPr>
        <w:t>OPERATIONS</w:t>
      </w:r>
      <w:r>
        <w:rPr>
          <w:sz w:val="16"/>
        </w:rPr>
        <w:t xml:space="preserve"> -- The terminal, if controlled by either party hereto, shall provide a shore tankerman to control the loading or discharging operations for vessels.  The vessel shall provide a tankerman for each vessel during loading or discharging.  The towboat for barges shall standby at all times while the vessel is at the terminal berth.</w:t>
      </w:r>
    </w:p>
    <w:p>
      <w:pPr>
        <w:pStyle w:val="Normal"/>
        <w:spacing w:before="0" w:after="120"/>
        <w:jc w:val="both"/>
        <w:rPr/>
      </w:pPr>
      <w:r>
        <w:rPr>
          <w:b/>
          <w:sz w:val="16"/>
        </w:rPr>
        <w:t>WHARF DAMAGE</w:t>
      </w:r>
      <w:r>
        <w:rPr>
          <w:sz w:val="16"/>
        </w:rPr>
        <w:t xml:space="preserve"> -- Vessels assume full responsibility for any damage sustained by wharves, berths, or docks owned, operated, or maintained by the terminal arising out of the negligent and/or improper operation of any waterborne craft, either owned or operated by vessels or being operated by subcontractors of vessels.  Vessels will fully and completely indemnify the terminal for any such damages.</w:t>
      </w:r>
    </w:p>
    <w:p>
      <w:pPr>
        <w:pStyle w:val="Normal"/>
        <w:spacing w:before="0" w:after="120"/>
        <w:jc w:val="both"/>
        <w:rPr/>
      </w:pPr>
      <w:r>
        <w:rPr>
          <w:b/>
          <w:sz w:val="16"/>
        </w:rPr>
        <w:t>VESSEL CONSTRUCTION</w:t>
      </w:r>
      <w:r>
        <w:rPr>
          <w:sz w:val="16"/>
        </w:rPr>
        <w:t xml:space="preserve"> -- All flanges, fittings, spool pieces, and/or reducers must be of steel construction.</w:t>
      </w:r>
    </w:p>
    <w:p>
      <w:pPr>
        <w:pStyle w:val="Normal"/>
        <w:spacing w:before="0" w:after="120"/>
        <w:jc w:val="both"/>
        <w:rPr/>
      </w:pPr>
      <w:r>
        <w:rPr>
          <w:b/>
          <w:sz w:val="16"/>
        </w:rPr>
        <w:t>POLLUTION PREVENTION</w:t>
      </w:r>
      <w:r>
        <w:rPr>
          <w:sz w:val="16"/>
        </w:rPr>
        <w:t xml:space="preserve"> -- In the event that cargo is spilled or escapes during the loading or discharging of a vessel or when a vessel is in close proximity to the terminal, whether such spill is caused by the terminal, vessel, third parties, or otherwise, the terminal shall undertake such measures as are reasonably necessary to prevent or mitigate resulting pollution damage.  The vessel agrees to report immediately to the terminal and the USCG any cargo spillage at or in the vicinity of the terminal during the delivery or receipt of cargo under this Agreement.  The terminal agrees promptly to notify the vessel's representative if the vessel's master does not cooperate in assisting the terminal in its immediate action to mitigate pollution damage.</w:t>
      </w:r>
    </w:p>
    <w:p>
      <w:pPr>
        <w:pStyle w:val="Normal"/>
        <w:spacing w:before="0" w:after="120"/>
        <w:jc w:val="both"/>
        <w:rPr>
          <w:sz w:val="16"/>
        </w:rPr>
      </w:pPr>
      <w:r>
        <w:rPr>
          <w:sz w:val="16"/>
        </w:rPr>
        <w:t>If the terminal does not take adequate measures to prevent or mitigate pollution damage, then the vessel may, at its option and upon notice to the terminal, undertake such measures as are reasonably necessary under the circumstances.  Any such measures actually taken by the vessel shall be at the expense of the party or parties responsible for such spill or escape.</w:t>
      </w:r>
    </w:p>
    <w:p>
      <w:pPr>
        <w:pStyle w:val="Normal"/>
        <w:spacing w:before="0" w:after="120"/>
        <w:jc w:val="both"/>
        <w:rPr>
          <w:sz w:val="16"/>
        </w:rPr>
      </w:pPr>
      <w:r>
        <w:rPr>
          <w:sz w:val="16"/>
        </w:rPr>
        <w:t>In the event of any discharge of cargo into water as set forth above, whether such discharge occurs in navigable waters and/or in the economic zone of the United States and/or foreign waters subject to international environmental legislation, due to the sole negligence of Seller or Buyer or the agent or employee of Seller or Buyer, as (a) the owner, operator, or charterer of the vessel, or (b) the owner or operator of the terminal, the solely negligent party hereunder agrees to protect, defend, indemnify and hold harmless the non-negligent party from and against the full amount of the reasonable costs of containment or clean-up, fines, and penalties which in any way arise out of or relate to the discharge of the cargo, under U.S. and/or international environmental legislation.  In the event that both Seller and Buyer are jointly negligent, the costs of containment and clean-up, fines, and penalties shall be borne jointly by Seller and Buyer in proportion to each party's negligence.  Each party agrees promptly to provide a certificate of financial responsibility at the request of the other party hereto.</w:t>
      </w:r>
    </w:p>
    <w:p>
      <w:pPr>
        <w:pStyle w:val="Normal"/>
        <w:spacing w:before="0" w:after="120"/>
        <w:jc w:val="both"/>
        <w:rPr>
          <w:sz w:val="16"/>
        </w:rPr>
      </w:pPr>
      <w:r>
        <w:rPr>
          <w:sz w:val="16"/>
        </w:rPr>
        <w:t>In the event of any discharge of cargo into water as set forth in the immediately preceding paragraph , whether such discharge occurs in navigable waters and/or in the economic zone of the U.S. and/or foreign waters subject to international environmental legislation, due to the sole negligence of a third party other than the agent or an employee of Seller or Buyer, Seller or Buyer shall cooperate fully for the purpose of obtaining reimbursement from the legally responsible party for any and all costs and/or expenses, if any, borne by Seller or Buyer under this paragraph.</w:t>
      </w:r>
    </w:p>
    <w:p>
      <w:pPr>
        <w:pStyle w:val="Normal"/>
        <w:spacing w:before="0" w:after="120"/>
        <w:jc w:val="both"/>
        <w:rPr/>
      </w:pPr>
      <w:r>
        <w:rPr>
          <w:b/>
          <w:sz w:val="16"/>
        </w:rPr>
        <w:t>CONTRACT INTERPRETATION</w:t>
      </w:r>
      <w:r>
        <w:rPr>
          <w:sz w:val="16"/>
        </w:rPr>
        <w:t xml:space="preserve"> -- In the event of a conflict between these Marine Provisions and the provisions of the EPC General Terms, these Marine Provisions shall govern and control; in the event of a conflict between these Marine Provisions, and the provisions of the Special Terms and Conditions, however, the terms and provisions of the Special Terms and Conditions shall govern and control; provided, in either case, that the inclusion in the Special Terms and Conditions and the EPC General Terms of terms and provisions not addressed in these Marine Provisions shall not be deemed a conflict, and all such additional provisions contained therein shall be given full force and effect.</w:t>
      </w:r>
    </w:p>
    <w:p>
      <w:pPr>
        <w:pStyle w:val="Normal"/>
        <w:spacing w:before="0" w:after="120"/>
        <w:jc w:val="center"/>
        <w:rPr>
          <w:sz w:val="20"/>
        </w:rPr>
      </w:pPr>
      <w:r>
        <w:rPr>
          <w:sz w:val="16"/>
        </w:rPr>
        <w:t>{END}</w:t>
      </w:r>
    </w:p>
    <w:p>
      <w:pPr>
        <w:pStyle w:val="Normal"/>
        <w:tabs>
          <w:tab w:val="clear" w:pos="720"/>
          <w:tab w:val="left" w:pos="-720" w:leader="none"/>
          <w:tab w:val="left" w:pos="45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left" w:pos="-720" w:leader="none"/>
          <w:tab w:val="left" w:pos="0" w:leader="none"/>
          <w:tab w:val="left" w:pos="450" w:leader="none"/>
          <w:tab w:val="left" w:pos="720" w:leader="none"/>
          <w:tab w:val="left" w:pos="900" w:leader="none"/>
        </w:tabs>
        <w:spacing w:before="0" w:after="64"/>
        <w:rPr>
          <w:sz w:val="16"/>
        </w:rPr>
      </w:pPr>
      <w:r>
        <w:rPr>
          <w:sz w:val="16"/>
        </w:rPr>
      </w:r>
    </w:p>
    <w:p>
      <w:pPr>
        <w:pStyle w:val="Normal"/>
        <w:tabs>
          <w:tab w:val="clear" w:pos="720"/>
          <w:tab w:val="left" w:pos="-720" w:leader="none"/>
          <w:tab w:val="left" w:pos="450" w:leader="none"/>
          <w:tab w:val="left" w:pos="900" w:leader="none"/>
        </w:tabs>
        <w:spacing w:before="0" w:after="64"/>
        <w:jc w:val="both"/>
        <w:rPr>
          <w:sz w:val="18"/>
        </w:rPr>
      </w:pPr>
      <w:r>
        <w:rPr>
          <w:sz w:val="18"/>
        </w:rPr>
      </w:r>
    </w:p>
    <w:sectPr>
      <w:headerReference w:type="default" r:id="rId10"/>
      <w:headerReference w:type="first" r:id="rId11"/>
      <w:footerReference w:type="default" r:id="rId12"/>
      <w:footerReference w:type="first" r:id="rId13"/>
      <w:type w:val="nextPage"/>
      <w:pgSz w:w="12240" w:h="15840"/>
      <w:pgMar w:left="900" w:right="990" w:gutter="0" w:header="432" w:top="1080" w:footer="288" w:bottom="344"/>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/mnt/main-storage/datasets/enron-docs/doc/EPC_On_line_GTC_s_rev1__2000_.doc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/mnt/main-storage/datasets/enron-docs/doc/EPC_On_line_GTC_s_rev1__2000_.doc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/mnt/main-storage/datasets/enron-docs/doc/EPC_On_line_GTC_s_rev1__2000_.doc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January 18,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clear" w:pos="720"/>
        <w:tab w:val="left" w:pos="-720" w:leader="none"/>
      </w:tabs>
      <w:jc w:val="center"/>
    </w:pPr>
    <w:rPr>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2">
    <w:name w:val="Body Text 2"/>
    <w:basedOn w:val="Normal"/>
    <w:qFormat/>
    <w:pPr>
      <w:ind w:hanging="720" w:start="720" w:end="0"/>
    </w:pPr>
    <w:rPr>
      <w:sz w:val="20"/>
    </w:rPr>
  </w:style>
  <w:style w:type="paragraph" w:styleId="BodyText3">
    <w:name w:val="Body Text 3"/>
    <w:basedOn w:val="Normal"/>
    <w:qFormat/>
    <w:pPr>
      <w:tabs>
        <w:tab w:val="clear" w:pos="720"/>
        <w:tab w:val="left" w:pos="-720" w:leader="none"/>
        <w:tab w:val="left" w:pos="450" w:leader="none"/>
        <w:tab w:val="left" w:pos="900" w:leader="none"/>
      </w:tabs>
      <w:spacing w:before="0" w:after="64"/>
      <w:jc w:val="both"/>
    </w:pPr>
    <w:rPr>
      <w:strike/>
      <w:sz w:val="16"/>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2000-01-18T20:00:00Z</dcterms:created>
  <dc:creator>ROB CASS</dc:creator>
  <dc:description>super copied from 030</dc:description>
  <dc:language>en-CA</dc:language>
  <cp:lastModifiedBy>Enron Corp</cp:lastModifiedBy>
  <cp:lastPrinted>2000-01-18T16:32:00Z</cp:lastPrinted>
  <dcterms:modified xsi:type="dcterms:W3CDTF">2000-01-18T20:02:00Z</dcterms:modified>
  <cp:revision>5</cp:revision>
  <dc:subject>Sales Purchase Agr/Long Form</dc:subject>
  <dc:title>Part II General Terms and Conditions</dc:title>
</cp:coreProperties>
</file>