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DRAFT</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snapToGrid w:val="false"/>
              <w:rPr>
                <w:sz w:val="16"/>
              </w:rPr>
            </w:pPr>
            <w:r>
              <w:rPr>
                <w:sz w:val="16"/>
              </w:rPr>
            </w:r>
          </w:p>
        </w:tc>
        <w:tc>
          <w:tcPr>
            <w:tcW w:w="990" w:type="dxa"/>
            <w:tcBorders/>
          </w:tcPr>
          <w:p>
            <w:pPr>
              <w:pStyle w:val="Normal"/>
              <w:ind w:start="-180" w:end="0"/>
              <w:jc w:val="end"/>
              <w:rPr>
                <w:sz w:val="16"/>
              </w:rPr>
            </w:pPr>
            <w:r>
              <w:rPr>
                <w:sz w:val="16"/>
              </w:rPr>
              <w:t>Department:</w:t>
            </w:r>
          </w:p>
        </w:tc>
        <w:tc>
          <w:tcPr>
            <w:tcW w:w="2965" w:type="dxa"/>
            <w:tcBorders/>
          </w:tcPr>
          <w:p>
            <w:pPr>
              <w:pStyle w:val="Department"/>
              <w:snapToGrid w:val="false"/>
              <w:rPr>
                <w:sz w:val="16"/>
              </w:rPr>
            </w:pPr>
            <w:r>
              <w:rPr>
                <w:sz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EPC and Turbine Contract Management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April 4, 2001</w:t>
            </w:r>
          </w:p>
        </w:tc>
      </w:tr>
    </w:tbl>
    <w:p>
      <w:pPr>
        <w:pStyle w:val="Body"/>
        <w:rPr/>
      </w:pPr>
      <w:r>
        <w:rPr/>
      </w:r>
      <w:bookmarkStart w:id="2" w:name="StartOfMemo"/>
      <w:bookmarkStart w:id="3" w:name="StartOfMemo"/>
      <w:bookmarkEnd w:id="3"/>
    </w:p>
    <w:p>
      <w:pPr>
        <w:pStyle w:val="Body"/>
        <w:jc w:val="both"/>
        <w:rPr/>
      </w:pPr>
      <w:r>
        <w:rPr/>
        <w:t>Enron Americas (EA) continues to sucessfully originate power projects using off-balance sheet financing to achieve a high return on capital.  In addition, we are actively working to monetize our asset positions ahead of construction completion and re-deploy our development talent and capital to capture new development opportunities.</w:t>
      </w:r>
    </w:p>
    <w:p>
      <w:pPr>
        <w:pStyle w:val="Body"/>
        <w:jc w:val="both"/>
        <w:rPr/>
      </w:pPr>
      <w:r>
        <w:rPr/>
      </w:r>
    </w:p>
    <w:p>
      <w:pPr>
        <w:pStyle w:val="Body"/>
        <w:jc w:val="both"/>
        <w:rPr/>
      </w:pPr>
      <w:r>
        <w:rPr/>
        <w:t>This strategy requires us to effectively structure negotiate and implement contracts for the engineering, procurement and construction or the plant (EPC Contracts) and the purchase of the major equipment (e.g., turbines).  These contracts capture the economics of the project, and allocate risk between Enron, lenders, customers, and contractors.  Many times, these contracts are the key assets that are sold to third parties.</w:t>
      </w:r>
    </w:p>
    <w:p>
      <w:pPr>
        <w:pStyle w:val="Body"/>
        <w:jc w:val="both"/>
        <w:rPr/>
      </w:pPr>
      <w:r>
        <w:rPr/>
      </w:r>
    </w:p>
    <w:p>
      <w:pPr>
        <w:pStyle w:val="Body"/>
        <w:jc w:val="both"/>
        <w:rPr/>
      </w:pPr>
      <w:r>
        <w:rPr/>
        <w:t xml:space="preserve">Therefore, we are creating a multi-functional EPC Negotiation Team led by Ron Tapscott (Commercial lead) and Bob Virgo (Technical Lead) that will be responsible for structuring and negotiating the EPC Contracts and turbine purchase contracts for each EA development project.  Also forming part of this team will be John Swartzberg and Carlos Selon from the EA Legal and Lisa Bills from EA Finance. EEOS has designated Steve Heck as its point of contact to provide the necessary resources to support the EPC Negotiation Team on an as-needed basis.  Other functional groups, such as insurance and tax will be asked to support the EPC Negotiation Team going forward.  </w:t>
      </w:r>
    </w:p>
    <w:p>
      <w:pPr>
        <w:pStyle w:val="Body"/>
        <w:jc w:val="both"/>
        <w:rPr/>
      </w:pPr>
      <w:r>
        <w:rPr/>
      </w:r>
    </w:p>
    <w:p>
      <w:pPr>
        <w:pStyle w:val="Body"/>
        <w:jc w:val="both"/>
        <w:rPr/>
      </w:pPr>
      <w:r>
        <w:rPr/>
        <w:t>The EPC Negotiation team will work under the direction of the lead originator on each project to:</w:t>
      </w:r>
    </w:p>
    <w:p>
      <w:pPr>
        <w:pStyle w:val="Body"/>
        <w:jc w:val="both"/>
        <w:rPr/>
      </w:pPr>
      <w:r>
        <w:rPr/>
      </w:r>
    </w:p>
    <w:p>
      <w:pPr>
        <w:pStyle w:val="Body"/>
        <w:numPr>
          <w:ilvl w:val="0"/>
          <w:numId w:val="2"/>
        </w:numPr>
        <w:jc w:val="both"/>
        <w:rPr/>
      </w:pPr>
      <w:r>
        <w:rPr/>
        <w:t>Define the technical scope of the contract and mange any bidding process that may be conducted.</w:t>
      </w:r>
    </w:p>
    <w:p>
      <w:pPr>
        <w:pStyle w:val="Body"/>
        <w:ind w:start="0" w:end="0"/>
        <w:jc w:val="both"/>
        <w:rPr/>
      </w:pPr>
      <w:r>
        <w:rPr/>
      </w:r>
    </w:p>
    <w:p>
      <w:pPr>
        <w:pStyle w:val="Body"/>
        <w:numPr>
          <w:ilvl w:val="0"/>
          <w:numId w:val="2"/>
        </w:numPr>
        <w:jc w:val="both"/>
        <w:rPr/>
      </w:pPr>
      <w:r>
        <w:rPr/>
        <w:t>Interface with and qualify the potential EPC contractors and turbine suppliers.</w:t>
      </w:r>
    </w:p>
    <w:p>
      <w:pPr>
        <w:pStyle w:val="Body"/>
        <w:ind w:start="0" w:end="0"/>
        <w:jc w:val="both"/>
        <w:rPr/>
      </w:pPr>
      <w:r>
        <w:rPr/>
      </w:r>
    </w:p>
    <w:p>
      <w:pPr>
        <w:pStyle w:val="Body"/>
        <w:numPr>
          <w:ilvl w:val="0"/>
          <w:numId w:val="2"/>
        </w:numPr>
        <w:jc w:val="both"/>
        <w:rPr/>
      </w:pPr>
      <w:r>
        <w:rPr/>
        <w:t>Negotiate and contract with EPC Contractors and turbine suppliers.</w:t>
      </w:r>
    </w:p>
    <w:p>
      <w:pPr>
        <w:pStyle w:val="Body"/>
        <w:ind w:start="0" w:end="0"/>
        <w:jc w:val="both"/>
        <w:rPr/>
      </w:pPr>
      <w:r>
        <w:rPr/>
      </w:r>
    </w:p>
    <w:p>
      <w:pPr>
        <w:pStyle w:val="Body"/>
        <w:numPr>
          <w:ilvl w:val="0"/>
          <w:numId w:val="2"/>
        </w:numPr>
        <w:jc w:val="both"/>
        <w:rPr/>
      </w:pPr>
      <w:r>
        <w:rPr/>
        <w:t>Interface with lenders and others providing project capital in respect of topics and questions regarding the EPC Contract.</w:t>
      </w:r>
    </w:p>
    <w:p>
      <w:pPr>
        <w:pStyle w:val="Body"/>
        <w:ind w:start="0" w:end="0"/>
        <w:jc w:val="both"/>
        <w:rPr/>
      </w:pPr>
      <w:r>
        <w:rPr/>
      </w:r>
    </w:p>
    <w:p>
      <w:pPr>
        <w:pStyle w:val="Body"/>
        <w:numPr>
          <w:ilvl w:val="0"/>
          <w:numId w:val="2"/>
        </w:numPr>
        <w:jc w:val="both"/>
        <w:rPr/>
      </w:pPr>
      <w:r>
        <w:rPr/>
        <w:t>Interface with RAC in respect to presenting of the EPC Contract, EPC Contractor and major equipment suppliers.</w:t>
      </w:r>
    </w:p>
    <w:p>
      <w:pPr>
        <w:pStyle w:val="Body"/>
        <w:ind w:start="0" w:end="0"/>
        <w:jc w:val="both"/>
        <w:rPr/>
      </w:pPr>
      <w:r>
        <w:rPr/>
      </w:r>
    </w:p>
    <w:p>
      <w:pPr>
        <w:pStyle w:val="Body"/>
        <w:jc w:val="both"/>
        <w:rPr/>
      </w:pPr>
      <w:r>
        <w:rPr/>
      </w:r>
    </w:p>
    <w:p>
      <w:pPr>
        <w:pStyle w:val="Body"/>
        <w:jc w:val="both"/>
        <w:rPr/>
      </w:pPr>
      <w:r>
        <w:rPr/>
        <w:t xml:space="preserve">Organizationally, the members of the EPC Negotiation Team will remain part of their commercial/functional groups and will draw upon Enron’s resources to augment their efforts as the work load requires.  The EPC Negotiation Team will meet once a week to discuss the status of each EPC Contract and turbine purchase, assign resources, and resolve questions between the various Enron groups involved in the transaction. </w:t>
      </w:r>
    </w:p>
    <w:p>
      <w:pPr>
        <w:pStyle w:val="Body"/>
        <w:jc w:val="both"/>
        <w:rPr/>
      </w:pPr>
      <w:r>
        <w:rPr/>
      </w:r>
    </w:p>
    <w:p>
      <w:pPr>
        <w:pStyle w:val="Body"/>
        <w:ind w:hanging="1443" w:start="2160" w:end="0"/>
        <w:jc w:val="both"/>
        <w:rPr/>
      </w:pPr>
      <w:r>
        <w:rPr/>
      </w:r>
    </w:p>
    <w:p>
      <w:pPr>
        <w:pStyle w:val="CopyList"/>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780" w:leader="none"/>
        <w:tab w:val="left" w:pos="4770" w:leader="none"/>
        <w:tab w:val="left" w:pos="765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17"/>
        </w:tabs>
        <w:ind w:start="717" w:hanging="645"/>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2001-04-09T20:59:00Z</dcterms:created>
  <dc:creator>bredmon</dc:creator>
  <dc:description/>
  <dc:language>en-CA</dc:language>
  <cp:lastModifiedBy>bredmon</cp:lastModifiedBy>
  <cp:lastPrinted>2001-04-11T10:30:00Z</cp:lastPrinted>
  <dcterms:modified xsi:type="dcterms:W3CDTF">2001-04-11T13:02:00Z</dcterms:modified>
  <cp:revision>4</cp:revision>
  <dc:subject/>
  <dc:title>Better, Faster, Simpler Memo </dc:title>
</cp:coreProperties>
</file>